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12529"/>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Date of Report (Date of earliest event reported): July 13,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12529"/>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212529"/>
                <w:w w:val="89"/>
              </w:rPr>
              <w:t>10628 Science Center Drive, Suite 250</w:t>
            </w:r>
          </w:p>
        </w:tc>
        <w:tc>
          <w:tcPr>
            <w:tcW w:w="166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91"/>
              </w:rPr>
              <w:t>San Diego, California 92121</w:t>
            </w:r>
          </w:p>
        </w:tc>
        <w:tc>
          <w:tcPr>
            <w:tcW w:w="166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212529"/>
                <w:w w:val="88"/>
              </w:rPr>
              <w:t>(Address of principal executive offices)</w:t>
            </w:r>
          </w:p>
        </w:tc>
        <w:tc>
          <w:tcPr>
            <w:tcW w:w="1660" w:type="dxa"/>
            <w:vAlign w:val="bottom"/>
          </w:tcPr>
          <w:p>
            <w:pPr>
              <w:spacing w:after="0"/>
              <w:rPr>
                <w:sz w:val="20"/>
                <w:szCs w:val="20"/>
                <w:color w:val="auto"/>
              </w:rPr>
            </w:pP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89"/>
              </w:rPr>
              <w:t>Registrant’s telephone number, including area code: (858) 900-2660</w:t>
            </w:r>
          </w:p>
        </w:tc>
        <w:tc>
          <w:tcPr>
            <w:tcW w:w="166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212529"/>
                <w:w w:val="89"/>
              </w:rPr>
              <w:t>(Former name or former address, if changed since last report)</w:t>
            </w:r>
          </w:p>
        </w:tc>
        <w:tc>
          <w:tcPr>
            <w:tcW w:w="166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212529"/>
                <w:w w:val="93"/>
              </w:rPr>
              <w:t>Securities registered pursuant to Section 12(b) of the Act:</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2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22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2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212529"/>
        </w:rPr>
        <w:t xml:space="preserve">Emerging growth company </w:t>
      </w:r>
      <w:r>
        <w:rPr>
          <w:rFonts w:ascii="MS PGothic" w:cs="MS PGothic" w:eastAsia="MS PGothic" w:hAnsi="MS PGothic"/>
          <w:sz w:val="18"/>
          <w:szCs w:val="18"/>
          <w:color w:val="212529"/>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6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212529"/>
        </w:rPr>
        <w:t xml:space="preserve">On July 13, 2023, an article titled “Booster dose of self-amplifying SARS-CoV-2 RNA vaccine vs. mRNA vaccine: a phase 3 comparison of ARCT-154 with Comirnaty” posted on medRxiv.org at </w:t>
      </w:r>
      <w:r>
        <w:rPr>
          <w:rFonts w:ascii="Arial" w:cs="Arial" w:eastAsia="Arial" w:hAnsi="Arial"/>
          <w:sz w:val="18"/>
          <w:szCs w:val="18"/>
          <w:color w:val="000000"/>
        </w:rPr>
        <w:t>https://www.medrxiv.org/content/10.1101/2023.07.13.23292597v1</w:t>
      </w:r>
      <w:r>
        <w:rPr>
          <w:rFonts w:ascii="Arial" w:cs="Arial" w:eastAsia="Arial" w:hAnsi="Arial"/>
          <w:sz w:val="18"/>
          <w:szCs w:val="18"/>
          <w:color w:val="212529"/>
        </w:rPr>
        <w:t>. The article is based on interim results of a Phase 3 study conducted in Japan by Meiji Seika Pharma Co., Ltd., a subsidiary of Meiji Holdings Co., Ltd. (“</w:t>
      </w:r>
      <w:r>
        <w:rPr>
          <w:rFonts w:ascii="Arial" w:cs="Arial" w:eastAsia="Arial" w:hAnsi="Arial"/>
          <w:sz w:val="18"/>
          <w:szCs w:val="18"/>
          <w:u w:val="single" w:color="auto"/>
          <w:color w:val="212529"/>
        </w:rPr>
        <w:t>Meiji</w:t>
      </w:r>
      <w:r>
        <w:rPr>
          <w:rFonts w:ascii="Arial" w:cs="Arial" w:eastAsia="Arial" w:hAnsi="Arial"/>
          <w:sz w:val="18"/>
          <w:szCs w:val="18"/>
          <w:color w:val="212529"/>
        </w:rPr>
        <w:t>”) evaluating the safety and immunogenicity of ARCT-154 compared to Comirnaty as a booster against COVID-19. The article is a preprint and has not yet been certified by peer review.</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12529"/>
        </w:rPr>
        <w:t>As previously announced on April 11, 2023, Meiji entered into a distribution agreement with Seqirus, Inc. (“</w:t>
      </w:r>
      <w:r>
        <w:rPr>
          <w:rFonts w:ascii="Arial" w:cs="Arial" w:eastAsia="Arial" w:hAnsi="Arial"/>
          <w:sz w:val="18"/>
          <w:szCs w:val="18"/>
          <w:u w:val="single" w:color="auto"/>
          <w:color w:val="212529"/>
        </w:rPr>
        <w:t>CSL Seqirus</w:t>
      </w:r>
      <w:r>
        <w:rPr>
          <w:rFonts w:ascii="Arial" w:cs="Arial" w:eastAsia="Arial" w:hAnsi="Arial"/>
          <w:sz w:val="18"/>
          <w:szCs w:val="18"/>
          <w:color w:val="212529"/>
        </w:rPr>
        <w:t>”), a part of CSL Limited, and one of the world’s leading influenza vaccine providers, for the distribution and sales of ARCT-154, Arcturus Therapeutics Holdings Inc.’s (the “</w:t>
      </w:r>
      <w:r>
        <w:rPr>
          <w:rFonts w:ascii="Arial" w:cs="Arial" w:eastAsia="Arial" w:hAnsi="Arial"/>
          <w:sz w:val="18"/>
          <w:szCs w:val="18"/>
          <w:u w:val="single" w:color="auto"/>
          <w:color w:val="212529"/>
        </w:rPr>
        <w:t>Company</w:t>
      </w:r>
      <w:r>
        <w:rPr>
          <w:rFonts w:ascii="Arial" w:cs="Arial" w:eastAsia="Arial" w:hAnsi="Arial"/>
          <w:sz w:val="18"/>
          <w:szCs w:val="18"/>
          <w:color w:val="212529"/>
        </w:rPr>
        <w:t>” or “</w:t>
      </w:r>
      <w:r>
        <w:rPr>
          <w:rFonts w:ascii="Arial" w:cs="Arial" w:eastAsia="Arial" w:hAnsi="Arial"/>
          <w:sz w:val="18"/>
          <w:szCs w:val="18"/>
          <w:u w:val="single" w:color="auto"/>
          <w:color w:val="212529"/>
        </w:rPr>
        <w:t>Arcturus</w:t>
      </w:r>
      <w:r>
        <w:rPr>
          <w:rFonts w:ascii="Arial" w:cs="Arial" w:eastAsia="Arial" w:hAnsi="Arial"/>
          <w:sz w:val="18"/>
          <w:szCs w:val="18"/>
          <w:color w:val="212529"/>
        </w:rPr>
        <w:t>”) self-amplifying mRNA vaccine candidate against COVID-19, in Japan.</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12529"/>
        </w:rPr>
        <w:t>The information set forth in this Item 7.01 is furnished and shall not be deemed “filed” for purposes of Section 18 of the Securities Exchange Act of 1934, as amended (the “</w:t>
      </w:r>
      <w:r>
        <w:rPr>
          <w:rFonts w:ascii="Arial" w:cs="Arial" w:eastAsia="Arial" w:hAnsi="Arial"/>
          <w:sz w:val="18"/>
          <w:szCs w:val="18"/>
          <w:u w:val="single" w:color="auto"/>
          <w:color w:val="212529"/>
        </w:rPr>
        <w:t>Exchan</w:t>
      </w:r>
      <w:r>
        <w:rPr>
          <w:rFonts w:ascii="Arial" w:cs="Arial" w:eastAsia="Arial" w:hAnsi="Arial"/>
          <w:sz w:val="18"/>
          <w:szCs w:val="18"/>
          <w:color w:val="212529"/>
        </w:rPr>
        <w:t>g</w:t>
      </w:r>
      <w:r>
        <w:rPr>
          <w:rFonts w:ascii="Arial" w:cs="Arial" w:eastAsia="Arial" w:hAnsi="Arial"/>
          <w:sz w:val="18"/>
          <w:szCs w:val="18"/>
          <w:u w:val="single" w:color="auto"/>
          <w:color w:val="212529"/>
        </w:rPr>
        <w:t>e Act</w:t>
      </w:r>
      <w:r>
        <w:rPr>
          <w:rFonts w:ascii="Arial" w:cs="Arial" w:eastAsia="Arial" w:hAnsi="Arial"/>
          <w:sz w:val="18"/>
          <w:szCs w:val="18"/>
          <w:color w:val="212529"/>
        </w:rPr>
        <w:t>”), or otherwise subject to the liabilities of that Section. The information in this Item 7.01 shall not be deemed to be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Cautionary Note Regarding Forward-Looking Statements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212529"/>
        </w:rPr>
        <w:t>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the collaboration with CSL Seqirus, Meiji, or any collaborations, and the outcomes of clinical trials involving ARCT-154. The data set forth in the article described in Item 7.01 of this report is derived from a study conducted by Meiji, the pre-print has not been peer reviewed, and continuing analysis may lead to different conclusions.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w:t>
      </w:r>
      <w:r>
        <w:rPr>
          <w:rFonts w:ascii="Arial" w:cs="Arial" w:eastAsia="Arial" w:hAnsi="Arial"/>
          <w:sz w:val="16"/>
          <w:szCs w:val="16"/>
          <w:u w:val="single" w:color="auto"/>
          <w:color w:val="212529"/>
        </w:rPr>
        <w:t>SEC</w:t>
      </w:r>
      <w:r>
        <w:rPr>
          <w:rFonts w:ascii="Arial" w:cs="Arial" w:eastAsia="Arial" w:hAnsi="Arial"/>
          <w:sz w:val="16"/>
          <w:szCs w:val="16"/>
          <w:color w:val="212529"/>
        </w:rPr>
        <w:t>”),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2023</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2023-07-14T07:00:56Z</dcterms:created>
  <dcterms:modified xsi:type="dcterms:W3CDTF">2023-07-14T07:00:56Z</dcterms:modified>
</cp:coreProperties>
</file>