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December 2013</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December 16,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7"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5877560</wp:posOffset>
            </wp:positionH>
            <wp:positionV relativeFrom="page">
              <wp:posOffset>311785</wp:posOffset>
            </wp:positionV>
            <wp:extent cx="1526540"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26540" cy="771525"/>
                    </a:xfrm>
                    <a:prstGeom prst="rect">
                      <a:avLst/>
                    </a:prstGeom>
                    <a:noFill/>
                  </pic:spPr>
                </pic:pic>
              </a:graphicData>
            </a:graphic>
          </wp:anchor>
        </w:drawing>
      </w:r>
    </w:p>
    <w:p>
      <w:pPr>
        <w:spacing w:after="0" w:line="318"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Alcobra Ltd. Announces Highly Statistically Significant Positive Phase IIb Clinical Trial Results in Adults with Predominantly Inattentive Attention Deficit Hyperactivity Disorder</w:t>
      </w:r>
    </w:p>
    <w:p>
      <w:pPr>
        <w:spacing w:after="0" w:line="180" w:lineRule="exact"/>
        <w:rPr>
          <w:sz w:val="20"/>
          <w:szCs w:val="20"/>
          <w:color w:val="auto"/>
        </w:rPr>
      </w:pPr>
    </w:p>
    <w:p>
      <w:pPr>
        <w:ind w:left="2280" w:hanging="110"/>
        <w:spacing w:after="0"/>
        <w:tabs>
          <w:tab w:leader="none" w:pos="2280" w:val="left"/>
        </w:tabs>
        <w:numPr>
          <w:ilvl w:val="1"/>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Primary endpoint analysis of improvement over placebo highly statistically significant at p&lt;0.01</w:t>
      </w:r>
    </w:p>
    <w:p>
      <w:pPr>
        <w:spacing w:after="0" w:line="23" w:lineRule="exact"/>
        <w:rPr>
          <w:rFonts w:ascii="Arial" w:cs="Arial" w:eastAsia="Arial" w:hAnsi="Arial"/>
          <w:sz w:val="18"/>
          <w:szCs w:val="18"/>
          <w:i w:val="1"/>
          <w:iCs w:val="1"/>
          <w:color w:val="auto"/>
        </w:rPr>
      </w:pPr>
    </w:p>
    <w:p>
      <w:pPr>
        <w:ind w:left="3180" w:hanging="109"/>
        <w:spacing w:after="0"/>
        <w:tabs>
          <w:tab w:leader="none" w:pos="3180" w:val="left"/>
        </w:tabs>
        <w:numPr>
          <w:ilvl w:val="2"/>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MG01CI, a non-stimulant, is superior to placebo starting at first dosing</w:t>
      </w:r>
    </w:p>
    <w:p>
      <w:pPr>
        <w:spacing w:after="0" w:line="9" w:lineRule="exact"/>
        <w:rPr>
          <w:rFonts w:ascii="Arial" w:cs="Arial" w:eastAsia="Arial" w:hAnsi="Arial"/>
          <w:sz w:val="18"/>
          <w:szCs w:val="18"/>
          <w:i w:val="1"/>
          <w:iCs w:val="1"/>
          <w:color w:val="auto"/>
        </w:rPr>
      </w:pPr>
    </w:p>
    <w:p>
      <w:pPr>
        <w:ind w:left="2100" w:hanging="102"/>
        <w:spacing w:after="0"/>
        <w:tabs>
          <w:tab w:leader="none" w:pos="210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Trial shows no significant differences in adverse event profiles between treatment and placebo groups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TEL AVIV, ISRAEL – December 16, 2013 </w:t>
      </w:r>
      <w:r>
        <w:rPr>
          <w:rFonts w:ascii="Arial" w:cs="Arial" w:eastAsia="Arial" w:hAnsi="Arial"/>
          <w:sz w:val="18"/>
          <w:szCs w:val="18"/>
          <w:color w:val="auto"/>
        </w:rPr>
        <w:t>– Alcobra Ltd. (NASDAQ CM: ADHD) (the “Company”), an emerging biopharmaceutical company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the development and commercialization of its proprietary non-stimulant drug candidate, MG01CI (Metadoxine extended-release), to treat cognitive dysfunctions, such as ADHD and Fragile X Syndrome, announced today highly statistically significant positive results from a Phase IIb clinical trial with MG01CI in adults with Predominantly Inattentive Attention Deficit Hyperactivity Disorder (PI-ADHD).</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Phase IIb trial was a randomized, double-blind, placebo-controlled, cross-over single center study that enrolled 36 adult subjects with PI-ADHD at Geha Mental Health Center in Petach Tikva, Israel. Eligible subjects were randomly assigned in a 1:1:1 ratio to one of three treatment sequences that varied the order of investigational product administration. In each treatment sequence, subjects received a single administration, approximately one week apart and in different orders, of MG01CI 1,400 mg, MG01CI 700 mg and placebo. The primary outcome was the change from baseline of the Test of Variables of</w:t>
      </w:r>
    </w:p>
    <w:p>
      <w:pPr>
        <w:spacing w:after="0" w:line="2" w:lineRule="exact"/>
        <w:rPr>
          <w:sz w:val="20"/>
          <w:szCs w:val="20"/>
          <w:color w:val="auto"/>
        </w:rPr>
      </w:pPr>
    </w:p>
    <w:p>
      <w:pPr>
        <w:ind w:right="560"/>
        <w:spacing w:after="0" w:line="205" w:lineRule="auto"/>
        <w:rPr>
          <w:sz w:val="20"/>
          <w:szCs w:val="20"/>
          <w:color w:val="auto"/>
        </w:rPr>
      </w:pPr>
      <w:r>
        <w:rPr>
          <w:rFonts w:ascii="Arial" w:cs="Arial" w:eastAsia="Arial" w:hAnsi="Arial"/>
          <w:sz w:val="18"/>
          <w:szCs w:val="18"/>
          <w:color w:val="auto"/>
        </w:rPr>
        <w:t>Attention (TOVA</w:t>
      </w:r>
      <w:r>
        <w:rPr>
          <w:rFonts w:ascii="Arial" w:cs="Arial" w:eastAsia="Arial" w:hAnsi="Arial"/>
          <w:sz w:val="30"/>
          <w:szCs w:val="30"/>
          <w:color w:val="auto"/>
          <w:vertAlign w:val="superscript"/>
        </w:rPr>
        <w:t>®</w:t>
      </w:r>
      <w:r>
        <w:rPr>
          <w:rFonts w:ascii="Arial" w:cs="Arial" w:eastAsia="Arial" w:hAnsi="Arial"/>
          <w:sz w:val="18"/>
          <w:szCs w:val="18"/>
          <w:color w:val="auto"/>
        </w:rPr>
        <w:t>) ADHD score. The TOVA is a computerized continuous performance test that provides information about an individual’s sustained attention, speed and consistency of responding, and behavioral self-regulation.</w:t>
      </w:r>
    </w:p>
    <w:p>
      <w:pPr>
        <w:spacing w:after="0" w:line="20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an intent-to-treat analysis of the primary endpoint, the study demonstrated a statistically significant change from baseline for MG01CI 1,400 mg compared with placebo on the TOVA ADHD score (mean change 2.0, SD 4.2, p = .009). The study also demonstrated a statistically significant change from baseline for MG01CI 1,400 mg compared with placebo on the TOVA sub-score of reaction time variability (mean change 7.9, SD 19.2, p=.022). In addition, the study found a statistically significant change from baseline for MG01CI 1,400 mg compared with the 700 mg dose on the TOVA ADHD score (mean change 1.8, SD 4.7, p=.032). There were no serious adverse events or any meaningful differences in adverse events profile between the drug and placebo groups.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Jonathan Rubin, the Chief Medical Officer of Alcobra Ltd, commented, “This study provides confirmation of the immediate effects of a single 1,400 mg dose of MG01CI in adults. The statistical significance and magnitude of effect in this study replicate and confirm the TOVA findings observed in our previous placebo-controlled Phase IIb trial with MG01CI in 120 adults with ADHD. There are now two placebo-controlled Phase II studies that demonstrate the significant efficacy and tolerability attributes of MG01CI in adults with ADHD.”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10" w:lineRule="auto"/>
        <w:rPr>
          <w:sz w:val="20"/>
          <w:szCs w:val="20"/>
          <w:color w:val="auto"/>
        </w:rPr>
      </w:pPr>
      <w:r>
        <w:rPr>
          <w:rFonts w:ascii="Arial" w:cs="Arial" w:eastAsia="Arial" w:hAnsi="Arial"/>
          <w:sz w:val="18"/>
          <w:szCs w:val="18"/>
          <w:color w:val="auto"/>
        </w:rPr>
        <w:t>The results from this study will be presented in detail at an investor event in New York, NY on Friday December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at 8.30 am EST. To listen to the webcast for this event please go to http://www.alcobra-pharma.com/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PI-ADHD</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Predominantly Inattentive subtype of Attention Deficit Hyperactivity Disorder (PI-ADHD) is characterized by symptoms of inattentiveness. Individuals tend to be easily distracted and forgetful of details of daily routines and typically have problems organizing or finishing tasks, paying attention to details, and/or following instructions or conversations. The PI-ADHD subtype differs from the more commonly recognized combined subtype of ADHD in that symptoms of hyperactivity and impulsivity may be absent or minimal.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Alcobra Ltd. is an emerging biopharmaceutical company primarily focused on the development and commercialization of a proprietary drug candidate, MG01CI, to treat cognitive dysfunctions including Attention Deficit Hyperactivity Disorder (ADHD) and Fragile X Syndrome. MG01CI has completed Phase</w:t>
      </w:r>
    </w:p>
    <w:p>
      <w:pPr>
        <w:ind w:right="60" w:firstLine="8"/>
        <w:spacing w:after="0" w:line="261" w:lineRule="auto"/>
        <w:tabs>
          <w:tab w:leader="none" w:pos="165" w:val="left"/>
        </w:tabs>
        <w:numPr>
          <w:ilvl w:val="0"/>
          <w:numId w:val="2"/>
        </w:numPr>
        <w:rPr>
          <w:rFonts w:ascii="Arial" w:cs="Arial" w:eastAsia="Arial" w:hAnsi="Arial"/>
          <w:sz w:val="18"/>
          <w:szCs w:val="18"/>
          <w:color w:val="auto"/>
        </w:rPr>
      </w:pPr>
      <w:r>
        <w:rPr>
          <w:rFonts w:ascii="Arial" w:cs="Arial" w:eastAsia="Arial" w:hAnsi="Arial"/>
          <w:sz w:val="18"/>
          <w:szCs w:val="18"/>
          <w:color w:val="auto"/>
        </w:rPr>
        <w:t>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8420" w:type="dxa"/>
            <w:vAlign w:val="bottom"/>
          </w:tcPr>
          <w:p>
            <w:pPr>
              <w:ind w:left="100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LifeSci Advisors, LLC</w:t>
            </w:r>
          </w:p>
        </w:tc>
        <w:tc>
          <w:tcPr>
            <w:tcW w:w="8420" w:type="dxa"/>
            <w:vAlign w:val="bottom"/>
          </w:tcPr>
          <w:p>
            <w:pPr>
              <w:ind w:left="1000"/>
              <w:spacing w:after="0"/>
              <w:rPr>
                <w:sz w:val="20"/>
                <w:szCs w:val="20"/>
                <w:color w:val="auto"/>
              </w:rPr>
            </w:pPr>
            <w:r>
              <w:rPr>
                <w:rFonts w:ascii="Arial" w:cs="Arial" w:eastAsia="Arial" w:hAnsi="Arial"/>
                <w:sz w:val="18"/>
                <w:szCs w:val="18"/>
                <w:color w:val="auto"/>
              </w:rPr>
              <w:t>Investor Relations Ltd.</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Michael Rice</w:t>
            </w:r>
          </w:p>
        </w:tc>
        <w:tc>
          <w:tcPr>
            <w:tcW w:w="8420" w:type="dxa"/>
            <w:vAlign w:val="bottom"/>
          </w:tcPr>
          <w:p>
            <w:pPr>
              <w:ind w:left="1000"/>
              <w:spacing w:after="0"/>
              <w:rPr>
                <w:sz w:val="20"/>
                <w:szCs w:val="20"/>
                <w:color w:val="auto"/>
              </w:rPr>
            </w:pPr>
            <w:r>
              <w:rPr>
                <w:rFonts w:ascii="Arial" w:cs="Arial" w:eastAsia="Arial" w:hAnsi="Arial"/>
                <w:sz w:val="18"/>
                <w:szCs w:val="18"/>
                <w:color w:val="auto"/>
              </w:rPr>
              <w:t>Mor Dagan</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646-597-6992</w:t>
            </w:r>
          </w:p>
        </w:tc>
        <w:tc>
          <w:tcPr>
            <w:tcW w:w="8420" w:type="dxa"/>
            <w:vAlign w:val="bottom"/>
          </w:tcPr>
          <w:p>
            <w:pPr>
              <w:ind w:left="1000"/>
              <w:spacing w:after="0"/>
              <w:rPr>
                <w:sz w:val="20"/>
                <w:szCs w:val="20"/>
                <w:color w:val="auto"/>
              </w:rPr>
            </w:pPr>
            <w:r>
              <w:rPr>
                <w:rFonts w:ascii="Arial" w:cs="Arial" w:eastAsia="Arial" w:hAnsi="Arial"/>
                <w:sz w:val="18"/>
                <w:szCs w:val="18"/>
                <w:color w:val="auto"/>
              </w:rPr>
              <w:t>+972-3-5167620</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mrice@lifesciadvisors.com</w:t>
            </w:r>
          </w:p>
        </w:tc>
        <w:tc>
          <w:tcPr>
            <w:tcW w:w="8420" w:type="dxa"/>
            <w:vAlign w:val="bottom"/>
          </w:tcPr>
          <w:p>
            <w:pPr>
              <w:ind w:left="1000"/>
              <w:spacing w:after="0"/>
              <w:rPr>
                <w:sz w:val="20"/>
                <w:szCs w:val="20"/>
                <w:color w:val="auto"/>
              </w:rPr>
            </w:pPr>
            <w:r>
              <w:rPr>
                <w:rFonts w:ascii="Arial" w:cs="Arial" w:eastAsia="Arial" w:hAnsi="Arial"/>
                <w:sz w:val="18"/>
                <w:szCs w:val="18"/>
                <w:color w:val="auto"/>
              </w:rPr>
              <w:t>mor@km-ir.co.il</w:t>
            </w:r>
          </w:p>
        </w:tc>
      </w:tr>
      <w:tr>
        <w:trPr>
          <w:trHeight w:val="432"/>
        </w:trPr>
        <w:tc>
          <w:tcPr>
            <w:tcW w:w="3000" w:type="dxa"/>
            <w:vAlign w:val="bottom"/>
          </w:tcPr>
          <w:p>
            <w:pPr>
              <w:spacing w:after="0"/>
              <w:rPr>
                <w:sz w:val="24"/>
                <w:szCs w:val="24"/>
                <w:color w:val="auto"/>
              </w:rPr>
            </w:pPr>
          </w:p>
        </w:tc>
        <w:tc>
          <w:tcPr>
            <w:tcW w:w="8420" w:type="dxa"/>
            <w:vAlign w:val="bottom"/>
          </w:tcPr>
          <w:p>
            <w:pPr>
              <w:ind w:left="2540"/>
              <w:spacing w:after="0"/>
              <w:rPr>
                <w:sz w:val="20"/>
                <w:szCs w:val="20"/>
                <w:color w:val="auto"/>
              </w:rPr>
            </w:pPr>
            <w:r>
              <w:rPr>
                <w:rFonts w:ascii="Arial" w:cs="Arial" w:eastAsia="Arial" w:hAnsi="Arial"/>
                <w:sz w:val="18"/>
                <w:szCs w:val="18"/>
                <w:color w:val="auto"/>
              </w:rPr>
              <w:t># # #</w:t>
            </w:r>
          </w:p>
        </w:tc>
      </w:tr>
      <w:tr>
        <w:trPr>
          <w:trHeight w:val="648"/>
        </w:trPr>
        <w:tc>
          <w:tcPr>
            <w:tcW w:w="30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8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6334873"/>
    <w:multiLevelType w:val="hybridMultilevel"/>
    <w:lvl w:ilvl="0">
      <w:lvlJc w:val="left"/>
      <w:lvlText w:val="%1"/>
      <w:numFmt w:val="upperLetter"/>
      <w:start w:val="3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2019-12-08T05:21:40Z</dcterms:created>
  <dcterms:modified xsi:type="dcterms:W3CDTF">2019-12-08T05:21:40Z</dcterms:modified>
</cp:coreProperties>
</file>