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April 2018 (Report No. 1)</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5" w:right="1440" w:bottom="1440" w:gutter="0" w:footer="0" w:header="0"/>
        </w:sectPr>
      </w:pPr>
    </w:p>
    <w:bookmarkStart w:id="1" w:name="page2"/>
    <w:bookmarkEnd w:id="1"/>
    <w:p>
      <w:pPr>
        <w:jc w:val="both"/>
        <w:ind w:firstLine="648"/>
        <w:spacing w:after="0" w:line="264" w:lineRule="auto"/>
        <w:rPr>
          <w:sz w:val="20"/>
          <w:szCs w:val="20"/>
          <w:color w:val="auto"/>
        </w:rPr>
      </w:pPr>
      <w:r>
        <w:rPr>
          <w:rFonts w:ascii="Arial" w:cs="Arial" w:eastAsia="Arial" w:hAnsi="Arial"/>
          <w:sz w:val="18"/>
          <w:szCs w:val="18"/>
          <w:color w:val="auto"/>
        </w:rPr>
        <w:t>On April 2, 2018, Mark Herbert, Interim President of Arcturus Therapeutics Ltd. (the “Company”), sent a letter (the “Letter”) to the Company’s employees regarding the progress the Company has been making across its ongoing preclinical programs and collaborations. The Letter is attached hereto as 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Letter may contain “forward-looking statements” that involve substantial risks and uncertainties for purposes of the safe harbor provided by the Private Securities Litigation Reform Act of 1995. Any statements, other than statements of historical fact, included in the Letter regarding strategy, future operations, collaborations, future financial position, prospects, plans and objectives of management are forward-looking statements. Examples of such statements may include, but are not limited to, statements relating to the Company’s future operations and its ability to successfully initiate and complete clinical trials; the nature, strategy and focus of the Company; the potential benefits of the Company’s new facility and the development and commercial potential and potential benefits of any product candidates and collaborative arrangements. The Company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forward-looking statements contained or implied in the Letter are subject to other risks and uncertainties, including those discussed under the heading “Risk Factors” in the Company’s (formerly Alcobra Ltd.’s) Annual Report on Form 20-F for the fiscal year ended December 31, 2016, filed with the Securities and Exchange Commission (the “SEC”) on April 28, 2017 and in subsequent filings with, or submissions to,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33333"/>
        </w:rPr>
        <w:t>Arcturus Therapeutics</w:t>
      </w:r>
    </w:p>
    <w:p>
      <w:pPr>
        <w:spacing w:after="0" w:line="9" w:lineRule="exact"/>
        <w:rPr>
          <w:sz w:val="20"/>
          <w:szCs w:val="20"/>
          <w:color w:val="auto"/>
        </w:rPr>
      </w:pPr>
    </w:p>
    <w:p>
      <w:pPr>
        <w:jc w:val="center"/>
        <w:ind w:right="9820" w:firstLine="8"/>
        <w:spacing w:after="0" w:line="323" w:lineRule="auto"/>
        <w:tabs>
          <w:tab w:leader="none" w:pos="435" w:val="left"/>
        </w:tabs>
        <w:numPr>
          <w:ilvl w:val="0"/>
          <w:numId w:val="1"/>
        </w:numPr>
        <w:rPr>
          <w:rFonts w:ascii="Arial" w:cs="Arial" w:eastAsia="Arial" w:hAnsi="Arial"/>
          <w:sz w:val="16"/>
          <w:szCs w:val="16"/>
          <w:color w:val="333333"/>
        </w:rPr>
      </w:pPr>
      <w:r>
        <w:rPr>
          <w:rFonts w:ascii="Arial" w:cs="Arial" w:eastAsia="Arial" w:hAnsi="Arial"/>
          <w:sz w:val="16"/>
          <w:szCs w:val="16"/>
          <w:color w:val="333333"/>
        </w:rPr>
        <w:t>900-2660 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333333"/>
        </w:rPr>
        <w:t>Andrew Brimmer / Trevor Gibbons / Joseph Sala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(212) 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33333"/>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333333"/>
        </w:rPr>
      </w:pPr>
      <w:r>
        <w:rPr>
          <w:rFonts w:ascii="Arial" w:cs="Arial" w:eastAsia="Arial" w:hAnsi="Arial"/>
          <w:sz w:val="16"/>
          <w:szCs w:val="16"/>
          <w:color w:val="333333"/>
        </w:rPr>
        <w:t>597-6979 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333333"/>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Morrow Sodali, LLC</w:t>
      </w:r>
    </w:p>
    <w:p>
      <w:pPr>
        <w:spacing w:after="0" w:line="9" w:lineRule="exact"/>
        <w:rPr>
          <w:sz w:val="20"/>
          <w:szCs w:val="20"/>
          <w:color w:val="auto"/>
        </w:rPr>
      </w:pPr>
    </w:p>
    <w:p>
      <w:pPr>
        <w:ind w:right="9420" w:firstLine="8"/>
        <w:spacing w:after="0" w:line="323" w:lineRule="auto"/>
        <w:tabs>
          <w:tab w:leader="none" w:pos="435"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300-2476 ARCT@morrowsodali.com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00" w:type="dxa"/>
            <w:vAlign w:val="bottom"/>
            <w:gridSpan w:val="2"/>
          </w:tcPr>
          <w:p>
            <w:pPr>
              <w:ind w:left="210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April 2, 2018</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8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891"/>
        </w:trPr>
        <w:tc>
          <w:tcPr>
            <w:tcW w:w="3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984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99.1</w:t>
            </w:r>
          </w:p>
        </w:tc>
        <w:tc>
          <w:tcPr>
            <w:tcW w:w="9840" w:type="dxa"/>
            <w:vAlign w:val="bottom"/>
          </w:tcPr>
          <w:p>
            <w:pPr>
              <w:ind w:left="720"/>
              <w:spacing w:after="0"/>
              <w:rPr>
                <w:sz w:val="20"/>
                <w:szCs w:val="20"/>
                <w:color w:val="auto"/>
              </w:rPr>
            </w:pPr>
            <w:r>
              <w:rPr>
                <w:rFonts w:ascii="Arial" w:cs="Arial" w:eastAsia="Arial" w:hAnsi="Arial"/>
                <w:sz w:val="18"/>
                <w:szCs w:val="18"/>
                <w:color w:val="auto"/>
              </w:rPr>
              <w:t>Letter to Company Employees from Mark Herbert, dated April 2, 2018</w:t>
            </w:r>
          </w:p>
        </w:tc>
      </w:tr>
      <w:tr>
        <w:trPr>
          <w:trHeight w:val="675"/>
        </w:trPr>
        <w:tc>
          <w:tcPr>
            <w:tcW w:w="15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Arcturus Therapeutics Ltd.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Mark Herbert, Interim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Notes from the Road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Hi Team,</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excited to share some of the great progress we have been making at Arcturus across our ongoing preclinical programs and collaborations. We are confident that we are well-positioned to deliver on our objective of developing innovative RNA medicines.</w:t>
      </w:r>
    </w:p>
    <w:p>
      <w:pPr>
        <w:spacing w:after="0" w:line="170"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 recently returned from Germany, where together with seven Arcturus colleagues, we had a successful kick-off meeting for our partnership with CureVac, one of the three leading pure-play novel messenger RNA (mRNA) therapeutics companies. Our new partnership with CureVac is the first co-development program of our lead asset, LUNAR-OTC. As you may recall, we announced in January 2018 a broad strategic collaboration agreement with CureVac to jointly discover, develop and commercialize novel mRNA therapeutics. These recent meetings with CureVac made clear to us that they value Arcturus’ innovative, proprietary delivery technology and the potential for our collaboration.</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existing partners and other stakeholders have expressed renewed enthusiasm and support for the important work that we at Arcturus do to deliver value for patients, partners, employees and shareholders. We have also continued to receive tremendous interest from new pharma and biotech partners for use of our technology platforms in oncology and infectious disease applications as evidenced by the more than 25 one-on-one meetings we supported at BIO Europe in Amsterdam in March.</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your continued efforts have driven key advancements in our platform and ongoing collaborations. We have completed mouse and non-human primate studies, which demonstrate applications of LUNAR™ for infectious and oncology vaccines. Our lung delivery and LUNAR-CF data, presented recently to our collaborators at Cystic Fibrosis Foundation Therapeutics, was impressive, and we hope to fast-track additional proof-of-concept studies in non-human primates and quickly move our program to the clinic. Finally, we have achieved LUNAR-OTC proof-of-concept in a repeat dose study in a mouse model of OTC deficiency. This is an important milestone when considering utility of an mRNA therapeutic, and we have set the stage for future successes as we work with the CureVac team to move the program forward.</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progress is driven by what you do each and every day – from our preclinical and scientific teams to our researchers and business development leaders. Thanks to your hard work, Arcturus is positioned for continued success as we build on our momentum and advance the Company toward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As you know, we recently moved into our new headquarters on March 19, a reflection of the growth and expansion our footprint and broadened capabilities.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nearly 25,000 square foot state-of-the-art facility encompasses all of our functional groups, with offices, labs and vivarium located in a single location.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are confident the new facility will deliver significant benefits to the entire Arcturus organization providing:</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Stronger scientific infrastructure, which will enhance our platform research capabilities;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production, process development and scale capabilities for our RNA and LUNAR technology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preclinical and pharmacology research capabilities;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of the art offices and infrastructure.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again for remaining focused on your day-to-day responsibilities as we aim to transform the lives of patients with serious diseases. We are committed to executing our strategic plan, and we appreciate your continued efforts as we build on our success in developing and commercializing our diverse pipeline of RNA therapeutics.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58"/>
    </w:lvl>
  </w:abstractNum>
  <w:abstractNum w:abstractNumId="1">
    <w:nsid w:val="19495CFF"/>
    <w:multiLevelType w:val="hybridMultilevel"/>
    <w:lvl w:ilvl="0">
      <w:lvlJc w:val="left"/>
      <w:lvlText w:val="(%1)"/>
      <w:numFmt w:val="decimal"/>
      <w:start w:val="646"/>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2019-12-08T04:52:57Z</dcterms:created>
  <dcterms:modified xsi:type="dcterms:W3CDTF">2019-12-08T04:52:57Z</dcterms:modified>
</cp:coreProperties>
</file>