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601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60121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Payne Joseph E</w:t>
              </w:r>
            </w:hyperlink>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gridSpan w:val="12"/>
          </w:tcPr>
          <w:p>
            <w:pPr>
              <w:spacing w:after="0" w:line="16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Arcturus Therapeutics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ARCT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Arial" w:cs="Arial" w:eastAsia="Arial" w:hAnsi="Arial"/>
                <w:sz w:val="18"/>
                <w:szCs w:val="18"/>
                <w:color w:val="000000"/>
                <w:vertAlign w:val="superscript"/>
              </w:rPr>
              <w:t>(Check all applicable)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top w:val="single" w:sz="8" w:color="0000EE"/>
            </w:tcBorders>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vMerge w:val="restart"/>
          </w:tcPr>
          <w:p>
            <w:pPr>
              <w:spacing w:after="0"/>
              <w:rPr>
                <w:sz w:val="4"/>
                <w:szCs w:val="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4"/>
                <w:szCs w:val="4"/>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3"/>
                <w:szCs w:val="3"/>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gridSpan w:val="4"/>
            <w:vMerge w:val="restart"/>
          </w:tcPr>
          <w:p>
            <w:pPr>
              <w:ind w:left="560"/>
              <w:spacing w:after="0"/>
              <w:rPr>
                <w:sz w:val="20"/>
                <w:szCs w:val="20"/>
                <w:color w:val="auto"/>
              </w:rPr>
            </w:pPr>
            <w:r>
              <w:rPr>
                <w:rFonts w:ascii="Times New Roman" w:cs="Times New Roman" w:eastAsia="Times New Roman" w:hAnsi="Times New Roman"/>
                <w:sz w:val="16"/>
                <w:szCs w:val="16"/>
                <w:color w:val="0000FF"/>
              </w:rPr>
              <w:t>President and CEO</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 ARCTURUS THERAPEUTICS HOLDINGS</w:t>
            </w:r>
          </w:p>
        </w:tc>
        <w:tc>
          <w:tcPr>
            <w:tcW w:w="146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0000FF"/>
              </w:rPr>
              <w:t>06/21/2022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4"/>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35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10628 SCIENCE CENTER DRIVE, SUITE 250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6"/>
                <w:szCs w:val="6"/>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22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92121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ind w:left="260"/>
              <w:spacing w:after="0" w:line="174" w:lineRule="exact"/>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SAN DIEGO</w:t>
            </w:r>
          </w:p>
        </w:tc>
        <w:tc>
          <w:tcPr>
            <w:tcW w:w="1200" w:type="dxa"/>
            <w:vAlign w:val="bottom"/>
            <w:gridSpan w:val="3"/>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140"/>
              <w:spacing w:after="0" w:line="106" w:lineRule="exact"/>
              <w:rPr>
                <w:sz w:val="20"/>
                <w:szCs w:val="20"/>
                <w:color w:val="auto"/>
              </w:rPr>
            </w:pPr>
            <w:r>
              <w:rPr>
                <w:rFonts w:ascii="Arial" w:cs="Arial" w:eastAsia="Arial" w:hAnsi="Arial"/>
                <w:sz w:val="12"/>
                <w:szCs w:val="12"/>
                <w:color w:val="auto"/>
              </w:rPr>
              <w:t>Person</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7"/>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8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40" w:type="dxa"/>
            <w:vAlign w:val="bottom"/>
            <w:gridSpan w:val="6"/>
          </w:tcPr>
          <w:p>
            <w:pPr>
              <w:ind w:left="8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1520" w:type="dxa"/>
            <w:vAlign w:val="bottom"/>
            <w:tcBorders>
              <w:bottom w:val="single" w:sz="8" w:color="2C2C2C"/>
            </w:tcBorders>
            <w:gridSpan w:val="4"/>
          </w:tcPr>
          <w:p>
            <w:pPr>
              <w:spacing w:after="0"/>
              <w:rPr>
                <w:sz w:val="6"/>
                <w:szCs w:val="6"/>
                <w:color w:val="auto"/>
              </w:rPr>
            </w:pPr>
          </w:p>
        </w:tc>
        <w:tc>
          <w:tcPr>
            <w:tcW w:w="2700" w:type="dxa"/>
            <w:vAlign w:val="bottom"/>
            <w:tcBorders>
              <w:bottom w:val="single" w:sz="8" w:color="2C2C2C"/>
            </w:tcBorders>
            <w:gridSpan w:val="6"/>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6"/>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4"/>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Disposed of</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150,000</w:t>
            </w:r>
            <w:r>
              <w:rPr>
                <w:rFonts w:ascii="Times New Roman" w:cs="Times New Roman" w:eastAsia="Times New Roman" w:hAnsi="Times New Roman"/>
                <w:sz w:val="20"/>
                <w:szCs w:val="20"/>
                <w:color w:val="008000"/>
                <w:vertAlign w:val="superscript"/>
              </w:rPr>
              <w:t>(1)</w:t>
            </w:r>
          </w:p>
        </w:tc>
        <w:tc>
          <w:tcPr>
            <w:tcW w:w="2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150,000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34.57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ind w:left="240"/>
              <w:spacing w:after="0" w:line="139" w:lineRule="exact"/>
              <w:rPr>
                <w:sz w:val="20"/>
                <w:szCs w:val="20"/>
                <w:color w:val="auto"/>
              </w:rPr>
            </w:pPr>
            <w:r>
              <w:rPr>
                <w:rFonts w:ascii="Times New Roman" w:cs="Times New Roman" w:eastAsia="Times New Roman" w:hAnsi="Times New Roman"/>
                <w:sz w:val="13"/>
                <w:szCs w:val="13"/>
                <w:color w:val="0000FF"/>
              </w:rPr>
              <w:t>06/21/2022</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ind w:left="10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12/10/2031</w:t>
            </w:r>
          </w:p>
        </w:tc>
        <w:tc>
          <w:tcPr>
            <w:tcW w:w="60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3"/>
                <w:szCs w:val="13"/>
                <w:color w:val="0000FF"/>
              </w:rPr>
              <w:t>150,000</w:t>
            </w:r>
          </w:p>
        </w:tc>
        <w:tc>
          <w:tcPr>
            <w:tcW w:w="620" w:type="dxa"/>
            <w:vAlign w:val="bottom"/>
          </w:tcPr>
          <w:p>
            <w:pPr>
              <w:ind w:left="30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38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to purchase shares of common stock conditionally approved by the Board of Directors on December 10, 2021, subject to approval of an amendment to the Company's Amended and Restated 2019 Omnibus Equity Incentive Plan by the Company's stockholders, which approval was obtained at the Company's 2022 Annual Meeting of Stockholders held on June 21, 2022.</w:t>
      </w:r>
    </w:p>
    <w:p>
      <w:pPr>
        <w:spacing w:after="0" w:line="21" w:lineRule="exact"/>
        <w:rPr>
          <w:rFonts w:ascii="Times New Roman" w:cs="Times New Roman" w:eastAsia="Times New Roman" w:hAnsi="Times New Roman"/>
          <w:sz w:val="13"/>
          <w:szCs w:val="13"/>
          <w:color w:val="008000"/>
        </w:rPr>
      </w:pPr>
    </w:p>
    <w:p>
      <w:pPr>
        <w:ind w:left="40" w:right="2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25% on December 10, 2022, the first anniversary of the date this award was conditionally approved by the Board of Directors, and the remainder vest in equal increments on each successive one-month anniversary thereafter for the next thirty-six months.</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Ilan Katz, attorney-in-fact</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06/23/2022</w:t>
            </w:r>
          </w:p>
        </w:tc>
      </w:tr>
      <w:tr>
        <w:trPr>
          <w:trHeight w:val="221"/>
        </w:trPr>
        <w:tc>
          <w:tcPr>
            <w:tcW w:w="18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8"/>
              </w:rPr>
              <w:t>** Signature of Reporting Person</w:t>
            </w: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7315"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2022-06-23T15:20:46Z</dcterms:created>
  <dcterms:modified xsi:type="dcterms:W3CDTF">2022-06-23T15:20:46Z</dcterms:modified>
</cp:coreProperties>
</file>