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665725_8k-arct.htm"/>
      <w:bookmarkStart w:id="1" w:name="kse665725_8karct"/>
      <w:bookmarkEnd w:id="0"/>
      <w:bookmarkEnd w:id="1"/>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825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25,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ARCTURUS THERAPEUTICS HOLDINGS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100" w:type="dxa"/>
        <w:jc w:val="left"/>
        <w:tblInd w:w="0" w:type="dxa"/>
        <w:shd w:fill="FFFFFF" w:val="clear"/>
        <w:tblLayout w:type="fixed"/>
        <w:tblCellMar>
          <w:top w:w="0" w:type="dxa"/>
          <w:left w:w="0" w:type="dxa"/>
          <w:bottom w:w="0" w:type="dxa"/>
          <w:right w:w="0" w:type="dxa"/>
        </w:tblCellMar>
      </w:tblPr>
      <w:tblGrid>
        <w:gridCol w:w="2270"/>
        <w:gridCol w:w="60"/>
        <w:gridCol w:w="1145"/>
        <w:gridCol w:w="60"/>
        <w:gridCol w:w="1565"/>
      </w:tblGrid>
      <w:tr>
        <w:trPr/>
        <w:tc>
          <w:tcPr>
            <w:tcW w:w="2270" w:type="dxa"/>
            <w:tcBorders/>
            <w:shd w:fill="FFFFFF" w:val="clear"/>
            <w:vAlign w:val="center"/>
          </w:tcPr>
          <w:p>
            <w:pPr>
              <w:pStyle w:val="TableContents"/>
              <w:bidi w:val="0"/>
              <w:spacing w:before="0" w:after="283"/>
              <w:jc w:val="center"/>
              <w:rPr>
                <w:b/>
                <w:sz w:val="20"/>
              </w:rPr>
            </w:pPr>
            <w:bookmarkStart w:id="5" w:name="xdx_906_edei--EntityIncorporationStateCo"/>
            <w:bookmarkEnd w:id="5"/>
            <w:r>
              <w:rPr>
                <w:b/>
                <w:sz w:val="20"/>
              </w:rPr>
              <w:t>Delaware</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b/>
                <w:sz w:val="20"/>
              </w:rPr>
            </w:pPr>
            <w:bookmarkStart w:id="6" w:name="xdx_901_edei--EntityFileNumber_c20260825"/>
            <w:bookmarkEnd w:id="6"/>
            <w:r>
              <w:rPr>
                <w:b/>
                <w:sz w:val="20"/>
              </w:rPr>
              <w:t>001-38942</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center"/>
              <w:rPr>
                <w:b/>
                <w:sz w:val="20"/>
              </w:rPr>
            </w:pPr>
            <w:bookmarkStart w:id="7" w:name="xdx_904_edei--EntityTaxIdentificationNum"/>
            <w:bookmarkEnd w:id="7"/>
            <w:r>
              <w:rPr>
                <w:b/>
                <w:sz w:val="20"/>
              </w:rPr>
              <w:t>32-0595345</w:t>
            </w:r>
          </w:p>
        </w:tc>
      </w:tr>
      <w:tr>
        <w:trPr/>
        <w:tc>
          <w:tcPr>
            <w:tcW w:w="2270" w:type="dxa"/>
            <w:tcBorders/>
            <w:shd w:fill="FFFFFF" w:val="cle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b/>
                <w:sz w:val="20"/>
              </w:rPr>
            </w:pPr>
            <w:r>
              <w:rPr>
                <w:b/>
                <w:sz w:val="20"/>
              </w:rPr>
              <w:t>(Commission</w:t>
              <w:br/>
              <w:t>File Number)</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center"/>
              <w:rPr>
                <w:b/>
                <w:sz w:val="20"/>
              </w:rPr>
            </w:pPr>
            <w:r>
              <w:rPr>
                <w:b/>
                <w:sz w:val="20"/>
              </w:rPr>
              <w:t>(I.R.S. Employer</w:t>
              <w:b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10285 Science Center Drive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San Diego, </w:t>
      </w:r>
      <w:bookmarkStart w:id="10" w:name="xdx_902_edei--EntityAddressStateOrProvin"/>
      <w:bookmarkEnd w:id="10"/>
      <w:r>
        <w:rPr>
          <w:rFonts w:ascii="Times New Roman;Times;Serif" w:hAnsi="Times New Roman;Times;Serif"/>
          <w:b/>
          <w:i w:val="false"/>
          <w:caps w:val="false"/>
          <w:smallCaps w:val="false"/>
          <w:sz w:val="20"/>
        </w:rPr>
        <w:t xml:space="preserve">California </w:t>
      </w:r>
      <w:bookmarkStart w:id="11" w:name="xdx_90F_edei--EntityAddressPostalZipCode"/>
      <w:bookmarkEnd w:id="11"/>
      <w:r>
        <w:rPr>
          <w:rFonts w:ascii="Times New Roman;Times;Serif" w:hAnsi="Times New Roman;Times;Serif"/>
          <w:b/>
          <w:i w:val="false"/>
          <w:caps w:val="false"/>
          <w:smallCaps w:val="false"/>
          <w:sz w:val="20"/>
        </w:rPr>
        <w:t>92121</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3_edei--CityAreaCode_c20260825__20"/>
      <w:bookmarkEnd w:id="12"/>
      <w:r>
        <w:rPr>
          <w:rFonts w:ascii="Times New Roman;Times;Serif" w:hAnsi="Times New Roman;Times;Serif"/>
          <w:b/>
          <w:i w:val="false"/>
          <w:caps w:val="false"/>
          <w:smallCaps w:val="false"/>
          <w:sz w:val="20"/>
        </w:rPr>
        <w:t xml:space="preserve">(858) </w:t>
      </w:r>
      <w:bookmarkStart w:id="13" w:name="xdx_90A_edei--LocalPhoneNumber_c20260825"/>
      <w:bookmarkEnd w:id="13"/>
      <w:r>
        <w:rPr>
          <w:rFonts w:ascii="Times New Roman;Times;Serif" w:hAnsi="Times New Roman;Times;Serif"/>
          <w:b/>
          <w:i w:val="false"/>
          <w:caps w:val="false"/>
          <w:smallCaps w:val="false"/>
          <w:sz w:val="20"/>
        </w:rPr>
        <w:t>900-2660</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pPr>
            <w:bookmarkStart w:id="14" w:name="xdx_90A_edei--WrittenCommunications_c202"/>
            <w:bookmarkEnd w:id="14"/>
            <w:r>
              <w:rPr/>
              <w:t>☐</w:t>
            </w:r>
          </w:p>
        </w:tc>
        <w:tc>
          <w:tcPr>
            <w:tcW w:w="9065" w:type="dxa"/>
            <w:tcBorders/>
            <w:shd w:fill="FFFFFF" w:val="clear"/>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pPr>
            <w:bookmarkStart w:id="15" w:name="xdx_90D_edei--SolicitingMaterial_c202608"/>
            <w:bookmarkEnd w:id="15"/>
            <w:r>
              <w:rPr/>
              <w:t>☐</w:t>
            </w:r>
          </w:p>
        </w:tc>
        <w:tc>
          <w:tcPr>
            <w:tcW w:w="9065" w:type="dxa"/>
            <w:tcBorders/>
            <w:shd w:fill="FFFFFF" w:val="clear"/>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pPr>
            <w:bookmarkStart w:id="16" w:name="xdx_90B_edei--PreCommencementTenderOffer"/>
            <w:bookmarkEnd w:id="16"/>
            <w:r>
              <w:rPr/>
              <w:t>☐</w:t>
            </w:r>
          </w:p>
        </w:tc>
        <w:tc>
          <w:tcPr>
            <w:tcW w:w="9065" w:type="dxa"/>
            <w:tcBorders/>
            <w:shd w:fill="FFFFFF" w:val="clear"/>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pPr>
            <w:bookmarkStart w:id="17" w:name="xdx_903_edei--PreCommencementIssuerTende"/>
            <w:bookmarkEnd w:id="17"/>
            <w:r>
              <w:rPr/>
              <w:t>☐</w:t>
            </w:r>
          </w:p>
        </w:tc>
        <w:tc>
          <w:tcPr>
            <w:tcW w:w="9065" w:type="dxa"/>
            <w:tcBorders/>
            <w:shd w:fill="FFFFFF" w:val="clear"/>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305" w:type="dxa"/>
        <w:jc w:val="left"/>
        <w:tblInd w:w="0" w:type="dxa"/>
        <w:shd w:fill="FFFFFF" w:val="clear"/>
        <w:tblLayout w:type="fixed"/>
        <w:tblCellMar>
          <w:top w:w="0" w:type="dxa"/>
          <w:left w:w="0" w:type="dxa"/>
          <w:bottom w:w="28" w:type="dxa"/>
          <w:right w:w="0" w:type="dxa"/>
        </w:tblCellMar>
      </w:tblPr>
      <w:tblGrid>
        <w:gridCol w:w="3650"/>
        <w:gridCol w:w="60"/>
        <w:gridCol w:w="860"/>
        <w:gridCol w:w="60"/>
        <w:gridCol w:w="2675"/>
      </w:tblGrid>
      <w:tr>
        <w:trPr/>
        <w:tc>
          <w:tcPr>
            <w:tcW w:w="3650"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shd w:fill="FFFFFF" w:val="clear"/>
            <w:vAlign w:val="center"/>
          </w:tcPr>
          <w:p>
            <w:pPr>
              <w:pStyle w:val="TableContents"/>
              <w:bidi w:val="0"/>
              <w:spacing w:before="0" w:after="283"/>
              <w:jc w:val="center"/>
              <w:rPr>
                <w:b/>
                <w:sz w:val="20"/>
              </w:rPr>
            </w:pPr>
            <w:r>
              <w:rPr>
                <w:b/>
                <w:sz w:val="20"/>
              </w:rPr>
              <w:t>Name of each exchange</w:t>
              <w:br/>
              <w:t>on which registered</w:t>
            </w:r>
          </w:p>
        </w:tc>
      </w:tr>
      <w:tr>
        <w:trPr/>
        <w:tc>
          <w:tcPr>
            <w:tcW w:w="3650" w:type="dxa"/>
            <w:tcBorders/>
            <w:shd w:fill="FFFFFF" w:val="clear"/>
            <w:tcMar>
              <w:bottom w:w="0" w:type="dxa"/>
            </w:tcMar>
            <w:vAlign w:val="center"/>
          </w:tcPr>
          <w:p>
            <w:pPr>
              <w:pStyle w:val="TableContents"/>
              <w:bidi w:val="0"/>
              <w:spacing w:before="0" w:after="283"/>
              <w:jc w:val="center"/>
              <w:rPr>
                <w:b/>
                <w:sz w:val="20"/>
              </w:rPr>
            </w:pPr>
            <w:bookmarkStart w:id="18" w:name="xdx_903_edei--Security12bTitle_c20260825"/>
            <w:bookmarkEnd w:id="18"/>
            <w:r>
              <w:rPr>
                <w:b/>
                <w:sz w:val="20"/>
              </w:rPr>
              <w:t>Common stock, par value $0.001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b/>
                <w:sz w:val="20"/>
              </w:rPr>
            </w:pPr>
            <w:bookmarkStart w:id="19" w:name="xdx_907_edei--TradingSymbol_c20260825__2"/>
            <w:bookmarkEnd w:id="19"/>
            <w:r>
              <w:rPr>
                <w:b/>
                <w:sz w:val="20"/>
              </w:rPr>
              <w:t>ARCT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283"/>
              <w:jc w:val="center"/>
              <w:rPr>
                <w:b/>
                <w:sz w:val="20"/>
              </w:rPr>
            </w:pPr>
            <w:bookmarkStart w:id="20" w:name="xdx_90F_edei--SecurityExchangeName_c2026"/>
            <w:bookmarkEnd w:id="20"/>
            <w:r>
              <w:rPr>
                <w:b/>
                <w:sz w:val="20"/>
              </w:rPr>
              <w:t>The 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2026, Arcturus Therapeutics Holdings Inc., a Delaware corporation (the “Company” or “Arcturus”) will present a poster (the “Presentation”) titled “Impact of ARCT-810 mRNA Therapy on Dietary Intake and Biochemical Data in Adolescents and Adults with Ornithine Transcarbamylase Deficiency” at the 2026 Annual Symposium of the Society for the Study of Inborn Errors of Metabolism, to be held in Helsinki, Finland. Additional data and the regulatory plan for this program is expected to be communicated later this quarter.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Presentation is furnished herewith as Exhibit 99.1 and incorporated into this Item 7.01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and the Presentation, shall not be deemed “filed” for purposes of Section 18 of the Securities Exchange Act of 1934, as amended, or otherwise subject to the liabilities of that section or Sections 11 and 12(a)(2) of the Securities Act of 1933, as amended. The information contained in this Item 7.01, and in the Presentation, shall not be incorporated by reference into any filing with the Securities and Exchange Commission made by the Company, whether made before or after the date hereof, regardless of any general incorporation language in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145" w:type="dxa"/>
        <w:jc w:val="left"/>
        <w:tblInd w:w="0" w:type="dxa"/>
        <w:shd w:fill="FFFFFF" w:val="clear"/>
        <w:tblLayout w:type="fixed"/>
        <w:tblCellMar>
          <w:top w:w="0" w:type="dxa"/>
          <w:left w:w="0" w:type="dxa"/>
          <w:bottom w:w="0" w:type="dxa"/>
          <w:right w:w="0" w:type="dxa"/>
        </w:tblCellMar>
      </w:tblPr>
      <w:tblGrid>
        <w:gridCol w:w="995"/>
        <w:gridCol w:w="5150"/>
      </w:tblGrid>
      <w:tr>
        <w:trPr/>
        <w:tc>
          <w:tcPr>
            <w:tcW w:w="995" w:type="dxa"/>
            <w:tcBorders/>
            <w:shd w:fill="FFFFFF" w:val="clear"/>
            <w:vAlign w:val="center"/>
          </w:tcPr>
          <w:p>
            <w:pPr>
              <w:pStyle w:val="TableContents"/>
              <w:bidi w:val="0"/>
              <w:spacing w:before="0" w:after="283"/>
              <w:jc w:val="left"/>
              <w:rPr>
                <w:b/>
                <w:sz w:val="20"/>
              </w:rPr>
            </w:pPr>
            <w:r>
              <w:rPr>
                <w:b/>
                <w:sz w:val="20"/>
              </w:rPr>
              <w:t>Exhibit No.</w:t>
            </w:r>
          </w:p>
        </w:tc>
        <w:tc>
          <w:tcPr>
            <w:tcW w:w="5150" w:type="dxa"/>
            <w:tcBorders/>
            <w:shd w:fill="FFFFFF" w:val="clear"/>
            <w:vAlign w:val="center"/>
          </w:tcPr>
          <w:p>
            <w:pPr>
              <w:pStyle w:val="TableContents"/>
              <w:bidi w:val="0"/>
              <w:spacing w:before="0" w:after="283"/>
              <w:jc w:val="left"/>
              <w:rPr>
                <w:b/>
                <w:sz w:val="20"/>
              </w:rPr>
            </w:pPr>
            <w:r>
              <w:rPr>
                <w:b/>
                <w:sz w:val="20"/>
              </w:rPr>
              <w:t>Description of Exhibit</w:t>
            </w:r>
          </w:p>
        </w:tc>
      </w:tr>
      <w:tr>
        <w:trPr/>
        <w:tc>
          <w:tcPr>
            <w:tcW w:w="995" w:type="dxa"/>
            <w:tcBorders/>
            <w:shd w:fill="FFFFFF" w:val="clear"/>
            <w:vAlign w:val="center"/>
          </w:tcPr>
          <w:p>
            <w:pPr>
              <w:pStyle w:val="TableContents"/>
              <w:bidi w:val="0"/>
              <w:spacing w:before="0" w:after="283"/>
              <w:jc w:val="left"/>
              <w:rPr/>
            </w:pPr>
            <w:r>
              <w:rPr/>
              <w:t> </w:t>
            </w:r>
          </w:p>
        </w:tc>
        <w:tc>
          <w:tcPr>
            <w:tcW w:w="5150"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sz w:val="20"/>
              </w:rPr>
            </w:pPr>
            <w:r>
              <w:rPr>
                <w:sz w:val="20"/>
              </w:rPr>
              <w:t>99.1</w:t>
            </w:r>
          </w:p>
        </w:tc>
        <w:tc>
          <w:tcPr>
            <w:tcW w:w="5150" w:type="dxa"/>
            <w:tcBorders/>
            <w:shd w:fill="FFFFFF" w:val="clear"/>
            <w:vAlign w:val="center"/>
          </w:tcPr>
          <w:p>
            <w:pPr>
              <w:pStyle w:val="TableContents"/>
              <w:bidi w:val="0"/>
              <w:spacing w:before="0" w:after="283"/>
              <w:jc w:val="left"/>
              <w:rPr/>
            </w:pPr>
            <w:hyperlink w:anchor="e665725_ex99-1.pdf">
              <w:r>
                <w:rPr>
                  <w:rStyle w:val="InternetLink"/>
                  <w:sz w:val="20"/>
                </w:rPr>
                <w:t>Presentation</w:t>
              </w:r>
            </w:hyperlink>
            <w:r>
              <w:rPr>
                <w:sz w:val="20"/>
              </w:rPr>
              <w:t xml:space="preserve"> </w:t>
            </w:r>
          </w:p>
        </w:tc>
      </w:tr>
      <w:tr>
        <w:trPr/>
        <w:tc>
          <w:tcPr>
            <w:tcW w:w="995" w:type="dxa"/>
            <w:tcBorders/>
            <w:shd w:fill="FFFFFF" w:val="clear"/>
            <w:vAlign w:val="center"/>
          </w:tcPr>
          <w:p>
            <w:pPr>
              <w:pStyle w:val="TableContents"/>
              <w:bidi w:val="0"/>
              <w:spacing w:before="0" w:after="283"/>
              <w:jc w:val="left"/>
              <w:rPr>
                <w:sz w:val="20"/>
              </w:rPr>
            </w:pPr>
            <w:r>
              <w:rPr>
                <w:sz w:val="20"/>
              </w:rPr>
              <w:t>104</w:t>
            </w:r>
          </w:p>
        </w:tc>
        <w:tc>
          <w:tcPr>
            <w:tcW w:w="5150" w:type="dxa"/>
            <w:tcBorders/>
            <w:shd w:fill="FFFFFF" w:val="clear"/>
            <w:vAlign w:val="center"/>
          </w:tcPr>
          <w:p>
            <w:pPr>
              <w:pStyle w:val="TableContents"/>
              <w:bidi w:val="0"/>
              <w:spacing w:before="0" w:after="283"/>
              <w:jc w:val="left"/>
              <w:rPr>
                <w:sz w:val="20"/>
              </w:rPr>
            </w:pPr>
            <w:r>
              <w:rPr>
                <w:sz w:val="20"/>
              </w:rPr>
              <w:t>Cover Page to this Current Report on Form 8-K in Inline XBRL</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4974" w:type="dxa"/>
        <w:jc w:val="left"/>
        <w:tblInd w:w="0" w:type="dxa"/>
        <w:shd w:fill="FFFFFF" w:val="clear"/>
        <w:tblLayout w:type="fixed"/>
        <w:tblCellMar>
          <w:top w:w="0" w:type="dxa"/>
          <w:left w:w="0" w:type="dxa"/>
          <w:bottom w:w="0" w:type="dxa"/>
          <w:right w:w="0" w:type="dxa"/>
        </w:tblCellMar>
      </w:tblPr>
      <w:tblGrid>
        <w:gridCol w:w="1865"/>
        <w:gridCol w:w="677"/>
        <w:gridCol w:w="2432"/>
      </w:tblGrid>
      <w:tr>
        <w:trPr/>
        <w:tc>
          <w:tcPr>
            <w:tcW w:w="1865" w:type="dxa"/>
            <w:tcBorders/>
            <w:shd w:fill="FFFFFF" w:val="clear"/>
            <w:vAlign w:val="center"/>
          </w:tcPr>
          <w:p>
            <w:pPr>
              <w:pStyle w:val="TableContents"/>
              <w:bidi w:val="0"/>
              <w:spacing w:before="0" w:after="283"/>
              <w:jc w:val="left"/>
              <w:rPr/>
            </w:pPr>
            <w:r>
              <w:rPr/>
              <w:t> </w:t>
            </w:r>
          </w:p>
        </w:tc>
        <w:tc>
          <w:tcPr>
            <w:tcW w:w="3109" w:type="dxa"/>
            <w:gridSpan w:val="2"/>
            <w:tcBorders/>
            <w:shd w:fill="FFFFFF" w:val="clear"/>
            <w:vAlign w:val="center"/>
          </w:tcPr>
          <w:p>
            <w:pPr>
              <w:pStyle w:val="TableContents"/>
              <w:bidi w:val="0"/>
              <w:spacing w:before="0" w:after="283"/>
              <w:jc w:val="left"/>
              <w:rPr>
                <w:b/>
                <w:sz w:val="20"/>
              </w:rPr>
            </w:pPr>
            <w:r>
              <w:rPr>
                <w:b/>
                <w:sz w:val="20"/>
              </w:rPr>
              <w:t>Arcturus Therapeutics Holdings Inc.</w:t>
            </w:r>
          </w:p>
        </w:tc>
      </w:tr>
      <w:tr>
        <w:trPr/>
        <w:tc>
          <w:tcPr>
            <w:tcW w:w="1865" w:type="dxa"/>
            <w:tcBorders/>
            <w:shd w:fill="FFFFFF" w:val="clear"/>
            <w:vAlign w:val="center"/>
          </w:tcPr>
          <w:p>
            <w:pPr>
              <w:pStyle w:val="TableContents"/>
              <w:bidi w:val="0"/>
              <w:spacing w:before="0" w:after="283"/>
              <w:jc w:val="left"/>
              <w:rPr>
                <w:sz w:val="20"/>
              </w:rPr>
            </w:pPr>
            <w:r>
              <w:rPr>
                <w:sz w:val="20"/>
              </w:rPr>
              <w:t>Date: August 25, 2026</w:t>
            </w:r>
          </w:p>
        </w:tc>
        <w:tc>
          <w:tcPr>
            <w:tcW w:w="3109" w:type="dxa"/>
            <w:gridSpan w:val="2"/>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sz w:val="20"/>
              </w:rPr>
            </w:pPr>
            <w:r>
              <w:rPr>
                <w:sz w:val="20"/>
              </w:rPr>
              <w:t>By:</w:t>
            </w:r>
          </w:p>
        </w:tc>
        <w:tc>
          <w:tcPr>
            <w:tcW w:w="2432"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/s/ Joseph E. Payne</w:t>
            </w:r>
          </w:p>
        </w:tc>
      </w:tr>
      <w:tr>
        <w:trPr/>
        <w:tc>
          <w:tcPr>
            <w:tcW w:w="1865"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sz w:val="20"/>
              </w:rPr>
            </w:pPr>
            <w:r>
              <w:rPr>
                <w:sz w:val="20"/>
              </w:rPr>
              <w:t>Name:</w:t>
            </w:r>
          </w:p>
        </w:tc>
        <w:tc>
          <w:tcPr>
            <w:tcW w:w="2432" w:type="dxa"/>
            <w:tcBorders/>
            <w:shd w:fill="FFFFFF" w:val="clear"/>
            <w:vAlign w:val="center"/>
          </w:tcPr>
          <w:p>
            <w:pPr>
              <w:pStyle w:val="TableContents"/>
              <w:bidi w:val="0"/>
              <w:spacing w:before="0" w:after="283"/>
              <w:jc w:val="left"/>
              <w:rPr>
                <w:sz w:val="20"/>
              </w:rPr>
            </w:pPr>
            <w:r>
              <w:rPr>
                <w:sz w:val="20"/>
              </w:rPr>
              <w:t>Joseph E. Payne</w:t>
            </w:r>
          </w:p>
        </w:tc>
      </w:tr>
      <w:tr>
        <w:trPr/>
        <w:tc>
          <w:tcPr>
            <w:tcW w:w="1865"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sz w:val="20"/>
              </w:rPr>
            </w:pPr>
            <w:r>
              <w:rPr>
                <w:sz w:val="20"/>
              </w:rPr>
              <w:t>Title:</w:t>
            </w:r>
          </w:p>
        </w:tc>
        <w:tc>
          <w:tcPr>
            <w:tcW w:w="2432" w:type="dxa"/>
            <w:tcBorders/>
            <w:shd w:fill="FFFFFF" w:val="clear"/>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579</Words>
  <Characters>3158</Characters>
  <CharactersWithSpaces>3726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