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ind w:left="3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-233045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5303520</wp:posOffset>
            </wp:positionH>
            <wp:positionV relativeFrom="paragraph">
              <wp:posOffset>-605155</wp:posOffset>
            </wp:positionV>
            <wp:extent cx="8255" cy="6057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05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3993515</wp:posOffset>
            </wp:positionH>
            <wp:positionV relativeFrom="paragraph">
              <wp:posOffset>-613410</wp:posOffset>
            </wp:positionV>
            <wp:extent cx="8255" cy="6140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40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4018280</wp:posOffset>
            </wp:positionH>
            <wp:positionV relativeFrom="paragraph">
              <wp:posOffset>-588645</wp:posOffset>
            </wp:positionV>
            <wp:extent cx="1269365" cy="5651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9365" cy="5651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-1623060</wp:posOffset>
            </wp:positionH>
            <wp:positionV relativeFrom="paragraph">
              <wp:posOffset>28575</wp:posOffset>
            </wp:positionV>
            <wp:extent cx="6968490" cy="174434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8490" cy="17443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21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Kummerfeld Keith C</w:t>
        </w:r>
      </w:hyperlink>
    </w:p>
    <w:p>
      <w:pPr>
        <w:spacing w:after="0" w:line="30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 w:line="34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C/O ARCTURUS THERAPEUTICS LTD. 10628 SCIENCE CENTER DRIVE, SUITE 250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4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Arcturus Therapeutics Holdings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4"/>
          <w:szCs w:val="14"/>
          <w:color w:val="0000FF"/>
        </w:rPr>
        <w:t>ARCT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]</w:t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12/18/2020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right="620"/>
        <w:spacing w:after="0" w:line="238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6" w:lineRule="exact"/>
        <w:rPr>
          <w:sz w:val="24"/>
          <w:szCs w:val="24"/>
          <w:color w:val="auto"/>
        </w:rPr>
      </w:pPr>
    </w:p>
    <w:tbl>
      <w:tblPr>
        <w:tblLayout w:type="fixed"/>
        <w:tblInd w:w="2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jc w:val="center"/>
        <w:ind w:right="1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See Remarks</w:t>
      </w:r>
    </w:p>
    <w:p>
      <w:pPr>
        <w:spacing w:after="0" w:line="43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80" w:space="540"/>
            <w:col w:w="3620" w:space="200"/>
            <w:col w:w="3340"/>
          </w:cols>
          <w:pgMar w:left="460" w:top="221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80" w:type="dxa"/>
            <w:vAlign w:val="bottom"/>
            <w:gridSpan w:val="8"/>
          </w:tcPr>
          <w:p>
            <w:pPr>
              <w:jc w:val="center"/>
              <w:ind w:right="41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11"/>
          </w:tcPr>
          <w:p>
            <w:pPr>
              <w:ind w:left="30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11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SAN DIEGO</w:t>
            </w: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92121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1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20" w:type="dxa"/>
            <w:vAlign w:val="bottom"/>
            <w:gridSpan w:val="12"/>
          </w:tcPr>
          <w:p>
            <w:pPr>
              <w:jc w:val="center"/>
              <w:ind w:left="4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99.29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12/18/2020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45,000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12/18/2030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45,000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45,000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1905</wp:posOffset>
            </wp:positionH>
            <wp:positionV relativeFrom="paragraph">
              <wp:posOffset>-2833370</wp:posOffset>
            </wp:positionV>
            <wp:extent cx="7033895" cy="297243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895" cy="29724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25% of the shares underlying the option vest on the one year anniversary of the date of grant, with the remainder vesting in 36 successive equal monthly increments thereafter.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Vice President of Finance and Corporate Controller</w:t>
      </w:r>
    </w:p>
    <w:p>
      <w:pPr>
        <w:spacing w:after="0" w:line="51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/s/ Ilan Katz, attorney-in-fact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12/22/2020</w:t>
            </w:r>
          </w:p>
        </w:tc>
      </w:tr>
      <w:tr>
        <w:trPr>
          <w:trHeight w:val="224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34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762749" TargetMode="External"/><Relationship Id="rId14" Type="http://schemas.openxmlformats.org/officeDocument/2006/relationships/hyperlink" Target="http://www.sec.gov/cgi-bin/browse-edgar?action=getcompany&amp;CIK=000176822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2020-12-22T18:43:03Z</dcterms:created>
  <dcterms:modified xsi:type="dcterms:W3CDTF">2020-12-22T18:43:03Z</dcterms:modified>
</cp:coreProperties>
</file>