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May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May 16, 2016, announcing its financial results for the first quarter ended March 31, 2016.</w:t>
      </w:r>
    </w:p>
    <w:p>
      <w:pPr>
        <w:spacing w:after="0" w:line="17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GAAP financial statements in this Form 6-K of the registrant are incorporated by reference into the Registration Statement on Form F-3 (File No. 333-209960) and Forms S-8 (File Nos.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May 16, 2016, announcing its financial results for the first quarter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0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0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06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773-463-4211</w:t>
            </w:r>
          </w:p>
        </w:tc>
        <w:tc>
          <w:tcPr>
            <w:tcW w:w="3060" w:type="dxa"/>
            <w:vAlign w:val="bottom"/>
          </w:tcPr>
          <w:p>
            <w:pPr>
              <w:ind w:left="920"/>
              <w:spacing w:after="0"/>
              <w:rPr>
                <w:sz w:val="20"/>
                <w:szCs w:val="20"/>
                <w:color w:val="auto"/>
              </w:rPr>
            </w:pPr>
            <w:r>
              <w:rPr>
                <w:rFonts w:ascii="Arial" w:cs="Arial" w:eastAsia="Arial" w:hAnsi="Arial"/>
                <w:sz w:val="18"/>
                <w:szCs w:val="18"/>
                <w:color w:val="auto"/>
              </w:rPr>
              <w:t>+972-72 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0000FF"/>
              </w:rPr>
              <w:t>mikebeyer@sambrown.com</w:t>
            </w:r>
          </w:p>
        </w:tc>
        <w:tc>
          <w:tcPr>
            <w:tcW w:w="3060" w:type="dxa"/>
            <w:vAlign w:val="bottom"/>
          </w:tcPr>
          <w:p>
            <w:pPr>
              <w:ind w:left="92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FIRST QUARTER 2016 FINANCIAL RESULTS AND PROVIDES CORPORATE UPDATE</w:t>
      </w:r>
    </w:p>
    <w:p>
      <w:pPr>
        <w:spacing w:after="0" w:line="229" w:lineRule="exact"/>
        <w:rPr>
          <w:sz w:val="20"/>
          <w:szCs w:val="20"/>
          <w:color w:val="auto"/>
        </w:rPr>
      </w:pPr>
    </w:p>
    <w:p>
      <w:pPr>
        <w:ind w:left="2680" w:hanging="266"/>
        <w:spacing w:after="0"/>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&amp; Webcast May 16th at 8:30 a.m. Eastern Time/5:30 a.m. Pacific Time</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Tel Aviv, Israel – May 16, 2016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patients with cognitive disorders, including Attention Deficit Hyperactivity Disorder (ADHD) and Fragile X Syndrome (Fragile X), today announced financial results for the three months ended March 31, 2016,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Ended March 31, 2016 Financial Results:</w:t>
      </w:r>
    </w:p>
    <w:p>
      <w:pPr>
        <w:spacing w:after="0" w:line="2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first quarter 2016 were $5.2 million, in line with the first quarter 2015.</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expenses, excluding non-cash stock based compensation of $0.7 million, in the first quarter 2016 were $4.5 million, compared with $4.4 million in the first quarter 2015</w:t>
      </w:r>
    </w:p>
    <w:p>
      <w:pPr>
        <w:ind w:left="340" w:right="5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in the first quarter 2016 were $3.4 million, compared with $3.6 million in the first quarter 2015. R&amp;D expenses consist primarily of costs associated with the conduct of our Phase III Adult ADHD clinical study.</w:t>
      </w:r>
    </w:p>
    <w:p>
      <w:pPr>
        <w:ind w:left="340" w:right="600" w:hanging="332"/>
        <w:spacing w:after="0" w:line="26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and administrative (G&amp;A) expenses in the first quarter 2016 were $1.5 million, compared with $1.3 million in the first quarter 2015. Pre-commercialization expenses in the first quarter 2016 were $0.4 million, compared with $0.3 million in the first quarter 2015.</w:t>
      </w:r>
    </w:p>
    <w:p>
      <w:pPr>
        <w:ind w:left="340" w:right="8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marketable securities, and deposits totaled $65.2 million at March 31, 2016, compared with $69.7 million at December 31, 2015 and $45.0 million at March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Corporate Updates:</w:t>
      </w:r>
    </w:p>
    <w:p>
      <w:pPr>
        <w:spacing w:after="0" w:line="27" w:lineRule="exact"/>
        <w:rPr>
          <w:sz w:val="20"/>
          <w:szCs w:val="20"/>
          <w:color w:val="auto"/>
        </w:rPr>
      </w:pPr>
    </w:p>
    <w:p>
      <w:pPr>
        <w:ind w:left="340" w:right="1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currently enrolling patients into the MEASURE study (MDX Evaluation in Adults – Study of Response and Efficacy). The MEASURE study is the company’s second Phase III study of Metadoxine Extended Release (MDX) in adults with ADHD. The company continues to expect data from the study by year-end 2016.</w:t>
      </w:r>
    </w:p>
    <w:p>
      <w:pPr>
        <w:spacing w:after="0" w:line="1" w:lineRule="exact"/>
        <w:rPr>
          <w:rFonts w:ascii="Arial" w:cs="Arial" w:eastAsia="Arial" w:hAnsi="Arial"/>
          <w:sz w:val="18"/>
          <w:szCs w:val="18"/>
          <w:color w:val="auto"/>
        </w:rPr>
      </w:pPr>
    </w:p>
    <w:p>
      <w:pPr>
        <w:ind w:left="340" w:right="4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advancing discussions with the U.S. Food and Drug Administration (FDA) on its pediatric ADHD development plan, including the launch of the first of two registration studies with MDX in pediatric ADHD.</w:t>
      </w:r>
    </w:p>
    <w:p>
      <w:pPr>
        <w:ind w:left="340" w:right="380" w:hanging="332"/>
        <w:spacing w:after="0" w:line="32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continues its preparations and discussions with FDA on the design of its planned Phase III study in adolescents and adult patients with Fragile X. The FDA has previously granted an orphan drug designation and Fast Track designation to MDX for the treatment of Fragile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Monday, May 16, 2016 @ 8:30am Eastern Time</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97907530</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0000FF"/>
        </w:rPr>
        <w:t>http://www.alcobra-pharma.com/events.cfm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May 30, 2016</w:t>
      </w:r>
    </w:p>
    <w:p>
      <w:pPr>
        <w:spacing w:after="0" w:line="23"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97907530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MDX, a proprietary drug candidate, to treat cognitive disorders including ADHD and Fragile X.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and other Federal securities laws.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design of future clinical studies and content of discussions with the FDA and possible positive outcomes of such discussions.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Also, while Alcobra has received Fast Track designation for MDX for the treatment of Fragile X, the company cannot guarantee that it will be able to maintain such designation due to reasons within or outside of its control. The forward-looking statements contained or implied in this press release are subject to other risks and uncertainties, including those discussed under the heading "Risk Factors" in Alcobra Ltd.'s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w w:val="97"/>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5"/>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3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Loss before 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attributable to holders of Ordinary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5,060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5,164</w:t>
            </w:r>
          </w:p>
        </w:tc>
      </w:tr>
      <w:tr>
        <w:trPr>
          <w:trHeight w:val="230"/>
        </w:trPr>
        <w:tc>
          <w:tcPr>
            <w:tcW w:w="4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59"/>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5,086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5,177</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90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(0.18)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r>
      <w:tr>
        <w:trPr>
          <w:trHeight w:val="197"/>
        </w:trPr>
        <w:tc>
          <w:tcPr>
            <w:tcW w:w="79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Weighted average number of Ordinary shares used in computing basic and diluted net loss per share</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27,562,239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20,158,404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7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20" w:type="dxa"/>
            <w:vAlign w:val="bottom"/>
            <w:gridSpan w:val="2"/>
          </w:tcPr>
          <w:p>
            <w:pPr>
              <w:jc w:val="right"/>
              <w:ind w:right="2680"/>
              <w:spacing w:after="0"/>
              <w:rPr>
                <w:sz w:val="20"/>
                <w:szCs w:val="20"/>
                <w:color w:val="auto"/>
              </w:rPr>
            </w:pPr>
            <w:r>
              <w:rPr>
                <w:rFonts w:ascii="Arial" w:cs="Arial" w:eastAsia="Arial" w:hAnsi="Arial"/>
                <w:sz w:val="18"/>
                <w:szCs w:val="18"/>
                <w:b w:val="1"/>
                <w:bCs w:val="1"/>
                <w:color w:val="auto"/>
              </w:rPr>
              <w:t>ASSETS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00" w:type="dxa"/>
            <w:vAlign w:val="bottom"/>
            <w:gridSpan w:val="2"/>
            <w:vMerge w:val="continue"/>
          </w:tcPr>
          <w:p>
            <w:pPr>
              <w:spacing w:after="0"/>
              <w:rPr>
                <w:sz w:val="17"/>
                <w:szCs w:val="17"/>
                <w:color w:val="auto"/>
              </w:rPr>
            </w:pPr>
          </w:p>
        </w:tc>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bank deposits</w:t>
            </w: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54,764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52,346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Long-term assets:</w:t>
            </w: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bank deposits</w:t>
            </w:r>
          </w:p>
        </w:tc>
        <w:tc>
          <w:tcPr>
            <w:tcW w:w="4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ectPr>
          <w:pgSz w:w="11900" w:h="16838" w:orient="portrait"/>
          <w:cols w:equalWidth="0" w:num="1">
            <w:col w:w="11420"/>
          </w:cols>
          <w:pgMar w:left="240" w:top="908"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payables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2,295</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-436880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-153670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Ordinary shares</w:t>
            </w:r>
          </w:p>
        </w:tc>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141,016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(76,103)</w:t>
            </w: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64,987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67,097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71,683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20" w:type="dxa"/>
            <w:vAlign w:val="bottom"/>
            <w:gridSpan w:val="4"/>
            <w:vMerge w:val="restart"/>
          </w:tcPr>
          <w:p>
            <w:pPr>
              <w:spacing w:after="0"/>
              <w:rPr>
                <w:sz w:val="20"/>
                <w:szCs w:val="20"/>
                <w:color w:val="auto"/>
              </w:rPr>
            </w:pPr>
            <w:r>
              <w:rPr>
                <w:rFonts w:ascii="Arial" w:cs="Arial" w:eastAsia="Arial" w:hAnsi="Arial"/>
                <w:sz w:val="18"/>
                <w:szCs w:val="18"/>
                <w:color w:val="auto"/>
              </w:rPr>
              <w:t>Cash flow from operating activities: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w w:val="97"/>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5"/>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gridSpan w:val="4"/>
            <w:vMerge w:val="continue"/>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Stock based compensation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Prepaid expenses and other receivables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Other long-term assets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ind w:left="80"/>
              <w:spacing w:after="0"/>
              <w:rPr>
                <w:sz w:val="20"/>
                <w:szCs w:val="20"/>
                <w:color w:val="auto"/>
              </w:rPr>
            </w:pPr>
            <w:r>
              <w:rPr>
                <w:rFonts w:ascii="Arial" w:cs="Arial" w:eastAsia="Arial" w:hAnsi="Arial"/>
                <w:sz w:val="18"/>
                <w:szCs w:val="18"/>
                <w:color w:val="auto"/>
              </w:rPr>
              <w:t>Trade payables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Accrued expenses and other liabilities</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0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Purchase of property and equipment, net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Proceeds from (investment in) bank deposits, net</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(used in) by investing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 capital upon public offering,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Exercise of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240" w:hanging="1027"/>
        <w:spacing w:after="0"/>
        <w:tabs>
          <w:tab w:leader="none" w:pos="2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27,903</w:t>
      </w:r>
    </w:p>
    <w:p>
      <w:pPr>
        <w:spacing w:after="0" w:line="46" w:lineRule="exact"/>
        <w:rPr>
          <w:sz w:val="20"/>
          <w:szCs w:val="20"/>
          <w:color w:val="auto"/>
        </w:rPr>
      </w:pPr>
    </w:p>
    <w:p>
      <w:pPr>
        <w:jc w:val="both"/>
        <w:ind w:left="1180"/>
        <w:spacing w:after="0"/>
        <w:tabs>
          <w:tab w:leader="none" w:pos="26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240" w:hanging="1057"/>
        <w:spacing w:after="0"/>
        <w:tabs>
          <w:tab w:leader="none" w:pos="2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27,903</w:t>
      </w:r>
    </w:p>
    <w:p>
      <w:pPr>
        <w:spacing w:after="0" w:line="260"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(3,171)</w:t>
      </w:r>
      <w:r>
        <w:rPr>
          <w:rFonts w:ascii="Arial" w:cs="Arial" w:eastAsia="Arial" w:hAnsi="Arial"/>
          <w:sz w:val="16"/>
          <w:szCs w:val="16"/>
          <w:color w:val="auto"/>
        </w:rPr>
        <w:t>5,296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-267335</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9" w:lineRule="exact"/>
        <w:rPr>
          <w:sz w:val="20"/>
          <w:szCs w:val="20"/>
          <w:color w:val="auto"/>
        </w:rPr>
      </w:pPr>
    </w:p>
    <w:p>
      <w:pPr>
        <w:jc w:val="both"/>
        <w:ind w:left="780"/>
        <w:spacing w:after="0"/>
        <w:tabs>
          <w:tab w:leader="none" w:pos="2300" w:val="left"/>
        </w:tabs>
        <w:rPr>
          <w:sz w:val="20"/>
          <w:szCs w:val="20"/>
          <w:color w:val="auto"/>
        </w:rPr>
      </w:pPr>
      <w:r>
        <w:rPr>
          <w:rFonts w:ascii="Arial" w:cs="Arial" w:eastAsia="Arial" w:hAnsi="Arial"/>
          <w:sz w:val="18"/>
          <w:szCs w:val="18"/>
          <w:color w:val="auto"/>
        </w:rPr>
        <w:t>16,658</w:t>
      </w:r>
      <w:r>
        <w:rPr>
          <w:sz w:val="20"/>
          <w:szCs w:val="20"/>
          <w:color w:val="auto"/>
        </w:rPr>
        <w:tab/>
      </w:r>
      <w:r>
        <w:rPr>
          <w:rFonts w:ascii="Arial" w:cs="Arial" w:eastAsia="Arial" w:hAnsi="Arial"/>
          <w:sz w:val="18"/>
          <w:szCs w:val="18"/>
          <w:color w:val="auto"/>
        </w:rPr>
        <w:t>2,176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46" w:lineRule="exact"/>
        <w:rPr>
          <w:sz w:val="20"/>
          <w:szCs w:val="20"/>
          <w:color w:val="auto"/>
        </w:rPr>
      </w:pPr>
    </w:p>
    <w:p>
      <w:pPr>
        <w:spacing w:after="0"/>
        <w:tabs>
          <w:tab w:leader="none" w:pos="760" w:val="left"/>
          <w:tab w:leader="none" w:pos="146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13,487</w:t>
        <w:tab/>
        <w:t>$</w:t>
      </w:r>
      <w:r>
        <w:rPr>
          <w:sz w:val="20"/>
          <w:szCs w:val="20"/>
          <w:color w:val="auto"/>
        </w:rPr>
        <w:tab/>
      </w:r>
      <w:r>
        <w:rPr>
          <w:rFonts w:ascii="Arial" w:cs="Arial" w:eastAsia="Arial" w:hAnsi="Arial"/>
          <w:sz w:val="16"/>
          <w:szCs w:val="16"/>
          <w:color w:val="auto"/>
        </w:rPr>
        <w:t>7,472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732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2019-12-08T23:24:18Z</dcterms:created>
  <dcterms:modified xsi:type="dcterms:W3CDTF">2019-12-08T23:24:18Z</dcterms:modified>
</cp:coreProperties>
</file>