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ct-20230930.htm"/>
      <w:bookmarkStart w:id="1" w:name="ksarct20230930"/>
      <w:bookmarkEnd w:id="0"/>
      <w:bookmarkEnd w:id="1"/>
      <w:r>
        <w:rPr/>
        <w:t> </w:t>
      </w:r>
    </w:p>
    <w:p>
      <w:pPr>
        <w:pStyle w:val="TextBody"/>
        <w:pBdr>
          <w:bottom w:val="double" w:sz="6" w:space="1" w:color="000000"/>
        </w:pBdr>
        <w:bidi w:val="0"/>
        <w:jc w:val="left"/>
        <w:rPr>
          <w:rFonts w:ascii="Times New Roman" w:hAnsi="Times New Roman"/>
          <w:b w:val="false"/>
          <w:color w:val="000000"/>
          <w:sz w:val="2"/>
        </w:rPr>
      </w:pPr>
      <w:r>
        <w:rPr>
          <w:rFonts w:ascii="Times New Roman" w:hAnsi="Times New Roman"/>
          <w:b w:val="false"/>
          <w:color w:val="000000"/>
          <w:sz w:val="2"/>
        </w:rPr>
        <w:t>cs</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80" w:after="8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80" w:after="8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left"/>
        <w:rPr/>
      </w:pPr>
      <w:r>
        <w:rPr/>
        <w:t>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001-38942</w:t>
      </w:r>
    </w:p>
    <w:p>
      <w:pPr>
        <w:pStyle w:val="TextBody"/>
        <w:bidi w:val="0"/>
        <w:spacing w:before="60" w:after="283"/>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32-0595345</w:t>
            </w:r>
          </w:p>
        </w:tc>
      </w:tr>
      <w:tr>
        <w:trPr/>
        <w:tc>
          <w:tcPr>
            <w:tcW w:w="2386" w:type="dxa"/>
            <w:tcBorders/>
            <w:vAlign w:val="center"/>
          </w:tcPr>
          <w:p>
            <w:pPr>
              <w:pStyle w:val="TableContents"/>
              <w:bidi w:val="0"/>
              <w:jc w:val="center"/>
              <w:rPr>
                <w:rFonts w:ascii="Times New Roman" w:hAnsi="Times New Roman"/>
                <w:b w:val="false"/>
                <w:color w:val="000000"/>
                <w:sz w:val="14"/>
              </w:rPr>
            </w:pPr>
            <w:r>
              <w:rPr>
                <w:rFonts w:ascii="Times New Roman" w:hAnsi="Times New Roman"/>
                <w:b w:val="false"/>
                <w:color w:val="000000"/>
                <w:sz w:val="14"/>
              </w:rPr>
              <w:t>(State or other jurisdiction of</w:t>
            </w:r>
          </w:p>
          <w:p>
            <w:pPr>
              <w:pStyle w:val="TableContents"/>
              <w:bidi w:val="0"/>
              <w:spacing w:before="0" w:after="15"/>
              <w:jc w:val="center"/>
              <w:rPr>
                <w:rFonts w:ascii="Times New Roman" w:hAnsi="Times New Roman"/>
                <w:b w:val="false"/>
                <w:color w:val="000000"/>
                <w:sz w:val="14"/>
              </w:rPr>
            </w:pPr>
            <w:r>
              <w:rPr>
                <w:rFonts w:ascii="Times New Roman" w:hAnsi="Times New Roman"/>
                <w:b w:val="false"/>
                <w:color w:val="000000"/>
                <w:sz w:val="14"/>
              </w:rPr>
              <w:t>incorporation or organization)</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b w:val="false"/>
                <w:color w:val="000000"/>
                <w:sz w:val="14"/>
              </w:rPr>
            </w:pPr>
            <w:r>
              <w:rPr>
                <w:rFonts w:ascii="Times New Roman" w:hAnsi="Times New Roman"/>
                <w:b w:val="false"/>
                <w:color w:val="000000"/>
                <w:sz w:val="14"/>
              </w:rPr>
              <w:t>(I.R.S. Employer</w:t>
              <w:br/>
              <w:t>Identification No.)</w:t>
            </w:r>
          </w:p>
        </w:tc>
      </w:tr>
      <w:tr>
        <w:trPr/>
        <w:tc>
          <w:tcPr>
            <w:tcW w:w="2386" w:type="dxa"/>
            <w:tcBorders/>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b/>
                <w:color w:val="000000"/>
                <w:sz w:val="14"/>
              </w:rPr>
              <w:t>10628 Science Center Drive,</w:t>
            </w:r>
            <w:r>
              <w:rPr>
                <w:rFonts w:ascii="Times New Roman" w:hAnsi="Times New Roman"/>
                <w:color w:val="000000"/>
                <w:sz w:val="20"/>
              </w:rPr>
              <w:t xml:space="preserve"> </w:t>
            </w:r>
            <w:r>
              <w:rPr>
                <w:rFonts w:ascii="Times New Roman" w:hAnsi="Times New Roman"/>
                <w:b/>
                <w:color w:val="000000"/>
                <w:sz w:val="14"/>
              </w:rPr>
              <w:t>Suite 250</w:t>
            </w:r>
          </w:p>
          <w:p>
            <w:pPr>
              <w:pStyle w:val="TableContents"/>
              <w:bidi w:val="0"/>
              <w:spacing w:before="0" w:after="283"/>
              <w:jc w:val="center"/>
              <w:rPr>
                <w:rFonts w:ascii="Times New Roman" w:hAnsi="Times New Roman"/>
                <w:sz w:val="20"/>
              </w:rPr>
            </w:pPr>
            <w:r>
              <w:rPr>
                <w:rFonts w:ascii="Times New Roman" w:hAnsi="Times New Roman"/>
                <w:b/>
                <w:color w:val="000000"/>
                <w:sz w:val="14"/>
              </w:rPr>
              <w:t>San Diego, California</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92121</w:t>
            </w:r>
          </w:p>
        </w:tc>
      </w:tr>
      <w:tr>
        <w:trPr/>
        <w:tc>
          <w:tcPr>
            <w:tcW w:w="2386" w:type="dxa"/>
            <w:tcBorders/>
            <w:vAlign w:val="center"/>
          </w:tcPr>
          <w:p>
            <w:pPr>
              <w:pStyle w:val="TableContents"/>
              <w:bidi w:val="0"/>
              <w:spacing w:before="0" w:after="283"/>
              <w:jc w:val="center"/>
              <w:rPr>
                <w:rFonts w:ascii="Times New Roman" w:hAnsi="Times New Roman"/>
                <w:b w:val="false"/>
                <w:color w:val="000000"/>
                <w:sz w:val="14"/>
              </w:rPr>
            </w:pPr>
            <w:r>
              <w:rPr>
                <w:rFonts w:ascii="Times New Roman" w:hAnsi="Times New Roman"/>
                <w:b w:val="false"/>
                <w:color w:val="000000"/>
                <w:sz w:val="14"/>
              </w:rPr>
              <w:t>(Address of principal executive offices)</w:t>
            </w:r>
          </w:p>
        </w:tc>
        <w:tc>
          <w:tcPr>
            <w:tcW w:w="146" w:type="dxa"/>
            <w:tcBorders/>
            <w:vAlign w:val="center"/>
          </w:tcPr>
          <w:p>
            <w:pPr>
              <w:pStyle w:val="TableContents"/>
              <w:bidi w:val="0"/>
              <w:spacing w:before="0" w:after="283"/>
              <w:jc w:val="center"/>
              <w:rPr/>
            </w:pPr>
            <w:r>
              <w:rPr/>
              <w:t> </w:t>
            </w:r>
          </w:p>
        </w:tc>
        <w:tc>
          <w:tcPr>
            <w:tcW w:w="1216" w:type="dxa"/>
            <w:tcBorders/>
            <w:vAlign w:val="center"/>
          </w:tcPr>
          <w:p>
            <w:pPr>
              <w:pStyle w:val="TableContents"/>
              <w:bidi w:val="0"/>
              <w:spacing w:before="0" w:after="283"/>
              <w:jc w:val="center"/>
              <w:rPr>
                <w:rFonts w:ascii="Times New Roman" w:hAnsi="Times New Roman"/>
                <w:b w:val="false"/>
                <w:color w:val="000000"/>
                <w:sz w:val="14"/>
              </w:rPr>
            </w:pPr>
            <w:r>
              <w:rPr>
                <w:rFonts w:ascii="Times New Roman" w:hAnsi="Times New Roman"/>
                <w:b w:val="false"/>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(858) 900-2660</w:t>
      </w:r>
    </w:p>
    <w:p>
      <w:pPr>
        <w:pStyle w:val="TextBody"/>
        <w:bidi w:val="0"/>
        <w:spacing w:before="60" w:after="283"/>
        <w:jc w:val="center"/>
        <w:rPr>
          <w:rFonts w:ascii="Times New Roman" w:hAnsi="Times New Roman"/>
          <w:b w:val="false"/>
          <w:color w:val="000000"/>
          <w:sz w:val="16"/>
        </w:rPr>
      </w:pPr>
      <w:r>
        <w:rPr>
          <w:rFonts w:ascii="Times New Roman" w:hAnsi="Times New Roman"/>
          <w:b w:val="false"/>
          <w:color w:val="000000"/>
          <w:sz w:val="16"/>
        </w:rPr>
        <w:t>(Registrant’s telephone number, including area code)</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ARCT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As of November 10, 2023, the registrant had 26,723,332</w:t>
      </w:r>
      <w:r>
        <w:rPr>
          <w:rFonts w:ascii="Times New Roman" w:hAnsi="Times New Roman"/>
          <w:color w:val="000000"/>
          <w:sz w:val="20"/>
        </w:rPr>
        <w:t xml:space="preserve"> </w:t>
      </w:r>
      <w:r>
        <w:rPr>
          <w:rFonts w:ascii="Times New Roman" w:hAnsi="Times New Roman"/>
          <w:b w:val="false"/>
          <w:color w:val="000000"/>
          <w:sz w:val="18"/>
        </w:rPr>
        <w:t>shares of voting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9"/>
        <w:gridCol w:w="8874"/>
        <w:gridCol w:w="512"/>
      </w:tblGrid>
      <w:tr>
        <w:trPr/>
        <w:tc>
          <w:tcPr>
            <w:tcW w:w="819" w:type="dxa"/>
            <w:tcBorders/>
            <w:vAlign w:val="center"/>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b w:val="false"/>
                  <w:color w:val="0000FF"/>
                  <w:sz w:val="20"/>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b w:val="false"/>
                  <w:color w:val="0000FF"/>
                  <w:sz w:val="20"/>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b w:val="false"/>
                  <w:color w:val="0000FF"/>
                  <w:sz w:val="20"/>
                </w:rPr>
                <w:t>Condensed Consolidated Balance Sheets as of September 30, 2023 and December 31,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b w:val="false"/>
                  <w:color w:val="0000FF"/>
                  <w:sz w:val="20"/>
                </w:rPr>
                <w:t>Condensed Consolidated Statements of Operations and Comprehensive Loss for the three and nine months ended September 30, 2023 and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b w:val="false"/>
                  <w:color w:val="0000FF"/>
                  <w:sz w:val="20"/>
                </w:rPr>
                <w:t>Condensed Consolidated Statements of Changes in Stockholders’ Equity for the three and nine months ended September 30, 2023 and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b w:val="false"/>
                  <w:color w:val="0000FF"/>
                  <w:sz w:val="20"/>
                </w:rPr>
                <w:t>Condensed Consolidated Statements of Cash Flows for the nine months ended September 30, 2023 and 2022</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4</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b w:val="false"/>
                  <w:color w:val="0000FF"/>
                  <w:sz w:val="20"/>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8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val="false"/>
                  <w:color w:val="0000FF"/>
                  <w:sz w:val="20"/>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Quarterly Report on Form 10-Q, or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Forward-looking statements in this quarterly report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compliance, and ability to remain in compliance, with the requirements of our collaboration agreements, including our collaboration with Seqirus Inc. (“CSL Seqirus”);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the anticipated benefits and success of our collaboration agreement with CSL Seqirus related to the licensure of our STARR</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mRNA technology and LUNAR</w:t>
      </w:r>
      <w:r>
        <w:rPr>
          <w:rFonts w:ascii="Times New Roman" w:hAnsi="Times New Roman"/>
          <w:b w:val="false"/>
          <w:color w:val="000000"/>
          <w:sz w:val="13"/>
        </w:rPr>
        <w:t>®</w:t>
      </w:r>
      <w:r>
        <w:rPr>
          <w:color w:val="000000"/>
        </w:rPr>
        <w:t xml:space="preserve"> </w:t>
      </w:r>
      <w:r>
        <w:rPr>
          <w:rFonts w:ascii="Times New Roman" w:hAnsi="Times New Roman"/>
          <w:b w:val="false"/>
          <w:color w:val="000000"/>
          <w:sz w:val="20"/>
        </w:rPr>
        <w:t xml:space="preserve">lipid-mediated delivery, including our timely receipt of upfront and potential royalty and other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status and success of studies conducted by Meiji Holdings Co., Ltd. and their affiliates, including those related to ARCT-154;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status, success and benefits of our arrangements with private and governmental entities, some of which are subject to termination for convenience by our counterparties;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initiation, design, cost, timing, progress and results of, and our expected ability to undertake certain activities and accomplish certain goals with respect to, our research and development activities, preclinical studies and clinical trials, including those related to ARCT-154, ARCT-810 and ARCT-032;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expand our platform technologies and discovery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safety, immunogenicity, efficacy or regulatory approval of any of our COVID-19 vaccine candidates as a booster or primary vaccination series;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effects and benefits of our technologies and product candidates on their own and in comparison to technologies, drugs or courses of treatment currently available or that may be developed by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likelihood that preclinical or clinical data, including with respect to ARCT-154, will be predictive of future clinical results or efficacy or safety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anticipated timing of enrollment, duration, milestones and announcements of results of clinical trials, and the submission of applications to conduct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likelihood that clinical data will be sufficient for regulatory approval or completed in time to submit an application for regulatory approval within a particular timeframe;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likelihood or timing of any regulatory approval, including of the NDA filed in Japan for ARCT-154;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administration regimen or dosage, or ability to administer multiple doses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regulatory approval of our product candidates, and any related restrictions, limitations, and/or warnings in the label of an approved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plans to research, develop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successfully commercialize, and our expectations regarding future therapeutic and commercial potential with respect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rate and degree of 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and growth potential of the markets for our product candidates, and our ability to serve those markets and address unmet medical needs;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intellectual property protection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interactions with regulatory authorities in the United States and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attract and retain experienced and seasoned scientific and management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performance of our third-party suppliers and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advance manufacturing process and capabilities, develop scalable manufacturing processes, conduct technology transfers, and prepare for and scale-up manufacturing levels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strategic alliance partners’ election to pursue development and commercialization of any programs or product candidates that are subject to our collaboration and license agreements with such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attract collaborators with relevant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future activities to be undertaken by our strategic alliance partners, collaborators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likelihood or timing of achieving milestones under our collaborations and other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prompt and complete payment by our counterparties under our collaboration and other agreements, whether upon our achievement of milestones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develop sales and marketing capabilities, whether alone or with potential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avoid, settle or be victorious at costly litigation with shareholders, former executives or others, should these situations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and deploy funding for our operations and to efficiently use our financial and other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accuracy of our estimates regarding future expenses, future revenues, cash flows, capital requirements need for additional financing, and possible sources of revenue.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or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bookmarkStart w:id="4" w:name="balance_sheet"/>
      <w:bookmarkEnd w:id="4"/>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33"/>
        <w:gridCol w:w="146"/>
        <w:gridCol w:w="226"/>
        <w:gridCol w:w="905"/>
        <w:gridCol w:w="166"/>
        <w:gridCol w:w="146"/>
        <w:gridCol w:w="218"/>
        <w:gridCol w:w="872"/>
        <w:gridCol w:w="593"/>
      </w:tblGrid>
      <w:tr>
        <w:trPr/>
        <w:tc>
          <w:tcPr>
            <w:tcW w:w="6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 except par value information)</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center"/>
              <w:rPr/>
            </w:pPr>
            <w:r>
              <w:rPr/>
              <w:t> </w:t>
            </w:r>
          </w:p>
        </w:tc>
        <w:tc>
          <w:tcPr>
            <w:tcW w:w="593" w:type="dxa"/>
            <w:tcBorders/>
            <w:shd w:fill="CFF0FC" w:val="clear"/>
            <w:vAlign w:val="center"/>
          </w:tcPr>
          <w:p>
            <w:pPr>
              <w:pStyle w:val="TableContents"/>
              <w:bidi w:val="0"/>
              <w:spacing w:before="0" w:after="283"/>
              <w:jc w:val="center"/>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ind w:left="0" w:right="0" w:firstLine="200"/>
              <w:jc w:val="center"/>
              <w:rPr/>
            </w:pPr>
            <w:r>
              <w:rPr/>
              <w:t> </w:t>
            </w:r>
          </w:p>
        </w:tc>
      </w:tr>
      <w:tr>
        <w:trPr/>
        <w:tc>
          <w:tcPr>
            <w:tcW w:w="69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391,883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9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9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9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403,333</w:t>
            </w:r>
          </w:p>
        </w:tc>
        <w:tc>
          <w:tcPr>
            <w:tcW w:w="593" w:type="dxa"/>
            <w:tcBorders/>
            <w:shd w:fill="CFF0FC"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12,415</w:t>
            </w:r>
          </w:p>
        </w:tc>
        <w:tc>
          <w:tcPr>
            <w:tcW w:w="593" w:type="dxa"/>
            <w:tcBorders/>
            <w:shd w:fill="FFFFFF" w:val="cle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 net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32,545</w:t>
            </w:r>
          </w:p>
        </w:tc>
        <w:tc>
          <w:tcPr>
            <w:tcW w:w="593" w:type="dxa"/>
            <w:tcBorders/>
            <w:shd w:fill="CFF0FC"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restricted cash</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450,387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9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9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30,232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9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60,655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9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28,648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3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126,984</w:t>
            </w:r>
          </w:p>
        </w:tc>
        <w:tc>
          <w:tcPr>
            <w:tcW w:w="593" w:type="dxa"/>
            <w:tcBorders/>
            <w:shd w:fill="FFFFFF" w:val="cle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20,071</w:t>
            </w:r>
          </w:p>
        </w:tc>
        <w:tc>
          <w:tcPr>
            <w:tcW w:w="593" w:type="dxa"/>
            <w:tcBorders/>
            <w:shd w:fill="CFF0FC"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liability, net of current portion</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30,216</w:t>
            </w:r>
          </w:p>
        </w:tc>
        <w:tc>
          <w:tcPr>
            <w:tcW w:w="593" w:type="dxa"/>
            <w:tcBorders/>
            <w:shd w:fill="CFF0FC"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180,075</w:t>
            </w:r>
          </w:p>
        </w:tc>
        <w:tc>
          <w:tcPr>
            <w:tcW w:w="593" w:type="dxa"/>
            <w:tcBorders/>
            <w:shd w:fill="CFF0FC"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933"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60,000</w:t>
            </w:r>
            <w:r>
              <w:rPr>
                <w:rFonts w:ascii="Times New Roman" w:hAnsi="Times New Roman"/>
                <w:color w:val="000000"/>
                <w:sz w:val="20"/>
              </w:rPr>
              <w:t> </w:t>
            </w:r>
            <w:r>
              <w:rPr>
                <w:rFonts w:ascii="Times New Roman" w:hAnsi="Times New Roman"/>
                <w:b w:val="false"/>
                <w:color w:val="000000"/>
                <w:sz w:val="20"/>
              </w:rPr>
              <w:t>shares authorized; issued and</w:t>
              <w:br/>
              <w:t>outstanding shares were 26,723</w:t>
            </w:r>
            <w:r>
              <w:rPr>
                <w:rFonts w:ascii="Times New Roman" w:hAnsi="Times New Roman"/>
                <w:color w:val="000000"/>
                <w:sz w:val="20"/>
              </w:rPr>
              <w:t> </w:t>
            </w:r>
            <w:r>
              <w:rPr>
                <w:rFonts w:ascii="Times New Roman" w:hAnsi="Times New Roman"/>
                <w:b w:val="false"/>
                <w:color w:val="000000"/>
                <w:sz w:val="20"/>
              </w:rPr>
              <w:t>at September 30, 2023 and 26,555</w:t>
            </w:r>
            <w:r>
              <w:rPr>
                <w:rFonts w:ascii="Times New Roman" w:hAnsi="Times New Roman"/>
                <w:color w:val="000000"/>
                <w:sz w:val="20"/>
              </w:rPr>
              <w:t> </w:t>
            </w:r>
            <w:r>
              <w:rPr>
                <w:rFonts w:ascii="Times New Roman" w:hAnsi="Times New Roman"/>
                <w:b w:val="false"/>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93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608,426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93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(338,141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270,312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450,387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ncome_statement"/>
      <w:bookmarkEnd w:id="5"/>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94"/>
        <w:gridCol w:w="146"/>
        <w:gridCol w:w="211"/>
        <w:gridCol w:w="736"/>
        <w:gridCol w:w="166"/>
        <w:gridCol w:w="146"/>
        <w:gridCol w:w="211"/>
        <w:gridCol w:w="736"/>
        <w:gridCol w:w="166"/>
        <w:gridCol w:w="146"/>
        <w:gridCol w:w="211"/>
        <w:gridCol w:w="781"/>
        <w:gridCol w:w="166"/>
        <w:gridCol w:w="146"/>
        <w:gridCol w:w="211"/>
        <w:gridCol w:w="841"/>
        <w:gridCol w:w="591"/>
      </w:tblGrid>
      <w:tr>
        <w:trPr/>
        <w:tc>
          <w:tcPr>
            <w:tcW w:w="4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1" w:type="dxa"/>
            <w:tcBorders/>
            <w:shd w:fill="FFFFFF" w:val="clear"/>
            <w:vAlign w:val="center"/>
          </w:tcPr>
          <w:p>
            <w:pPr>
              <w:pStyle w:val="TableContents"/>
              <w:bidi w:val="0"/>
              <w:spacing w:before="0" w:after="283"/>
              <w:jc w:val="center"/>
              <w:rPr/>
            </w:pPr>
            <w:r>
              <w:rPr/>
              <w:t> </w:t>
            </w:r>
          </w:p>
        </w:tc>
      </w:tr>
      <w:tr>
        <w:trPr/>
        <w:tc>
          <w:tcPr>
            <w:tcW w:w="45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4"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 except per share data)</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Collaboration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45,706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9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9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100"/>
              <w:jc w:val="left"/>
              <w:rPr/>
            </w:pPr>
            <w:r>
              <w:rPr/>
              <w:t> </w:t>
            </w:r>
          </w:p>
        </w:tc>
      </w:tr>
      <w:tr>
        <w:trPr/>
        <w:tc>
          <w:tcPr>
            <w:tcW w:w="45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120,770</w:t>
            </w:r>
          </w:p>
        </w:tc>
        <w:tc>
          <w:tcPr>
            <w:tcW w:w="591" w:type="dxa"/>
            <w:tcBorders/>
            <w:shd w:fill="FFFFFF" w:val="clear"/>
            <w:vAlign w:val="center"/>
          </w:tcPr>
          <w:p>
            <w:pPr>
              <w:pStyle w:val="TableContents"/>
              <w:bidi w:val="0"/>
              <w:spacing w:before="0" w:after="283"/>
              <w:ind w:left="0" w:right="0" w:firstLine="100"/>
              <w:jc w:val="left"/>
              <w:rPr/>
            </w:pPr>
            <w:r>
              <w:rPr/>
              <w:t> </w:t>
            </w:r>
          </w:p>
        </w:tc>
      </w:tr>
      <w:tr>
        <w:trPr/>
        <w:tc>
          <w:tcPr>
            <w:tcW w:w="45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154,981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(109,275</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equity-method investment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(loss) from foreign currency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591" w:type="dxa"/>
            <w:tcBorders/>
            <w:shd w:fill="CFF0FC" w:val="clear"/>
            <w:vAlign w:val="center"/>
          </w:tcPr>
          <w:p>
            <w:pPr>
              <w:pStyle w:val="TableContents"/>
              <w:bidi w:val="0"/>
              <w:spacing w:before="0" w:after="283"/>
              <w:jc w:val="left"/>
              <w:rPr/>
            </w:pPr>
            <w:r>
              <w:rPr/>
              <w:t> </w:t>
            </w:r>
          </w:p>
        </w:tc>
      </w:tr>
      <w:tr>
        <w:trPr/>
        <w:tc>
          <w:tcPr>
            <w:tcW w:w="45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(107,998</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26,423</w:t>
            </w:r>
          </w:p>
        </w:tc>
        <w:tc>
          <w:tcPr>
            <w:tcW w:w="591" w:type="dxa"/>
            <w:tcBorders/>
            <w:shd w:fill="FFFFFF" w:val="clear"/>
            <w:vAlign w:val="center"/>
          </w:tcPr>
          <w:p>
            <w:pPr>
              <w:pStyle w:val="TableContents"/>
              <w:bidi w:val="0"/>
              <w:spacing w:before="0" w:after="283"/>
              <w:jc w:val="left"/>
              <w:rPr/>
            </w:pPr>
            <w:r>
              <w:rPr/>
              <w:t> </w:t>
            </w:r>
          </w:p>
        </w:tc>
      </w:tr>
      <w:tr>
        <w:trPr/>
        <w:tc>
          <w:tcPr>
            <w:tcW w:w="45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100"/>
              <w:jc w:val="left"/>
              <w:rPr/>
            </w:pPr>
            <w:r>
              <w:rPr/>
              <w:t> </w:t>
            </w:r>
          </w:p>
        </w:tc>
      </w:tr>
      <w:tr>
        <w:trPr/>
        <w:tc>
          <w:tcPr>
            <w:tcW w:w="459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(107,998</w:t>
            </w:r>
          </w:p>
        </w:tc>
        <w:tc>
          <w:tcPr>
            <w:tcW w:w="59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59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(35,266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(18,018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(107,998</w:t>
            </w:r>
          </w:p>
        </w:tc>
        <w:tc>
          <w:tcPr>
            <w:tcW w:w="591" w:type="dxa"/>
            <w:tcBorders>
              <w:top w:val="double" w:sz="6"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solidated_statements_stockholders_equ"/>
      <w:bookmarkEnd w:id="6"/>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10142" w:type="dxa"/>
        <w:jc w:val="left"/>
        <w:tblInd w:w="0" w:type="dxa"/>
        <w:tblLayout w:type="fixed"/>
        <w:tblCellMar>
          <w:top w:w="28" w:type="dxa"/>
          <w:left w:w="28" w:type="dxa"/>
          <w:bottom w:w="28" w:type="dxa"/>
          <w:right w:w="28" w:type="dxa"/>
        </w:tblCellMar>
      </w:tblPr>
      <w:tblGrid>
        <w:gridCol w:w="4126"/>
        <w:gridCol w:w="146"/>
        <w:gridCol w:w="146"/>
        <w:gridCol w:w="601"/>
        <w:gridCol w:w="146"/>
        <w:gridCol w:w="146"/>
        <w:gridCol w:w="249"/>
        <w:gridCol w:w="442"/>
        <w:gridCol w:w="146"/>
        <w:gridCol w:w="146"/>
        <w:gridCol w:w="196"/>
        <w:gridCol w:w="691"/>
        <w:gridCol w:w="146"/>
        <w:gridCol w:w="146"/>
        <w:gridCol w:w="217"/>
        <w:gridCol w:w="834"/>
        <w:gridCol w:w="166"/>
        <w:gridCol w:w="146"/>
        <w:gridCol w:w="241"/>
        <w:gridCol w:w="854"/>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December 31, 2022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26,555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608,426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(338,141</w:t>
            </w:r>
          </w:p>
        </w:tc>
        <w:tc>
          <w:tcPr>
            <w:tcW w:w="16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270,312</w:t>
            </w:r>
          </w:p>
        </w:tc>
        <w:tc>
          <w:tcPr>
            <w:tcW w:w="211" w:type="dxa"/>
            <w:tcBorders/>
            <w:shd w:fill="CCEC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50,754</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8,182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8,182</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616,608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(287,387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329,248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(52,550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85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(52,550</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8,383</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625,085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285,175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(16,222</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85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(16,222</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9,269</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85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1,231</w:t>
            </w:r>
          </w:p>
        </w:tc>
        <w:tc>
          <w:tcPr>
            <w:tcW w:w="211" w:type="dxa"/>
            <w:tcBorders/>
            <w:shd w:fill="CCEC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under equity plans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September 30, 2023</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26,723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636,194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(356,159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280,062</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142" w:type="dxa"/>
        <w:jc w:val="left"/>
        <w:tblInd w:w="0" w:type="dxa"/>
        <w:tblLayout w:type="fixed"/>
        <w:tblCellMar>
          <w:top w:w="28" w:type="dxa"/>
          <w:left w:w="28" w:type="dxa"/>
          <w:bottom w:w="28" w:type="dxa"/>
          <w:right w:w="28" w:type="dxa"/>
        </w:tblCellMar>
      </w:tblPr>
      <w:tblGrid>
        <w:gridCol w:w="4126"/>
        <w:gridCol w:w="146"/>
        <w:gridCol w:w="146"/>
        <w:gridCol w:w="601"/>
        <w:gridCol w:w="146"/>
        <w:gridCol w:w="146"/>
        <w:gridCol w:w="249"/>
        <w:gridCol w:w="442"/>
        <w:gridCol w:w="146"/>
        <w:gridCol w:w="146"/>
        <w:gridCol w:w="196"/>
        <w:gridCol w:w="691"/>
        <w:gridCol w:w="146"/>
        <w:gridCol w:w="146"/>
        <w:gridCol w:w="217"/>
        <w:gridCol w:w="834"/>
        <w:gridCol w:w="166"/>
        <w:gridCol w:w="146"/>
        <w:gridCol w:w="241"/>
        <w:gridCol w:w="854"/>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December 31, 2021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26,372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575,675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(347,490</w:t>
            </w:r>
          </w:p>
        </w:tc>
        <w:tc>
          <w:tcPr>
            <w:tcW w:w="166"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shd w:fill="CCEC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228,211</w:t>
            </w:r>
          </w:p>
        </w:tc>
        <w:tc>
          <w:tcPr>
            <w:tcW w:w="211" w:type="dxa"/>
            <w:tcBorders/>
            <w:shd w:fill="CCEC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(51,169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(51,169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85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7,371</w:t>
            </w:r>
          </w:p>
        </w:tc>
        <w:tc>
          <w:tcPr>
            <w:tcW w:w="211" w:type="dxa"/>
            <w:tcBorders/>
            <w:shd w:fill="CCEC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March 31, 2022</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26,407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583,382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(398,659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184,749</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(21,563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(21,563</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85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7,274</w:t>
            </w:r>
          </w:p>
        </w:tc>
        <w:tc>
          <w:tcPr>
            <w:tcW w:w="211" w:type="dxa"/>
            <w:tcBorders/>
            <w:shd w:fill="CCEC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June 30, 2022</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26,434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590,913</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(420,222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170,717</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(35,266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601"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shd w:fill="CCECFF" w:val="clear"/>
            <w:vAlign w:val="center"/>
          </w:tcPr>
          <w:p>
            <w:pPr>
              <w:pStyle w:val="TableContents"/>
              <w:bidi w:val="0"/>
              <w:spacing w:before="0" w:after="283"/>
              <w:jc w:val="left"/>
              <w:rPr/>
            </w:pPr>
            <w:r>
              <w:rPr/>
              <w:t> </w:t>
            </w:r>
          </w:p>
        </w:tc>
        <w:tc>
          <w:tcPr>
            <w:tcW w:w="44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shd w:fill="CCECFF" w:val="clear"/>
            <w:vAlign w:val="center"/>
          </w:tcPr>
          <w:p>
            <w:pPr>
              <w:pStyle w:val="TableContents"/>
              <w:bidi w:val="0"/>
              <w:spacing w:before="0" w:after="283"/>
              <w:jc w:val="left"/>
              <w:rPr/>
            </w:pPr>
            <w:r>
              <w:rPr/>
              <w:t> </w:t>
            </w:r>
          </w:p>
        </w:tc>
        <w:tc>
          <w:tcPr>
            <w:tcW w:w="691"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shd w:fill="CCECFF" w:val="clear"/>
            <w:vAlign w:val="center"/>
          </w:tcPr>
          <w:p>
            <w:pPr>
              <w:pStyle w:val="TableContents"/>
              <w:bidi w:val="0"/>
              <w:spacing w:before="0" w:after="283"/>
              <w:jc w:val="left"/>
              <w:rPr/>
            </w:pPr>
            <w:r>
              <w:rPr/>
              <w:t> </w:t>
            </w:r>
          </w:p>
        </w:tc>
        <w:tc>
          <w:tcPr>
            <w:tcW w:w="834" w:type="dxa"/>
            <w:tcBorders/>
            <w:shd w:fill="CCECFF" w:val="clear"/>
            <w:vAlign w:val="center"/>
          </w:tcPr>
          <w:p>
            <w:pPr>
              <w:pStyle w:val="TableContents"/>
              <w:bidi w:val="0"/>
              <w:spacing w:before="0" w:after="283"/>
              <w:jc w:val="right"/>
              <w:rPr>
                <w:color w:val="000000"/>
              </w:rPr>
            </w:pPr>
            <w:r>
              <w:rPr>
                <w:color w:val="000000"/>
              </w:rPr>
              <w:t>—</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shd w:fill="CCECFF" w:val="clear"/>
            <w:vAlign w:val="center"/>
          </w:tcPr>
          <w:p>
            <w:pPr>
              <w:pStyle w:val="TableContents"/>
              <w:bidi w:val="0"/>
              <w:spacing w:before="0" w:after="283"/>
              <w:jc w:val="left"/>
              <w:rPr/>
            </w:pPr>
            <w:r>
              <w:rPr/>
              <w:t> </w:t>
            </w:r>
          </w:p>
        </w:tc>
        <w:tc>
          <w:tcPr>
            <w:tcW w:w="854" w:type="dxa"/>
            <w:tcBorders/>
            <w:shd w:fill="CCEC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9,436</w:t>
            </w:r>
          </w:p>
        </w:tc>
        <w:tc>
          <w:tcPr>
            <w:tcW w:w="211" w:type="dxa"/>
            <w:tcBorders/>
            <w:shd w:fill="CCEC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CEC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under equity plans</w:t>
            </w:r>
          </w:p>
        </w:tc>
        <w:tc>
          <w:tcPr>
            <w:tcW w:w="146" w:type="dxa"/>
            <w:tcBorders/>
            <w:shd w:fill="CCECFF" w:val="cle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601,129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(455,488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145,667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ash_flow"/>
      <w:bookmarkEnd w:id="8"/>
      <w:r>
        <w:rPr>
          <w:rFonts w:ascii="Times New Roman" w:hAnsi="Times New Roman"/>
          <w:b/>
          <w:color w:val="000000"/>
          <w:sz w:val="20"/>
        </w:rPr>
        <w:t>ARCTURUS THERAPEUTICS HOLDINGS INC. AND ITS SUBSIDIARIES</w:t>
      </w:r>
    </w:p>
    <w:p>
      <w:pPr>
        <w:pStyle w:val="TextBody"/>
        <w:bidi w:val="0"/>
        <w:jc w:val="center"/>
        <w:rPr>
          <w:rFonts w:ascii="Times New Roman" w:hAnsi="Times New Roman"/>
          <w:b/>
          <w:color w:val="000000"/>
          <w:sz w:val="20"/>
        </w:rPr>
      </w:pPr>
      <w:bookmarkStart w:id="9" w:name="consolidated_statements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5"/>
        <w:gridCol w:w="146"/>
        <w:gridCol w:w="231"/>
        <w:gridCol w:w="856"/>
        <w:gridCol w:w="181"/>
        <w:gridCol w:w="159"/>
        <w:gridCol w:w="231"/>
        <w:gridCol w:w="922"/>
        <w:gridCol w:w="514"/>
      </w:tblGrid>
      <w:tr>
        <w:trPr/>
        <w:tc>
          <w:tcPr>
            <w:tcW w:w="6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1153" w:type="dxa"/>
            <w:gridSpan w:val="2"/>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(18,018</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(107,998</w:t>
            </w:r>
          </w:p>
        </w:tc>
        <w:tc>
          <w:tcPr>
            <w:tcW w:w="5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53" w:type="dxa"/>
            <w:gridSpan w:val="2"/>
            <w:tcBorders/>
            <w:shd w:fill="CFF0FC" w:val="clear"/>
            <w:vAlign w:val="center"/>
          </w:tcPr>
          <w:p>
            <w:pPr>
              <w:pStyle w:val="TableContents"/>
              <w:bidi w:val="0"/>
              <w:spacing w:before="0" w:after="283"/>
              <w:jc w:val="right"/>
              <w:rPr/>
            </w:pPr>
            <w:r>
              <w:rPr/>
              <w:t> </w:t>
            </w:r>
          </w:p>
        </w:tc>
        <w:tc>
          <w:tcPr>
            <w:tcW w:w="514" w:type="dxa"/>
            <w:tcBorders/>
            <w:shd w:fill="CFF0FC" w:val="clear"/>
            <w:vAlign w:val="center"/>
          </w:tcPr>
          <w:p>
            <w:pPr>
              <w:pStyle w:val="TableContents"/>
              <w:bidi w:val="0"/>
              <w:spacing w:before="0" w:after="283"/>
              <w:ind w:left="0" w:right="0" w:firstLine="200"/>
              <w:jc w:val="righ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2,142</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976</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25,834</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24,081</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from equity-method investment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loss (gain)</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(2,976</w:t>
            </w:r>
          </w:p>
        </w:tc>
        <w:tc>
          <w:tcPr>
            <w:tcW w:w="5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(33,953</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non-cash expenses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5,084</w:t>
            </w:r>
          </w:p>
        </w:tc>
        <w:tc>
          <w:tcPr>
            <w:tcW w:w="514" w:type="dxa"/>
            <w:tcBorders/>
            <w:shd w:fill="CFF0FC"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514" w:type="dxa"/>
            <w:tcBorders/>
            <w:shd w:fill="FFFFFF" w:val="clear"/>
            <w:vAlign w:val="center"/>
          </w:tcPr>
          <w:p>
            <w:pPr>
              <w:pStyle w:val="TableContents"/>
              <w:bidi w:val="0"/>
              <w:spacing w:before="0" w:after="283"/>
              <w:ind w:left="0" w:right="0" w:firstLine="200"/>
              <w:jc w:val="righ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(35,456</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1,323</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 and other assets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w:t>
            </w:r>
          </w:p>
        </w:tc>
        <w:tc>
          <w:tcPr>
            <w:tcW w:w="5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3,011</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2,290</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10,497</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5,335</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(3,437</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2,015</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33,960</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(53,578</w:t>
            </w:r>
          </w:p>
        </w:tc>
        <w:tc>
          <w:tcPr>
            <w:tcW w:w="5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Net cash provided by (used in) operating activities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(17,470</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(128,266</w:t>
            </w:r>
          </w:p>
        </w:tc>
        <w:tc>
          <w:tcPr>
            <w:tcW w:w="5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53" w:type="dxa"/>
            <w:gridSpan w:val="2"/>
            <w:tcBorders/>
            <w:shd w:fill="CFF0FC" w:val="clear"/>
            <w:vAlign w:val="center"/>
          </w:tcPr>
          <w:p>
            <w:pPr>
              <w:pStyle w:val="TableContents"/>
              <w:bidi w:val="0"/>
              <w:spacing w:before="0" w:after="283"/>
              <w:jc w:val="right"/>
              <w:rPr/>
            </w:pPr>
            <w:r>
              <w:rPr/>
              <w:t> </w:t>
            </w:r>
          </w:p>
        </w:tc>
        <w:tc>
          <w:tcPr>
            <w:tcW w:w="514" w:type="dxa"/>
            <w:tcBorders/>
            <w:shd w:fill="CFF0FC" w:val="clear"/>
            <w:vAlign w:val="center"/>
          </w:tcPr>
          <w:p>
            <w:pPr>
              <w:pStyle w:val="TableContents"/>
              <w:bidi w:val="0"/>
              <w:spacing w:before="0" w:after="283"/>
              <w:ind w:left="0" w:right="0" w:firstLine="200"/>
              <w:jc w:val="righ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(2,026</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w:t>
            </w:r>
          </w:p>
        </w:tc>
        <w:tc>
          <w:tcPr>
            <w:tcW w:w="514" w:type="dxa"/>
            <w:tcBorders/>
            <w:shd w:fill="FFFFFF"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(2,026</w:t>
            </w:r>
          </w:p>
        </w:tc>
        <w:tc>
          <w:tcPr>
            <w:tcW w:w="18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w:t>
            </w:r>
          </w:p>
        </w:tc>
        <w:tc>
          <w:tcPr>
            <w:tcW w:w="51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53" w:type="dxa"/>
            <w:gridSpan w:val="2"/>
            <w:tcBorders/>
            <w:shd w:fill="FFFFFF" w:val="clear"/>
            <w:vAlign w:val="center"/>
          </w:tcPr>
          <w:p>
            <w:pPr>
              <w:pStyle w:val="TableContents"/>
              <w:bidi w:val="0"/>
              <w:spacing w:before="0" w:after="283"/>
              <w:jc w:val="right"/>
              <w:rPr/>
            </w:pPr>
            <w:r>
              <w:rPr/>
              <w:t> </w:t>
            </w:r>
          </w:p>
        </w:tc>
        <w:tc>
          <w:tcPr>
            <w:tcW w:w="514" w:type="dxa"/>
            <w:tcBorders/>
            <w:shd w:fill="FFFFFF" w:val="clear"/>
            <w:vAlign w:val="center"/>
          </w:tcPr>
          <w:p>
            <w:pPr>
              <w:pStyle w:val="TableContents"/>
              <w:bidi w:val="0"/>
              <w:spacing w:before="0" w:after="283"/>
              <w:ind w:left="0" w:right="0" w:firstLine="200"/>
              <w:jc w:val="righ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debt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1,325</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96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the issuance of common stock under equity plans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96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Payments on debt obligations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(24,926</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(132,812</w:t>
            </w:r>
          </w:p>
        </w:tc>
        <w:tc>
          <w:tcPr>
            <w:tcW w:w="5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the period</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393,977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372,569</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the period</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369,051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239,757</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41" w:type="dxa"/>
        <w:jc w:val="left"/>
        <w:tblInd w:w="0" w:type="dxa"/>
        <w:tblLayout w:type="fixed"/>
        <w:tblCellMar>
          <w:top w:w="28" w:type="dxa"/>
          <w:left w:w="28" w:type="dxa"/>
          <w:bottom w:w="28" w:type="dxa"/>
          <w:right w:w="28" w:type="dxa"/>
        </w:tblCellMar>
      </w:tblPr>
      <w:tblGrid>
        <w:gridCol w:w="6711"/>
        <w:gridCol w:w="146"/>
        <w:gridCol w:w="279"/>
        <w:gridCol w:w="755"/>
        <w:gridCol w:w="193"/>
        <w:gridCol w:w="193"/>
        <w:gridCol w:w="279"/>
        <w:gridCol w:w="894"/>
        <w:gridCol w:w="391"/>
      </w:tblGrid>
      <w:tr>
        <w:trPr/>
        <w:tc>
          <w:tcPr>
            <w:tcW w:w="6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7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2,102</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w:t>
            </w:r>
          </w:p>
        </w:tc>
        <w:tc>
          <w:tcPr>
            <w:tcW w:w="391" w:type="dxa"/>
            <w:tcBorders/>
            <w:shd w:fill="FFFFFF" w:val="clear"/>
            <w:vAlign w:val="center"/>
          </w:tcPr>
          <w:p>
            <w:pPr>
              <w:pStyle w:val="TableContents"/>
              <w:bidi w:val="0"/>
              <w:spacing w:before="0" w:after="283"/>
              <w:jc w:val="left"/>
              <w:rPr/>
            </w:pPr>
            <w:r>
              <w:rPr/>
              <w:t> </w:t>
            </w:r>
          </w:p>
        </w:tc>
      </w:tr>
      <w:tr>
        <w:trPr/>
        <w:tc>
          <w:tcPr>
            <w:tcW w:w="67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w:t>
            </w:r>
          </w:p>
        </w:tc>
        <w:tc>
          <w:tcPr>
            <w:tcW w:w="146" w:type="dxa"/>
            <w:tcBorders/>
            <w:shd w:fill="CFF0FC" w:val="clear"/>
            <w:vAlign w:val="center"/>
          </w:tcPr>
          <w:p>
            <w:pPr>
              <w:pStyle w:val="TableContents"/>
              <w:bidi w:val="0"/>
              <w:spacing w:before="0" w:after="283"/>
              <w:jc w:val="left"/>
              <w:rPr/>
            </w:pPr>
            <w:r>
              <w:rPr/>
              <w:t> </w:t>
            </w:r>
          </w:p>
        </w:tc>
        <w:tc>
          <w:tcPr>
            <w:tcW w:w="1034" w:type="dxa"/>
            <w:gridSpan w:val="2"/>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7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assets acquired through operating leases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30,191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7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 of property and equipment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2,761</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ARCTURUS THERAPEUTICS HOLDINGS INC. AND ITS SUBSIDIARIES</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Description of Business, Basis of Presentation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Arcturus Therapeutics Holdings Inc. (the “Company” or "Arcturus") is a global late-stage clinical messenger RNA medicines company focused on the development of infectious disease vaccines and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Joint Ventures, Equity Method Investments and Variable Interest Entities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Investments for which the Company exercises significant influence, but does not have control are accounted for under the equity method. Equity method investment activity is related to the Companay's joint venture in ARCALIS, Inc. with Axcelead, Inc. As of September 30, 2023, the Company's ownership in ARCALIS was 45.8%. ARCALIS has received financial grants of $165</w:t>
      </w:r>
      <w:r>
        <w:rPr>
          <w:rFonts w:ascii="Times New Roman" w:hAnsi="Times New Roman"/>
          <w:color w:val="000000"/>
          <w:sz w:val="20"/>
        </w:rPr>
        <w:t xml:space="preserve"> </w:t>
      </w:r>
      <w:r>
        <w:rPr>
          <w:rFonts w:ascii="Times New Roman" w:hAnsi="Times New Roman"/>
          <w:b w:val="false"/>
          <w:color w:val="000000"/>
          <w:sz w:val="20"/>
        </w:rPr>
        <w:t>million to date from the Japanese government, which are subject to certain terms and conditions that have not yet been met, that may increase the value of ARCALIS in the future. The Company’s share of the investees’ results is presented as either income or loss from equity method investees in the accompanying condensed consolidated statements of operations and comprehensive loss.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Company has incurred significant operating losses since its inception. As of September 30, 2023 and December 31, 2022, the Company had an accumulated deficit of $356.2</w:t>
      </w:r>
      <w:r>
        <w:rPr>
          <w:rFonts w:ascii="Times New Roman" w:hAnsi="Times New Roman"/>
          <w:color w:val="000000"/>
          <w:sz w:val="20"/>
        </w:rPr>
        <w:t xml:space="preserve"> </w:t>
      </w:r>
      <w:r>
        <w:rPr>
          <w:rFonts w:ascii="Times New Roman" w:hAnsi="Times New Roman"/>
          <w:b w:val="false"/>
          <w:color w:val="000000"/>
          <w:sz w:val="20"/>
        </w:rPr>
        <w:t>million and $338.1</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September 30, 2023, the Company has funded its operations principally with the proceeds from the sale of capital stock, revenues earned through collaboration agreements, expense reimbursements from government contracts and proceeds from 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the Company’s balance of cash and cash equivalents, including restricted cash and non-current restricted cash, was $369.1</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Management believes that it has sufficient working capital on hand to fund operations through at least the next twelve months from the date these condensed consolidated financial statements were available to be issued. There can be no assurance that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Company will be successful in securing additional funding, that the Company’s projections of its future working capital needs will prove accurate, or that any additional funding would be sufficient to continue operations in future years.</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making decisions regarding resource allocation and assessing performance, the chief operating decision-maker identifies operating segments as components of an enterprise for which separate discrete financial information is available for evaluation. The Company and its chief operating decision-maker view the Company’s operations and manage its business in one</w:t>
      </w:r>
      <w:r>
        <w:rPr>
          <w:rFonts w:ascii="Times New Roman" w:hAnsi="Times New Roman"/>
          <w:color w:val="000000"/>
          <w:sz w:val="20"/>
        </w:rPr>
        <w:t xml:space="preserve"> </w:t>
      </w:r>
      <w:r>
        <w:rPr>
          <w:rFonts w:ascii="Times New Roman" w:hAnsi="Times New Roman"/>
          <w:b w:val="false"/>
          <w:color w:val="000000"/>
          <w:sz w:val="20"/>
        </w:rPr>
        <w:t>operating segment, which is the research and development of medical applications for the Company’s nucleic acid-focused technology.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 contract inception, the Company analyzes executed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estimates and use judgment. If estimates or judgments change over the course of the collaboration, a cumulative catch up of revenue is recognized in the period such changes are identified.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“Note 2, Revenue” for specific details surrounding the Company’s arrangements.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See </w:t>
      </w:r>
      <w:r>
        <w:rPr>
          <w:rFonts w:ascii="Times New Roman" w:hAnsi="Times New Roman"/>
          <w:color w:val="000000"/>
          <w:sz w:val="20"/>
        </w:rPr>
        <w:t>“</w:t>
      </w:r>
      <w:r>
        <w:rPr>
          <w:rFonts w:ascii="Times New Roman" w:hAnsi="Times New Roman"/>
          <w:b w:val="false"/>
          <w:i/>
          <w:color w:val="000000"/>
          <w:sz w:val="20"/>
        </w:rPr>
        <w:t>Note 9, Commitments and Contingencies”</w:t>
      </w:r>
      <w:r>
        <w:rPr>
          <w:rFonts w:ascii="Times New Roman" w:hAnsi="Times New Roman"/>
          <w:color w:val="000000"/>
          <w:sz w:val="20"/>
        </w:rPr>
        <w:t xml:space="preserve"> </w:t>
      </w:r>
      <w:r>
        <w:rPr>
          <w:rFonts w:ascii="Times New Roman" w:hAnsi="Times New Roman"/>
          <w:b w:val="false"/>
          <w:color w:val="000000"/>
          <w:sz w:val="20"/>
        </w:rPr>
        <w:t>for specific details surrounding the Company’s leases.</w:t>
      </w:r>
    </w:p>
    <w:p>
      <w:pPr>
        <w:pStyle w:val="TextBody"/>
        <w:bidi w:val="0"/>
        <w:spacing w:before="360" w:after="283"/>
        <w:jc w:val="left"/>
        <w:rPr>
          <w:rFonts w:ascii="Times New Roman" w:hAnsi="Times New Roman"/>
          <w:sz w:val="20"/>
        </w:rPr>
      </w:pPr>
      <w:r>
        <w:rPr>
          <w:rFonts w:ascii="Times New Roman" w:hAnsi="Times New Roman"/>
          <w:b/>
          <w:color w:val="000000"/>
          <w:sz w:val="20"/>
        </w:rPr>
        <w:t>Research and Development Costs, Net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performance of research and development services are capitalized until the services are performed.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Pre-Launch Inventory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obtaining initial regulatory approval for an investigational product candidate, the Company expenses costs relating to production of inventory as research and development expense in its condensed consolidated statements of operations and comprehensive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includes the restricted cash balance in the cash, cash equivalents and restricted cash reconciliation of operating, investing and financing activities in the condensed consolidated statements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provides a reconciliation of cash and cash equivalents and restricted cash reported within the condensed consolidated balance sheet to the total of the same such amounts shown in the condensed consolidated statement of cash flows:</w:t>
      </w:r>
    </w:p>
    <w:p>
      <w:pPr>
        <w:pStyle w:val="TextBody"/>
        <w:bidi w:val="0"/>
        <w:jc w:val="left"/>
        <w:rPr/>
      </w:pPr>
      <w:r>
        <w:rPr/>
        <w:t> </w:t>
      </w:r>
    </w:p>
    <w:tbl>
      <w:tblPr>
        <w:tblW w:w="7335" w:type="dxa"/>
        <w:jc w:val="left"/>
        <w:tblInd w:w="0" w:type="dxa"/>
        <w:tblLayout w:type="fixed"/>
        <w:tblCellMar>
          <w:top w:w="28" w:type="dxa"/>
          <w:left w:w="28" w:type="dxa"/>
          <w:bottom w:w="28" w:type="dxa"/>
          <w:right w:w="28" w:type="dxa"/>
        </w:tblCellMar>
      </w:tblPr>
      <w:tblGrid>
        <w:gridCol w:w="3616"/>
        <w:gridCol w:w="146"/>
        <w:gridCol w:w="328"/>
        <w:gridCol w:w="1217"/>
        <w:gridCol w:w="146"/>
        <w:gridCol w:w="146"/>
        <w:gridCol w:w="328"/>
        <w:gridCol w:w="1217"/>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237,676</w:t>
            </w:r>
          </w:p>
        </w:tc>
        <w:tc>
          <w:tcPr>
            <w:tcW w:w="191" w:type="dxa"/>
            <w:tcBorders/>
            <w:shd w:fill="CFF0FC"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6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restricted cash</w:t>
            </w:r>
          </w:p>
        </w:tc>
        <w:tc>
          <w:tcPr>
            <w:tcW w:w="146" w:type="dxa"/>
            <w:tcBorders/>
            <w:shd w:fill="CFF0FC" w:val="cle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cash equivalents and restricted</w:t>
              <w:br/>
              <w:t>   cash shown in the statement of cash flows</w:t>
            </w:r>
          </w:p>
        </w:tc>
        <w:tc>
          <w:tcPr>
            <w:tcW w:w="146" w:type="dxa"/>
            <w:tcBorders/>
            <w:shd w:fill="FFFFFF" w:val="cle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239,757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dividends were declared or paid during the reported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changes during the nine months ended September 30, 2023 in the balances of contract assets and liabilities as compared to what was disclosed in the Company’s Annual Report.</w:t>
      </w:r>
    </w:p>
    <w:p>
      <w:pPr>
        <w:pStyle w:val="TextBody"/>
        <w:bidi w:val="0"/>
        <w:jc w:val="left"/>
        <w:rPr/>
      </w:pPr>
      <w:r>
        <w:rPr/>
        <w:t> </w:t>
      </w:r>
    </w:p>
    <w:tbl>
      <w:tblPr>
        <w:tblW w:w="8293" w:type="dxa"/>
        <w:jc w:val="left"/>
        <w:tblInd w:w="0" w:type="dxa"/>
        <w:tblLayout w:type="fixed"/>
        <w:tblCellMar>
          <w:top w:w="28" w:type="dxa"/>
          <w:left w:w="28" w:type="dxa"/>
          <w:bottom w:w="28" w:type="dxa"/>
          <w:right w:w="28" w:type="dxa"/>
        </w:tblCellMar>
      </w:tblPr>
      <w:tblGrid>
        <w:gridCol w:w="1871"/>
        <w:gridCol w:w="146"/>
        <w:gridCol w:w="357"/>
        <w:gridCol w:w="1143"/>
        <w:gridCol w:w="146"/>
        <w:gridCol w:w="146"/>
        <w:gridCol w:w="211"/>
        <w:gridCol w:w="781"/>
        <w:gridCol w:w="146"/>
        <w:gridCol w:w="146"/>
        <w:gridCol w:w="211"/>
        <w:gridCol w:w="841"/>
        <w:gridCol w:w="166"/>
        <w:gridCol w:w="146"/>
        <w:gridCol w:w="367"/>
        <w:gridCol w:w="1178"/>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7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(134,788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38,220</w:t>
            </w:r>
          </w:p>
        </w:tc>
        <w:tc>
          <w:tcPr>
            <w:tcW w:w="291" w:type="dxa"/>
            <w:tcBorders/>
            <w:shd w:fill="FFFFFF" w:val="clear"/>
            <w:vAlign w:val="center"/>
          </w:tcPr>
          <w:p>
            <w:pPr>
              <w:pStyle w:val="TableContents"/>
              <w:bidi w:val="0"/>
              <w:spacing w:before="0" w:after="283"/>
              <w:jc w:val="left"/>
              <w:rPr/>
            </w:pPr>
            <w:r>
              <w:rPr/>
              <w:t> </w:t>
            </w:r>
          </w:p>
        </w:tc>
      </w:tr>
      <w:tr>
        <w:trPr/>
        <w:tc>
          <w:tcPr>
            <w:tcW w:w="18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87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82,679</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summarizes the Company’s revenues for the periods indicated.</w:t>
      </w:r>
    </w:p>
    <w:p>
      <w:pPr>
        <w:pStyle w:val="TextBody"/>
        <w:bidi w:val="0"/>
        <w:jc w:val="left"/>
        <w:rPr/>
      </w:pPr>
      <w:r>
        <w:rPr/>
        <w:t> </w:t>
      </w:r>
    </w:p>
    <w:tbl>
      <w:tblPr>
        <w:tblW w:w="8072" w:type="dxa"/>
        <w:jc w:val="left"/>
        <w:tblInd w:w="0" w:type="dxa"/>
        <w:tblLayout w:type="fixed"/>
        <w:tblCellMar>
          <w:top w:w="28" w:type="dxa"/>
          <w:left w:w="28" w:type="dxa"/>
          <w:bottom w:w="28" w:type="dxa"/>
          <w:right w:w="28" w:type="dxa"/>
        </w:tblCellMar>
      </w:tblPr>
      <w:tblGrid>
        <w:gridCol w:w="2786"/>
        <w:gridCol w:w="146"/>
        <w:gridCol w:w="211"/>
        <w:gridCol w:w="676"/>
        <w:gridCol w:w="166"/>
        <w:gridCol w:w="146"/>
        <w:gridCol w:w="211"/>
        <w:gridCol w:w="676"/>
        <w:gridCol w:w="146"/>
        <w:gridCol w:w="146"/>
        <w:gridCol w:w="211"/>
        <w:gridCol w:w="781"/>
        <w:gridCol w:w="146"/>
        <w:gridCol w:w="146"/>
        <w:gridCol w:w="211"/>
        <w:gridCol w:w="676"/>
        <w:gridCol w:w="59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Collaboration Revenue: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CSL Seqirus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129,257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Vinbiocare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26,815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Janssen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7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3,798</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78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collaboration revenue</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43,376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13,369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132,670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45,706</w:t>
            </w:r>
          </w:p>
        </w:tc>
        <w:tc>
          <w:tcPr>
            <w:tcW w:w="5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7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BARDA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grant revenue</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paragraphs provide information regarding the nature and purpose of the Company’s most significant collaboration and grant arrangements.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CSL Seqirus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hAnsi="Times New Roman"/>
          <w:b w:val="false"/>
          <w:color w:val="000000"/>
          <w:sz w:val="13"/>
        </w:rPr>
        <w:t>®</w:t>
      </w:r>
      <w:r>
        <w:rPr>
          <w:rFonts w:ascii="Times New Roman" w:hAnsi="Times New Roman"/>
          <w:b w:val="false"/>
          <w:color w:val="000000"/>
          <w:sz w:val="20"/>
        </w:rPr>
        <w:t>)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received a $200.0</w:t>
      </w:r>
      <w:r>
        <w:rPr>
          <w:rFonts w:ascii="Times New Roman" w:hAnsi="Times New Roman"/>
          <w:color w:val="000000"/>
          <w:sz w:val="20"/>
        </w:rPr>
        <w:t xml:space="preserve"> </w:t>
      </w:r>
      <w:r>
        <w:rPr>
          <w:rFonts w:ascii="Times New Roman" w:hAnsi="Times New Roman"/>
          <w:b w:val="false"/>
          <w:color w:val="000000"/>
          <w:sz w:val="20"/>
        </w:rPr>
        <w:t>million upfront payment and is eligible to receive over $1.3</w:t>
      </w:r>
      <w:r>
        <w:rPr>
          <w:rFonts w:ascii="Times New Roman" w:hAnsi="Times New Roman"/>
          <w:color w:val="000000"/>
          <w:sz w:val="20"/>
        </w:rPr>
        <w:t xml:space="preserve"> </w:t>
      </w:r>
      <w:r>
        <w:rPr>
          <w:rFonts w:ascii="Times New Roman" w:hAnsi="Times New Roman"/>
          <w:b w:val="false"/>
          <w:color w:val="000000"/>
          <w:sz w:val="20"/>
        </w:rPr>
        <w:t>billion in development milestones if all products are registered in the licensed fields, and entitled to potentially receive up to $3.0</w:t>
      </w:r>
      <w:r>
        <w:rPr>
          <w:rFonts w:ascii="Times New Roman" w:hAnsi="Times New Roman"/>
          <w:color w:val="000000"/>
          <w:sz w:val="20"/>
        </w:rPr>
        <w:t xml:space="preserve"> </w:t>
      </w:r>
      <w:r>
        <w:rPr>
          <w:rFonts w:ascii="Times New Roman" w:hAnsi="Times New Roman"/>
          <w:b w:val="false"/>
          <w:color w:val="000000"/>
          <w:sz w:val="20"/>
        </w:rPr>
        <w:t>billion in commercial milestones based on net sales of vaccines in the various fields. In addition, the Company is eligible to receive a 40% net profit share for COVID-19 vaccine products and up to low double-digit royalties for vaccines against flu, pandemic preparedness and three other respiratory pathogens.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March 2023, the Company achieved development milestones, including milestones associated with nominating next generation vaccine candidates, resulting in $90.0</w:t>
      </w:r>
      <w:r>
        <w:rPr>
          <w:rFonts w:ascii="Times New Roman" w:hAnsi="Times New Roman"/>
          <w:color w:val="000000"/>
          <w:sz w:val="20"/>
        </w:rPr>
        <w:t xml:space="preserve"> </w:t>
      </w:r>
      <w:r>
        <w:rPr>
          <w:rFonts w:ascii="Times New Roman" w:hAnsi="Times New Roman"/>
          <w:b w:val="false"/>
          <w:color w:val="000000"/>
          <w:sz w:val="20"/>
        </w:rPr>
        <w:t>million received from CSL Seqirus during the second quarter of 2023. In April 2023 the Company also received an advance payment of $23.6</w:t>
      </w:r>
      <w:r>
        <w:rPr>
          <w:rFonts w:ascii="Times New Roman" w:hAnsi="Times New Roman"/>
          <w:color w:val="000000"/>
          <w:sz w:val="20"/>
        </w:rPr>
        <w:t xml:space="preserve"> </w:t>
      </w:r>
      <w:r>
        <w:rPr>
          <w:rFonts w:ascii="Times New Roman" w:hAnsi="Times New Roman"/>
          <w:b w:val="false"/>
          <w:color w:val="000000"/>
          <w:sz w:val="20"/>
        </w:rPr>
        <w:t>million for the manufacturing and supply of ARCT-154 drug product. The advance payment was for specified manufacturing runs of ARCT-154 which include the drug substance utilized, as well as the reservation fees and related manufacturing requirements. The Company concluded that the promise to manufacture and supply ARCT-154 drug product is a customer option as part of the CSL Collaboration Agreement and is accounted for as a separate contract. The advance payment of $23.6</w:t>
      </w:r>
      <w:r>
        <w:rPr>
          <w:rFonts w:ascii="Times New Roman" w:hAnsi="Times New Roman"/>
          <w:color w:val="000000"/>
          <w:sz w:val="20"/>
        </w:rPr>
        <w:t xml:space="preserve"> </w:t>
      </w:r>
      <w:r>
        <w:rPr>
          <w:rFonts w:ascii="Times New Roman" w:hAnsi="Times New Roman"/>
          <w:b w:val="false"/>
          <w:color w:val="000000"/>
          <w:sz w:val="20"/>
        </w:rPr>
        <w:t>million is included in deferred revenue 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2023, the Company achieved a development milestone related to the completion of the first GMP batch manufacture of drug product in a multi-dose vial for clinical studies in the SARS-CoV-2 field. The Company invoiced CSL Seqirus and added $35.0</w:t>
      </w:r>
      <w:r>
        <w:rPr>
          <w:rFonts w:ascii="Times New Roman" w:hAnsi="Times New Roman"/>
          <w:color w:val="000000"/>
          <w:sz w:val="20"/>
        </w:rPr>
        <w:t xml:space="preserve"> </w:t>
      </w:r>
      <w:r>
        <w:rPr>
          <w:rFonts w:ascii="Times New Roman" w:hAnsi="Times New Roman"/>
          <w:b w:val="false"/>
          <w:color w:val="000000"/>
          <w:sz w:val="20"/>
        </w:rPr>
        <w:t>million to the transaction price during the three months ended September 30, 2023. The Company anticipates that it will receive this payment from CSL Seqirus during the fourth quarter of 2023.</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evaluating the CSL Collaboration Agreement in accordance with Accounting Standards Codification (“ASC”) Topic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transaction price consisted of upfront consideration received and milestones achieved in March 2023 and September 2023. Additional variable consideration was not included in the transaction price at September 30, 2023 because the Company could not conclude that it is probable that including the variable consideration will not result in a significant revenue reversal.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allocated the transaction price to the performance obligations in proportion to their standalone selling price. The vaccine license was recognized at the point in time when it was transferred and any additional consideration allocated to the license is recognized at the point that the consideration becomes probable of non-reversal as the performance obligation has been delivered.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are constrained and therefore have also been excluded from the transaction price. The revenue recognized during the quarter ended September 30, 2023 relates to the license delivered, milestones achieved and services performed.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Total deferred revenue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was $82.5</w:t>
      </w:r>
      <w:r>
        <w:rPr>
          <w:rFonts w:ascii="Times New Roman" w:hAnsi="Times New Roman"/>
          <w:color w:val="000000"/>
          <w:sz w:val="20"/>
        </w:rPr>
        <w:t xml:space="preserve"> </w:t>
      </w:r>
      <w:r>
        <w:rPr>
          <w:rFonts w:ascii="Times New Roman" w:hAnsi="Times New Roman"/>
          <w:b w:val="false"/>
          <w:color w:val="000000"/>
          <w:sz w:val="20"/>
        </w:rPr>
        <w:t>million and $45.6</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2023, the Company entered into an amendment to the CSL Collaboration Agreement, pursuant to which the Company agreed to sponsor and conduct a Phase I clinical study in the influenza field. As part of the amendment, the Company and CSL Seqirus agreed to a $17.5</w:t>
      </w:r>
      <w:r>
        <w:rPr>
          <w:rFonts w:ascii="Times New Roman" w:hAnsi="Times New Roman"/>
          <w:color w:val="000000"/>
          <w:sz w:val="20"/>
        </w:rPr>
        <w:t xml:space="preserve"> </w:t>
      </w:r>
      <w:r>
        <w:rPr>
          <w:rFonts w:ascii="Times New Roman" w:hAnsi="Times New Roman"/>
          <w:b w:val="false"/>
          <w:color w:val="000000"/>
          <w:sz w:val="20"/>
        </w:rPr>
        <w:t>million milestone payment which was met during the third quarter of 2023 upon the execution of a Phase I study start-up agreement. The amendment also provides for up to $1.5</w:t>
      </w:r>
      <w:r>
        <w:rPr>
          <w:rFonts w:ascii="Times New Roman" w:hAnsi="Times New Roman"/>
          <w:color w:val="000000"/>
          <w:sz w:val="20"/>
        </w:rPr>
        <w:t xml:space="preserve"> </w:t>
      </w:r>
      <w:r>
        <w:rPr>
          <w:rFonts w:ascii="Times New Roman" w:hAnsi="Times New Roman"/>
          <w:b w:val="false"/>
          <w:color w:val="000000"/>
          <w:sz w:val="20"/>
        </w:rPr>
        <w:t>million in additional payments which are achievable upon meeting certain clinical milestones relating to the Phase I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I clinical study is a separate contract and the sole performance obligation under the new arrangement. During the third quarter of 2023, the Company recognized $1.2</w:t>
      </w:r>
      <w:r>
        <w:rPr>
          <w:rFonts w:ascii="Times New Roman" w:hAnsi="Times New Roman"/>
          <w:color w:val="000000"/>
          <w:sz w:val="20"/>
        </w:rPr>
        <w:t xml:space="preserve"> </w:t>
      </w:r>
      <w:r>
        <w:rPr>
          <w:rFonts w:ascii="Times New Roman" w:hAnsi="Times New Roman"/>
          <w:b w:val="false"/>
          <w:color w:val="000000"/>
          <w:sz w:val="20"/>
        </w:rPr>
        <w:t>million related to the performance obligation and recorded the remaining amount of $16.3</w:t>
      </w:r>
      <w:r>
        <w:rPr>
          <w:rFonts w:ascii="Times New Roman" w:hAnsi="Times New Roman"/>
          <w:color w:val="000000"/>
          <w:sz w:val="20"/>
        </w:rPr>
        <w:t xml:space="preserve"> </w:t>
      </w:r>
      <w:r>
        <w:rPr>
          <w:rFonts w:ascii="Times New Roman" w:hAnsi="Times New Roman"/>
          <w:b w:val="false"/>
          <w:color w:val="000000"/>
          <w:sz w:val="20"/>
        </w:rPr>
        <w:t>million to deferred revenue.</w:t>
      </w:r>
    </w:p>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u w:val="single"/>
        </w:rPr>
        <w:t>Vinbiocare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2021 the Company entered into certain agreements (collectively, the “Vinbiocare License &amp; Supply Agreements”) with Vinbiocare Biotechnology Joint Stock Company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w:t>
      </w:r>
      <w:r>
        <w:rPr>
          <w:rFonts w:ascii="Times New Roman" w:hAnsi="Times New Roman"/>
          <w:color w:val="000000"/>
          <w:sz w:val="20"/>
        </w:rPr>
        <w:t xml:space="preserve"> </w:t>
      </w:r>
      <w:r>
        <w:rPr>
          <w:rFonts w:ascii="Times New Roman" w:hAnsi="Times New Roman"/>
          <w:b w:val="false"/>
          <w:color w:val="000000"/>
          <w:sz w:val="20"/>
        </w:rPr>
        <w:t>million as part of the Vinbiocare License &amp; Supply Agreements. In October 2022, the Company and Vinbiocare executed a letter of agreement terminating the License &amp; Supply Agreements. The Company incurred no financial penalties in connection with the termination of the License &amp; Supply Agreements and has no further financial obligations to Vinbiocare under these terminated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2022, in association with the termination of the License &amp; Supply Agreements, the Company signed the Study Support Agreement with Vinbiocare which provides that Vinbiocare shall continue to serve as the regulatory and financial sponsor of clinical studies conducted in Vietnam of ARCT-154 pursuant to the Company’s arrangements with Vinbiocare (the “Study Support Agreement”). To support the continuing activities of these studies, the Study Support Agreement further provides for the Company to conduct certain services and to compensate Vinbiocare to help achieve the objectives of these studies. In February 2023, the Company agreed to provide additional financial support in the amount of approximately $2.1</w:t>
      </w:r>
      <w:r>
        <w:rPr>
          <w:rFonts w:ascii="Times New Roman" w:hAnsi="Times New Roman"/>
          <w:color w:val="000000"/>
          <w:sz w:val="20"/>
        </w:rPr>
        <w:t xml:space="preserve"> </w:t>
      </w:r>
      <w:r>
        <w:rPr>
          <w:rFonts w:ascii="Times New Roman" w:hAnsi="Times New Roman"/>
          <w:b w:val="false"/>
          <w:color w:val="000000"/>
          <w:sz w:val="20"/>
        </w:rPr>
        <w:t>million to allow Vinbiocare to provide additional study support duties related to the ARCT-154 clinical study. As a result, the Company reserved $11.8</w:t>
      </w:r>
      <w:r>
        <w:rPr>
          <w:rFonts w:ascii="Times New Roman" w:hAnsi="Times New Roman"/>
          <w:color w:val="000000"/>
          <w:sz w:val="20"/>
        </w:rPr>
        <w:t xml:space="preserve"> </w:t>
      </w:r>
      <w:r>
        <w:rPr>
          <w:rFonts w:ascii="Times New Roman" w:hAnsi="Times New Roman"/>
          <w:b w:val="false"/>
          <w:color w:val="000000"/>
          <w:sz w:val="20"/>
        </w:rPr>
        <w:t>million of the original upfront payment to be paid to Vinbiocare over the future periods pursuant to the Study Support Agreement by reclassifying a portion of the upfront payment received from Vinbiocare pursuant to the License &amp; Supply Agreements, 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sales-related events based on the information currently available to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concluded that it has no</w:t>
      </w:r>
      <w:r>
        <w:rPr>
          <w:rFonts w:ascii="Times New Roman" w:hAnsi="Times New Roman"/>
          <w:color w:val="000000"/>
          <w:sz w:val="20"/>
        </w:rPr>
        <w:t xml:space="preserve"> </w:t>
      </w:r>
      <w:r>
        <w:rPr>
          <w:rFonts w:ascii="Times New Roman" w:hAnsi="Times New Roman"/>
          <w:b w:val="false"/>
          <w:color w:val="000000"/>
          <w:sz w:val="20"/>
        </w:rPr>
        <w:t>remaining performance obligations under its prior arrangements with Vinbiocare as summarized above as of September 30, 2023. As of September 30, 2023, the Company has accrued liabilities related to this arrangement of $3.5</w:t>
      </w:r>
      <w:r>
        <w:rPr>
          <w:rFonts w:ascii="Times New Roman" w:hAnsi="Times New Roman"/>
          <w:color w:val="000000"/>
          <w:sz w:val="20"/>
        </w:rPr>
        <w:t xml:space="preserve"> </w:t>
      </w:r>
      <w:r>
        <w:rPr>
          <w:rFonts w:ascii="Times New Roman" w:hAnsi="Times New Roman"/>
          <w:b w:val="false"/>
          <w:color w:val="000000"/>
          <w:sz w:val="20"/>
        </w:rPr>
        <w:t>million in current liabilities and $1.0</w:t>
      </w:r>
      <w:r>
        <w:rPr>
          <w:rFonts w:ascii="Times New Roman" w:hAnsi="Times New Roman"/>
          <w:color w:val="000000"/>
          <w:sz w:val="20"/>
        </w:rPr>
        <w:t xml:space="preserve"> </w:t>
      </w:r>
      <w:r>
        <w:rPr>
          <w:rFonts w:ascii="Times New Roman" w:hAnsi="Times New Roman"/>
          <w:b w:val="false"/>
          <w:color w:val="000000"/>
          <w:sz w:val="20"/>
        </w:rPr>
        <w:t>million in non-current liabilities that will be paid upon the occurrence of specified events through the first quarter of 2025. Vinbiocare is also eligible to receive a single digit percentage of amounts from net sales, if any, of ARCT-154 (or next-generation COVID vaccine) up to a capped amount of low single digit millions. The Company has no</w:t>
      </w:r>
      <w:r>
        <w:rPr>
          <w:rFonts w:ascii="Times New Roman" w:hAnsi="Times New Roman"/>
          <w:color w:val="000000"/>
          <w:sz w:val="20"/>
        </w:rPr>
        <w:t xml:space="preserve"> </w:t>
      </w:r>
      <w:r>
        <w:rPr>
          <w:rFonts w:ascii="Times New Roman" w:hAnsi="Times New Roman"/>
          <w:b w:val="false"/>
          <w:color w:val="000000"/>
          <w:sz w:val="20"/>
        </w:rPr>
        <w:t>remaining deferred revenue as of September 30, 2023 and December 31, 2022.</w:t>
      </w:r>
    </w:p>
    <w:p>
      <w:pPr>
        <w:pStyle w:val="TextBody"/>
        <w:bidi w:val="0"/>
        <w:spacing w:before="240" w:after="283"/>
        <w:jc w:val="left"/>
        <w:rPr>
          <w:rFonts w:ascii="Times New Roman" w:hAnsi="Times New Roman"/>
          <w:b w:val="false"/>
          <w:i/>
          <w:color w:val="000000"/>
          <w:sz w:val="20"/>
          <w:u w:val="single"/>
        </w:rPr>
      </w:pPr>
      <w:r>
        <w:rPr>
          <w:rFonts w:ascii="Times New Roman" w:hAnsi="Times New Roman"/>
          <w:b w:val="false"/>
          <w:i/>
          <w:color w:val="000000"/>
          <w:sz w:val="20"/>
          <w:u w:val="single"/>
        </w:rPr>
        <w:t>BARDA Grant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2022, the Company entered into a cost reimbursement contract with the Biomedical Advanced Research and Development Authority ("BARDA"), a division of the Office of the Assistant Secretary for Preparedness and Response (ASPR) within the U.S. Department of Health and Human Services (HHS) for an award of up to $63.2</w:t>
      </w:r>
      <w:r>
        <w:rPr>
          <w:rFonts w:ascii="Times New Roman" w:hAnsi="Times New Roman"/>
          <w:color w:val="000000"/>
          <w:sz w:val="20"/>
        </w:rPr>
        <w:t xml:space="preserve"> </w:t>
      </w:r>
      <w:r>
        <w:rPr>
          <w:rFonts w:ascii="Times New Roman" w:hAnsi="Times New Roman"/>
          <w:b w:val="false"/>
          <w:color w:val="000000"/>
          <w:sz w:val="20"/>
        </w:rPr>
        <w:t>million for the development of a pandemic influenza vaccine using the Company's STARR</w:t>
      </w:r>
      <w:r>
        <w:rPr>
          <w:rFonts w:ascii="Times New Roman" w:hAnsi="Times New Roman"/>
          <w:b w:val="false"/>
          <w:color w:val="000000"/>
          <w:sz w:val="16"/>
        </w:rPr>
        <w:t>®</w:t>
      </w:r>
      <w:r>
        <w:rPr>
          <w:rFonts w:ascii="Times New Roman" w:hAnsi="Times New Roman"/>
          <w:color w:val="000000"/>
          <w:sz w:val="20"/>
        </w:rPr>
        <w:t xml:space="preserve"> </w:t>
      </w:r>
      <w:r>
        <w:rPr>
          <w:rFonts w:ascii="Times New Roman" w:hAnsi="Times New Roman"/>
          <w:b w:val="false"/>
          <w:color w:val="000000"/>
          <w:sz w:val="20"/>
        </w:rPr>
        <w:t>self-amplifying mRNA vaccine platform technology. The Company earns grant revenue for performing tasks under the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expenses in the Company’s condensed consolidated statements of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recognized $1.8</w:t>
      </w:r>
      <w:r>
        <w:rPr>
          <w:rFonts w:ascii="Times New Roman" w:hAnsi="Times New Roman"/>
          <w:color w:val="000000"/>
          <w:sz w:val="20"/>
        </w:rPr>
        <w:t xml:space="preserve"> </w:t>
      </w:r>
      <w:r>
        <w:rPr>
          <w:rFonts w:ascii="Times New Roman" w:hAnsi="Times New Roman"/>
          <w:b w:val="false"/>
          <w:color w:val="000000"/>
          <w:sz w:val="20"/>
        </w:rPr>
        <w:t>million and $3.3</w:t>
      </w:r>
      <w:r>
        <w:rPr>
          <w:rFonts w:ascii="Times New Roman" w:hAnsi="Times New Roman"/>
          <w:color w:val="000000"/>
          <w:sz w:val="20"/>
        </w:rPr>
        <w:t xml:space="preserve"> </w:t>
      </w:r>
      <w:r>
        <w:rPr>
          <w:rFonts w:ascii="Times New Roman" w:hAnsi="Times New Roman"/>
          <w:b w:val="false"/>
          <w:color w:val="000000"/>
          <w:sz w:val="20"/>
        </w:rPr>
        <w:t>million of revenue during the three and nine months ended September 30, 2023, respectively. As of September 30, 2023, the remaining available funding net of revenue earned was $59.6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three levels of the fair value hierarchy are as follows: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1: Quoted prices in active markets for identical assets or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Level 3: Unobservable inputs in which little or no market data exists and are therefore determined using estimates and assumptions developed by the Company, which reflect those that a market participant would use.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carrying value of cash, restricted cash, accounts receivable, accounts payable, accrued liabilities and the Singapore Loan (as defined below) approximate their respective fair values due to their relative short maturities. Prior to payoff and forgiveness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long-term debt in the first quarter of 2023, the carrying amounts of long-term debt for the amount drawn on the Company’s debt facility approximated fair value as the interest rate was variable and reflected current market rates.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all assets measured at fair value on a recurring basis consisted of cash equivalents and money market funds, which were classified within Level 1 of the fair value hierarchy. The fair value of these financial instruments was measured based on quoted prices.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Balance Sheet Details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Property and equipment, net balances consisted of the following:</w:t>
      </w:r>
    </w:p>
    <w:p>
      <w:pPr>
        <w:pStyle w:val="TextBody"/>
        <w:bidi w:val="0"/>
        <w:jc w:val="both"/>
        <w:rPr/>
      </w:pPr>
      <w:r>
        <w:rPr/>
        <w:t> </w:t>
      </w:r>
    </w:p>
    <w:tbl>
      <w:tblPr>
        <w:tblW w:w="7765" w:type="dxa"/>
        <w:jc w:val="left"/>
        <w:tblInd w:w="0" w:type="dxa"/>
        <w:tblLayout w:type="fixed"/>
        <w:tblCellMar>
          <w:top w:w="28" w:type="dxa"/>
          <w:left w:w="28" w:type="dxa"/>
          <w:bottom w:w="28" w:type="dxa"/>
          <w:right w:w="28" w:type="dxa"/>
        </w:tblCellMar>
      </w:tblPr>
      <w:tblGrid>
        <w:gridCol w:w="4051"/>
        <w:gridCol w:w="146"/>
        <w:gridCol w:w="367"/>
        <w:gridCol w:w="1178"/>
        <w:gridCol w:w="166"/>
        <w:gridCol w:w="146"/>
        <w:gridCol w:w="357"/>
        <w:gridCol w:w="1143"/>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equipment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10,251</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Computers and software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1,154</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Office equipment and furniture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2,491</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18,198</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Depreciation and amortization expense was $0.8</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$0.4</w:t>
      </w:r>
      <w:r>
        <w:rPr>
          <w:rFonts w:ascii="Times New Roman" w:hAnsi="Times New Roman"/>
          <w:color w:val="000000"/>
          <w:sz w:val="20"/>
        </w:rPr>
        <w:t xml:space="preserve"> </w:t>
      </w:r>
      <w:r>
        <w:rPr>
          <w:rFonts w:ascii="Times New Roman" w:hAnsi="Times New Roman"/>
          <w:b w:val="false"/>
          <w:color w:val="000000"/>
          <w:sz w:val="20"/>
        </w:rPr>
        <w:t>million and $1.0</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 Construction in progress at December 31, 2022 primarily includes research equipment that was placed into service during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Accrued liabilities consisted of the following:</w:t>
      </w:r>
    </w:p>
    <w:p>
      <w:pPr>
        <w:pStyle w:val="TextBody"/>
        <w:bidi w:val="0"/>
        <w:jc w:val="left"/>
        <w:rPr/>
      </w:pPr>
      <w:r>
        <w:rPr/>
        <w:t> </w:t>
      </w:r>
    </w:p>
    <w:tbl>
      <w:tblPr>
        <w:tblW w:w="7860" w:type="dxa"/>
        <w:jc w:val="left"/>
        <w:tblInd w:w="0" w:type="dxa"/>
        <w:tblLayout w:type="fixed"/>
        <w:tblCellMar>
          <w:top w:w="28" w:type="dxa"/>
          <w:left w:w="28" w:type="dxa"/>
          <w:bottom w:w="28" w:type="dxa"/>
          <w:right w:w="28" w:type="dxa"/>
        </w:tblCellMar>
      </w:tblPr>
      <w:tblGrid>
        <w:gridCol w:w="4186"/>
        <w:gridCol w:w="146"/>
        <w:gridCol w:w="367"/>
        <w:gridCol w:w="1178"/>
        <w:gridCol w:w="146"/>
        <w:gridCol w:w="146"/>
        <w:gridCol w:w="357"/>
        <w:gridCol w:w="1143"/>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4,038</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payable</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1,295</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operating lease liability</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3,884</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Clinical accruals</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4,531</w:t>
            </w:r>
          </w:p>
        </w:tc>
        <w:tc>
          <w:tcPr>
            <w:tcW w:w="191"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Contractual liabilities</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7,468</w:t>
            </w:r>
          </w:p>
        </w:tc>
        <w:tc>
          <w:tcPr>
            <w:tcW w:w="191"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accrued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Debt</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Wells Fargo Credit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21, 2023, the Company’s wholly-owned subsidiary, Arcturus Therapeutics, Inc. entered into a credit agreement with Wells Fargo Bank, National Association (“Wells Fargo”) whereby Wells Fargo will make a $50.0</w:t>
      </w:r>
      <w:r>
        <w:rPr>
          <w:rFonts w:ascii="Times New Roman" w:hAnsi="Times New Roman"/>
          <w:color w:val="000000"/>
          <w:sz w:val="20"/>
        </w:rPr>
        <w:t xml:space="preserve"> </w:t>
      </w:r>
      <w:r>
        <w:rPr>
          <w:rFonts w:ascii="Times New Roman" w:hAnsi="Times New Roman"/>
          <w:b w:val="false"/>
          <w:color w:val="000000"/>
          <w:sz w:val="20"/>
        </w:rPr>
        <w:t>million revolving credit line available to the Company (the “Loan”) and each Loan evidenced by a revolving line of credit note (the “Note”).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term of the agreement is two years, with an option for one-year</w:t>
      </w:r>
      <w:r>
        <w:rPr>
          <w:rFonts w:ascii="Times New Roman" w:hAnsi="Times New Roman"/>
          <w:color w:val="000000"/>
          <w:sz w:val="20"/>
        </w:rPr>
        <w:t xml:space="preserve"> </w:t>
      </w:r>
      <w:r>
        <w:rPr>
          <w:rFonts w:ascii="Times New Roman" w:hAnsi="Times New Roman"/>
          <w:b w:val="false"/>
          <w:color w:val="000000"/>
          <w:sz w:val="20"/>
        </w:rPr>
        <w:t>renewals subject to Wells Fargo approval and the Company furnishing to Wells Fargo a non-refundable commitment fee equal to 0.25% of the Loan amount for each such renewal. There is no penalty for terminating the facility prior to the maturity date of the Note. As collateral, the Company has agreed to pledge $55.0</w:t>
      </w:r>
      <w:r>
        <w:rPr>
          <w:rFonts w:ascii="Times New Roman" w:hAnsi="Times New Roman"/>
          <w:color w:val="000000"/>
          <w:sz w:val="20"/>
        </w:rPr>
        <w:t xml:space="preserve"> </w:t>
      </w:r>
      <w:r>
        <w:rPr>
          <w:rFonts w:ascii="Times New Roman" w:hAnsi="Times New Roman"/>
          <w:b w:val="false"/>
          <w:color w:val="000000"/>
          <w:sz w:val="20"/>
        </w:rPr>
        <w:t>million in cash to be held at the Company’s securities accounts with Wells Fargo Securities, LLC, an affiliate of Wells Fargo, pursuant to a security agreement. In September 2023, the Company drew down $20.0</w:t>
      </w:r>
      <w:r>
        <w:rPr>
          <w:rFonts w:ascii="Times New Roman" w:hAnsi="Times New Roman"/>
          <w:color w:val="000000"/>
          <w:sz w:val="20"/>
        </w:rPr>
        <w:t xml:space="preserve"> </w:t>
      </w:r>
      <w:r>
        <w:rPr>
          <w:rFonts w:ascii="Times New Roman" w:hAnsi="Times New Roman"/>
          <w:b w:val="false"/>
          <w:color w:val="000000"/>
          <w:sz w:val="20"/>
        </w:rPr>
        <w:t>million from the Loan.</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Manufacturing Support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7, 2020, the Company’s wholly-owned subsidiary, Arcturus Therapeutics, Inc., entered into a Manufacturing Support Agreement (the “Support Agreement”) with the Economic Development Board of the Republic of Singapore (the “EDB”).</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Support Agreement, the EDB agreed to make a term loan (the “Singapore Loan”) of S$62.1</w:t>
      </w:r>
      <w:r>
        <w:rPr>
          <w:rFonts w:ascii="Times New Roman" w:hAnsi="Times New Roman"/>
          <w:color w:val="000000"/>
          <w:sz w:val="20"/>
        </w:rPr>
        <w:t xml:space="preserve"> </w:t>
      </w:r>
      <w:r>
        <w:rPr>
          <w:rFonts w:ascii="Times New Roman" w:hAnsi="Times New Roman"/>
          <w:b w:val="false"/>
          <w:color w:val="000000"/>
          <w:sz w:val="20"/>
        </w:rPr>
        <w:t>million to the Company, subject to the satisfaction of customary deliveries, to support the manufacture of the LUNAR-COV19 vaccine candidate (ARCT-021). The Singapore Loan accrued interest at a rate of 4.5% per annum calculated on a daily basis. The Company elected to borrow the full amount available under the Support Agreement of S$62.1</w:t>
      </w:r>
      <w:r>
        <w:rPr>
          <w:rFonts w:ascii="Times New Roman" w:hAnsi="Times New Roman"/>
          <w:color w:val="000000"/>
          <w:sz w:val="20"/>
        </w:rPr>
        <w:t xml:space="preserve"> </w:t>
      </w:r>
      <w:r>
        <w:rPr>
          <w:rFonts w:ascii="Times New Roman" w:hAnsi="Times New Roman"/>
          <w:b w:val="false"/>
          <w:color w:val="000000"/>
          <w:sz w:val="20"/>
        </w:rPr>
        <w:t>million ($46.6</w:t>
      </w:r>
      <w:r>
        <w:rPr>
          <w:rFonts w:ascii="Times New Roman" w:hAnsi="Times New Roman"/>
          <w:color w:val="000000"/>
          <w:sz w:val="20"/>
        </w:rPr>
        <w:t xml:space="preserve"> </w:t>
      </w:r>
      <w:r>
        <w:rPr>
          <w:rFonts w:ascii="Times New Roman" w:hAnsi="Times New Roman"/>
          <w:b w:val="false"/>
          <w:color w:val="000000"/>
          <w:sz w:val="20"/>
        </w:rPr>
        <w:t>million) on January 29, 2021. During the first quarter of 2023, the EDB agreed to an extension of the reconciliation period to March 22, 2023, with unused funds not utilized for the manufacture of ARCT-021 as of such date returned to the EDB. As of December 31, 2022, the outstanding balance of the Singapore Loan, which includes accrued interest, was $50.4</w:t>
      </w:r>
      <w:r>
        <w:rPr>
          <w:rFonts w:ascii="Times New Roman" w:hAnsi="Times New Roman"/>
          <w:color w:val="000000"/>
          <w:sz w:val="20"/>
        </w:rPr>
        <w:t xml:space="preserve"> </w:t>
      </w:r>
      <w:r>
        <w:rPr>
          <w:rFonts w:ascii="Times New Roman" w:hAnsi="Times New Roman"/>
          <w:b w:val="false"/>
          <w:color w:val="000000"/>
          <w:sz w:val="20"/>
        </w:rPr>
        <w:t>million of which the Company paid S$22.8</w:t>
      </w:r>
      <w:r>
        <w:rPr>
          <w:rFonts w:ascii="Times New Roman" w:hAnsi="Times New Roman"/>
          <w:color w:val="000000"/>
          <w:sz w:val="20"/>
        </w:rPr>
        <w:t xml:space="preserve"> </w:t>
      </w:r>
      <w:r>
        <w:rPr>
          <w:rFonts w:ascii="Times New Roman" w:hAnsi="Times New Roman"/>
          <w:b w:val="false"/>
          <w:color w:val="000000"/>
          <w:sz w:val="20"/>
        </w:rPr>
        <w:t>million ($17.1</w:t>
      </w:r>
      <w:r>
        <w:rPr>
          <w:rFonts w:ascii="Times New Roman" w:hAnsi="Times New Roman"/>
          <w:color w:val="000000"/>
          <w:sz w:val="20"/>
        </w:rPr>
        <w:t xml:space="preserve"> </w:t>
      </w:r>
      <w:r>
        <w:rPr>
          <w:rFonts w:ascii="Times New Roman" w:hAnsi="Times New Roman"/>
          <w:b w:val="false"/>
          <w:color w:val="000000"/>
          <w:sz w:val="20"/>
        </w:rPr>
        <w:t>million) in March 2023. During the first quarter of 2023, the remaining principal portion of the Singapore Loan plus accrued interest, totaling $34.0</w:t>
      </w:r>
      <w:r>
        <w:rPr>
          <w:rFonts w:ascii="Times New Roman" w:hAnsi="Times New Roman"/>
          <w:color w:val="000000"/>
          <w:sz w:val="20"/>
        </w:rPr>
        <w:t xml:space="preserve"> </w:t>
      </w:r>
      <w:r>
        <w:rPr>
          <w:rFonts w:ascii="Times New Roman" w:hAnsi="Times New Roman"/>
          <w:b w:val="false"/>
          <w:color w:val="000000"/>
          <w:sz w:val="20"/>
        </w:rPr>
        <w:t>million, was forgiven and recorded as a gain on debt extinguishment in the condensed consolidated statement of operations and comprehensive loss.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the Company recorded no</w:t>
      </w:r>
      <w:r>
        <w:rPr>
          <w:rFonts w:ascii="Times New Roman" w:hAnsi="Times New Roman"/>
          <w:color w:val="000000"/>
          <w:sz w:val="20"/>
        </w:rPr>
        <w:t xml:space="preserve"> </w:t>
      </w:r>
      <w:r>
        <w:rPr>
          <w:rFonts w:ascii="Times New Roman" w:hAnsi="Times New Roman"/>
          <w:b w:val="false"/>
          <w:color w:val="000000"/>
          <w:sz w:val="20"/>
        </w:rPr>
        <w:t>interest expense, compared to interest expense of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same period in 2022. For the nine months ended September 30, 2023, the Company recorded interest expense of $0.5</w:t>
      </w:r>
      <w:r>
        <w:rPr>
          <w:rFonts w:ascii="Times New Roman" w:hAnsi="Times New Roman"/>
          <w:color w:val="000000"/>
          <w:sz w:val="20"/>
        </w:rPr>
        <w:t xml:space="preserve"> </w:t>
      </w:r>
      <w:r>
        <w:rPr>
          <w:rFonts w:ascii="Times New Roman" w:hAnsi="Times New Roman"/>
          <w:b w:val="false"/>
          <w:color w:val="000000"/>
          <w:sz w:val="20"/>
        </w:rPr>
        <w:t>million, compared to interest expense of $1.6</w:t>
      </w:r>
      <w:r>
        <w:rPr>
          <w:rFonts w:ascii="Times New Roman" w:hAnsi="Times New Roman"/>
          <w:color w:val="000000"/>
          <w:sz w:val="20"/>
        </w:rPr>
        <w:t xml:space="preserve"> </w:t>
      </w:r>
      <w:r>
        <w:rPr>
          <w:rFonts w:ascii="Times New Roman" w:hAnsi="Times New Roman"/>
          <w:b w:val="false"/>
          <w:color w:val="000000"/>
          <w:sz w:val="20"/>
        </w:rPr>
        <w:t>million for the same period in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u w:val="single"/>
        </w:rPr>
        <w:t>Termination of Agreement with Western Alliance Bank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$7.4</w:t>
      </w:r>
      <w:r>
        <w:rPr>
          <w:rFonts w:ascii="Times New Roman" w:hAnsi="Times New Roman"/>
          <w:color w:val="000000"/>
          <w:sz w:val="20"/>
        </w:rPr>
        <w:t xml:space="preserve"> </w:t>
      </w:r>
      <w:r>
        <w:rPr>
          <w:rFonts w:ascii="Times New Roman" w:hAnsi="Times New Roman"/>
          <w:b w:val="false"/>
          <w:color w:val="000000"/>
          <w:sz w:val="20"/>
        </w:rPr>
        <w:t>million from the Company. The Western Alliance Agreement provided for a collateralized term loan in the aggregate principal amount of up to $15.0</w:t>
      </w:r>
      <w:r>
        <w:rPr>
          <w:rFonts w:ascii="Times New Roman" w:hAnsi="Times New Roman"/>
          <w:color w:val="000000"/>
          <w:sz w:val="20"/>
        </w:rPr>
        <w:t xml:space="preserve"> </w:t>
      </w:r>
      <w:r>
        <w:rPr>
          <w:rFonts w:ascii="Times New Roman" w:hAnsi="Times New Roman"/>
          <w:b w:val="false"/>
          <w:color w:val="000000"/>
          <w:sz w:val="20"/>
        </w:rPr>
        <w:t>million, with interest at a floating rate ranging from 1.25% to 2.75% above the prime rate and a maturity date of October 30, 2023. The payoff amount was made by the Company to Western Alliance from available cash on hand, pursuant to a payoff letter, and included payment of (i) approximately $7.0</w:t>
      </w:r>
      <w:r>
        <w:rPr>
          <w:rFonts w:ascii="Times New Roman" w:hAnsi="Times New Roman"/>
          <w:color w:val="000000"/>
          <w:sz w:val="20"/>
        </w:rPr>
        <w:t xml:space="preserve"> </w:t>
      </w:r>
      <w:r>
        <w:rPr>
          <w:rFonts w:ascii="Times New Roman" w:hAnsi="Times New Roman"/>
          <w:b w:val="false"/>
          <w:color w:val="000000"/>
          <w:sz w:val="20"/>
        </w:rPr>
        <w:t>million in principal and interest, (ii) $0.3</w:t>
      </w:r>
      <w:r>
        <w:rPr>
          <w:rFonts w:ascii="Times New Roman" w:hAnsi="Times New Roman"/>
          <w:color w:val="000000"/>
          <w:sz w:val="20"/>
        </w:rPr>
        <w:t xml:space="preserve"> </w:t>
      </w:r>
      <w:r>
        <w:rPr>
          <w:rFonts w:ascii="Times New Roman" w:hAnsi="Times New Roman"/>
          <w:b w:val="false"/>
          <w:color w:val="000000"/>
          <w:sz w:val="20"/>
        </w:rPr>
        <w:t>million fee payable upon prepayment as a result of prior FDA approval of an IND and (iii) de minimis amounts in prepayment charges and various operational fees. The Company was released from all liens under the Western Alliance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the Company recorded no</w:t>
      </w:r>
      <w:r>
        <w:rPr>
          <w:rFonts w:ascii="Times New Roman" w:hAnsi="Times New Roman"/>
          <w:color w:val="000000"/>
          <w:sz w:val="20"/>
        </w:rPr>
        <w:t xml:space="preserve"> </w:t>
      </w:r>
      <w:r>
        <w:rPr>
          <w:rFonts w:ascii="Times New Roman" w:hAnsi="Times New Roman"/>
          <w:b w:val="false"/>
          <w:color w:val="000000"/>
          <w:sz w:val="20"/>
        </w:rPr>
        <w:t>interest expense, compared to interest expense of $0.7</w:t>
      </w:r>
      <w:r>
        <w:rPr>
          <w:rFonts w:ascii="Times New Roman" w:hAnsi="Times New Roman"/>
          <w:color w:val="000000"/>
          <w:sz w:val="20"/>
        </w:rPr>
        <w:t xml:space="preserve"> </w:t>
      </w:r>
      <w:r>
        <w:rPr>
          <w:rFonts w:ascii="Times New Roman" w:hAnsi="Times New Roman"/>
          <w:b w:val="false"/>
          <w:color w:val="000000"/>
          <w:sz w:val="20"/>
        </w:rPr>
        <w:t>million for the same period in 2022. For the nine months ended September 30, 2023 and 2022, the Company recorded interest expense of $0.3</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Stockholders’ Equity</w:t>
      </w:r>
    </w:p>
    <w:p>
      <w:pPr>
        <w:pStyle w:val="TextBody"/>
        <w:bidi w:val="0"/>
        <w:spacing w:before="120" w:after="283"/>
        <w:jc w:val="left"/>
        <w:rPr>
          <w:rFonts w:ascii="Times New Roman" w:hAnsi="Times New Roman"/>
          <w:sz w:val="20"/>
        </w:rPr>
      </w:pPr>
      <w:r>
        <w:rPr>
          <w:rFonts w:ascii="Times New Roman" w:hAnsi="Times New Roman"/>
          <w:b w:val="false"/>
          <w:i/>
          <w:color w:val="000000"/>
          <w:sz w:val="20"/>
          <w:u w:val="single"/>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Potentially dilutive securities that were not included in the calculation of diluted net loss per share for the three and nine months ended September 30, 2023 as they were anti-dilutive totaled 1.2</w:t>
      </w:r>
      <w:r>
        <w:rPr>
          <w:rFonts w:ascii="Times New Roman" w:hAnsi="Times New Roman"/>
          <w:color w:val="000000"/>
          <w:sz w:val="20"/>
        </w:rPr>
        <w:t xml:space="preserve"> </w:t>
      </w:r>
      <w:r>
        <w:rPr>
          <w:rFonts w:ascii="Times New Roman" w:hAnsi="Times New Roman"/>
          <w:b w:val="false"/>
          <w:color w:val="000000"/>
          <w:sz w:val="20"/>
        </w:rPr>
        <w:t>million and 0.8</w:t>
      </w:r>
      <w:r>
        <w:rPr>
          <w:rFonts w:ascii="Times New Roman" w:hAnsi="Times New Roman"/>
          <w:color w:val="000000"/>
          <w:sz w:val="20"/>
        </w:rPr>
        <w:t xml:space="preserve"> </w:t>
      </w:r>
      <w:r>
        <w:rPr>
          <w:rFonts w:ascii="Times New Roman" w:hAnsi="Times New Roman"/>
          <w:b w:val="false"/>
          <w:color w:val="000000"/>
          <w:sz w:val="20"/>
        </w:rPr>
        <w:t>million, respectively, and 0.5</w:t>
      </w:r>
      <w:r>
        <w:rPr>
          <w:rFonts w:ascii="Times New Roman" w:hAnsi="Times New Roman"/>
          <w:color w:val="000000"/>
          <w:sz w:val="20"/>
        </w:rPr>
        <w:t xml:space="preserve"> </w:t>
      </w:r>
      <w:r>
        <w:rPr>
          <w:rFonts w:ascii="Times New Roman" w:hAnsi="Times New Roman"/>
          <w:b w:val="false"/>
          <w:color w:val="000000"/>
          <w:sz w:val="20"/>
        </w:rPr>
        <w:t>million and 0.7</w:t>
      </w:r>
      <w:r>
        <w:rPr>
          <w:rFonts w:ascii="Times New Roman" w:hAnsi="Times New Roman"/>
          <w:color w:val="000000"/>
          <w:sz w:val="20"/>
        </w:rPr>
        <w:t xml:space="preserve"> </w:t>
      </w:r>
      <w:r>
        <w:rPr>
          <w:rFonts w:ascii="Times New Roman" w:hAnsi="Times New Roman"/>
          <w:b w:val="false"/>
          <w:color w:val="000000"/>
          <w:sz w:val="20"/>
        </w:rPr>
        <w:t>million for</w:t>
      </w:r>
      <w:r>
        <w:rPr>
          <w:rFonts w:ascii="Times New Roman" w:hAnsi="Times New Roman"/>
          <w:color w:val="000000"/>
          <w:sz w:val="20"/>
        </w:rPr>
        <w:t xml:space="preserve"> </w:t>
      </w:r>
      <w:r>
        <w:rPr>
          <w:rFonts w:ascii="Times New Roman" w:hAnsi="Times New Roman"/>
          <w:b w:val="false"/>
          <w:color w:val="000000"/>
          <w:sz w:val="20"/>
        </w:rPr>
        <w:t>the three and nine months ended September 30,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Share-Based Compensation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2022 at the Company’s 2022 Annual Meeting of Stockholders (the "2022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3,750,000</w:t>
      </w:r>
      <w:r>
        <w:rPr>
          <w:rFonts w:ascii="Times New Roman" w:hAnsi="Times New Roman"/>
          <w:color w:val="000000"/>
          <w:sz w:val="20"/>
        </w:rPr>
        <w:t xml:space="preserve"> </w:t>
      </w:r>
      <w:r>
        <w:rPr>
          <w:rFonts w:ascii="Times New Roman" w:hAnsi="Times New Roman"/>
          <w:b w:val="false"/>
          <w:color w:val="000000"/>
          <w:sz w:val="20"/>
        </w:rPr>
        <w:t>shares, for a total of up to 8,750,000</w:t>
      </w:r>
      <w:r>
        <w:rPr>
          <w:rFonts w:ascii="Times New Roman" w:hAnsi="Times New Roman"/>
          <w:color w:val="000000"/>
          <w:sz w:val="20"/>
        </w:rPr>
        <w:t xml:space="preserve"> </w:t>
      </w:r>
      <w:r>
        <w:rPr>
          <w:rFonts w:ascii="Times New Roman" w:hAnsi="Times New Roman"/>
          <w:b w:val="false"/>
          <w:color w:val="000000"/>
          <w:sz w:val="20"/>
        </w:rPr>
        <w:t>shares available for issuance. As of September 30, 2023, a total of 1,523,452</w:t>
      </w:r>
      <w:r>
        <w:rPr>
          <w:rFonts w:ascii="Times New Roman" w:hAnsi="Times New Roman"/>
          <w:color w:val="000000"/>
          <w:sz w:val="20"/>
        </w:rPr>
        <w:t xml:space="preserve"> </w:t>
      </w:r>
      <w:r>
        <w:rPr>
          <w:rFonts w:ascii="Times New Roman" w:hAnsi="Times New Roman"/>
          <w:b w:val="false"/>
          <w:color w:val="000000"/>
          <w:sz w:val="20"/>
        </w:rPr>
        <w:t>shares remain available for future issuance under the 2019 Plan, subject to the terms of the 2019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2021, the Company adopted the 2021 Inducement Equity Incentive Plan which covers the award of up to 1,000,000</w:t>
      </w:r>
      <w:r>
        <w:rPr>
          <w:rFonts w:ascii="Times New Roman" w:hAnsi="Times New Roman"/>
          <w:color w:val="000000"/>
          <w:sz w:val="20"/>
        </w:rPr>
        <w:t xml:space="preserve"> </w:t>
      </w:r>
      <w:r>
        <w:rPr>
          <w:rFonts w:ascii="Times New Roman" w:hAnsi="Times New Roman"/>
          <w:b w:val="false"/>
          <w:color w:val="000000"/>
          <w:sz w:val="20"/>
        </w:rPr>
        <w:t>shares of common stock (the “2021 Plan”) effective as of October 15, 2021. Approval of the Company’s stockholders is not required as a condition to the effectiveness of the 2021 Plan for so long as the plan is in compliance with applicable Nasdaq inducement plan rules.</w:t>
      </w:r>
      <w:r>
        <w:rPr>
          <w:rFonts w:ascii="Times New Roman" w:hAnsi="Times New Roman"/>
          <w:color w:val="000000"/>
          <w:sz w:val="20"/>
        </w:rPr>
        <w:t xml:space="preserve"> </w:t>
      </w:r>
      <w:r>
        <w:rPr>
          <w:rFonts w:ascii="Times New Roman" w:hAnsi="Times New Roman"/>
          <w:b w:val="false"/>
          <w:color w:val="000000"/>
          <w:sz w:val="20"/>
        </w:rPr>
        <w:t>In April 2022, the compensation committee of the Company’s board of directors approved a proposal to reduce the total number of shares available for future issuance under the 2021 Plan to 130,000. As of September 30, 2023, a total of 100,725</w:t>
      </w:r>
      <w:r>
        <w:rPr>
          <w:rFonts w:ascii="Times New Roman" w:hAnsi="Times New Roman"/>
          <w:color w:val="000000"/>
          <w:sz w:val="20"/>
        </w:rPr>
        <w:t xml:space="preserve"> </w:t>
      </w:r>
      <w:r>
        <w:rPr>
          <w:rFonts w:ascii="Times New Roman" w:hAnsi="Times New Roman"/>
          <w:b w:val="false"/>
          <w:color w:val="000000"/>
          <w:sz w:val="20"/>
        </w:rPr>
        <w:t>shares remain available for future issuance under the 2021 Plan, subject to the terms of the 2021 Plan.</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Share-based compensation expense included in the Company’s condensed consolidated statements of operations and comprehensive loss for the three and nine months ended September 30, 2023 and 2022 was as follows:</w:t>
      </w:r>
      <w:r>
        <w:rPr>
          <w:rFonts w:ascii="Times New Roman" w:hAnsi="Times New Roman"/>
          <w:color w:val="000000"/>
          <w:sz w:val="20"/>
        </w:rPr>
        <w:t xml:space="preserve"> </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371"/>
        <w:gridCol w:w="146"/>
        <w:gridCol w:w="211"/>
        <w:gridCol w:w="571"/>
        <w:gridCol w:w="146"/>
        <w:gridCol w:w="146"/>
        <w:gridCol w:w="146"/>
        <w:gridCol w:w="211"/>
        <w:gridCol w:w="571"/>
        <w:gridCol w:w="146"/>
        <w:gridCol w:w="146"/>
        <w:gridCol w:w="146"/>
        <w:gridCol w:w="211"/>
        <w:gridCol w:w="676"/>
        <w:gridCol w:w="146"/>
        <w:gridCol w:w="146"/>
        <w:gridCol w:w="146"/>
        <w:gridCol w:w="211"/>
        <w:gridCol w:w="676"/>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10,811</w:t>
            </w:r>
          </w:p>
        </w:tc>
        <w:tc>
          <w:tcPr>
            <w:tcW w:w="1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is due to federal and state income tax expense offset by valuation allowance on the Company's deferred tax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recorded</w:t>
      </w:r>
      <w:r>
        <w:rPr>
          <w:rFonts w:ascii="Times New Roman" w:hAnsi="Times New Roman"/>
          <w:color w:val="000000"/>
          <w:sz w:val="20"/>
        </w:rPr>
        <w:t xml:space="preserve"> </w:t>
      </w:r>
      <w:r>
        <w:rPr>
          <w:rFonts w:ascii="Times New Roman" w:hAnsi="Times New Roman"/>
          <w:b w:val="false"/>
          <w:color w:val="000000"/>
          <w:sz w:val="20"/>
        </w:rPr>
        <w:t>$0.9</w:t>
      </w:r>
      <w:r>
        <w:rPr>
          <w:rFonts w:ascii="Times New Roman" w:hAnsi="Times New Roman"/>
          <w:color w:val="000000"/>
          <w:sz w:val="20"/>
        </w:rPr>
        <w:t xml:space="preserve"> </w:t>
      </w:r>
      <w:r>
        <w:rPr>
          <w:rFonts w:ascii="Times New Roman" w:hAnsi="Times New Roman"/>
          <w:b w:val="false"/>
          <w:color w:val="000000"/>
          <w:sz w:val="20"/>
        </w:rPr>
        <w:t>million and $1.6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income tax expense, respectively. No tax benefit was provided for losses incurred in United States because those losses are offset by a full valuation allowance.</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Cystic Fibrosis Foundation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25, 2023, the Company amended its Development Program Letter Agreement, dated May 16, 2017 and as amended July 13, 2018 and August 1, 2019, with the Cystic Fibrosis Foundation (“CFF”). Pursuant to the amendment, (i) CFF increased the amount it will award to advance LUNAR-CF to $24.6</w:t>
      </w:r>
      <w:r>
        <w:rPr>
          <w:rFonts w:ascii="Times New Roman" w:hAnsi="Times New Roman"/>
          <w:color w:val="000000"/>
          <w:sz w:val="20"/>
        </w:rPr>
        <w:t xml:space="preserve"> </w:t>
      </w:r>
      <w:r>
        <w:rPr>
          <w:rFonts w:ascii="Times New Roman" w:hAnsi="Times New Roman"/>
          <w:b w:val="false"/>
          <w:color w:val="000000"/>
          <w:sz w:val="20"/>
        </w:rPr>
        <w:t>million from approximately $15.6</w:t>
      </w:r>
      <w:r>
        <w:rPr>
          <w:rFonts w:ascii="Times New Roman" w:hAnsi="Times New Roman"/>
          <w:color w:val="000000"/>
          <w:sz w:val="20"/>
        </w:rPr>
        <w:t xml:space="preserve"> </w:t>
      </w:r>
      <w:r>
        <w:rPr>
          <w:rFonts w:ascii="Times New Roman" w:hAnsi="Times New Roman"/>
          <w:b w:val="false"/>
          <w:color w:val="000000"/>
          <w:sz w:val="20"/>
        </w:rPr>
        <w:t>million, (ii) the Company agreed to incur at least $15.0</w:t>
      </w:r>
      <w:r>
        <w:rPr>
          <w:rFonts w:ascii="Times New Roman" w:hAnsi="Times New Roman"/>
          <w:color w:val="000000"/>
          <w:sz w:val="20"/>
        </w:rPr>
        <w:t xml:space="preserve"> </w:t>
      </w:r>
      <w:r>
        <w:rPr>
          <w:rFonts w:ascii="Times New Roman" w:hAnsi="Times New Roman"/>
          <w:b w:val="false"/>
          <w:color w:val="000000"/>
          <w:sz w:val="20"/>
        </w:rPr>
        <w:t>million toward activities under the research plan. Subsequent to September 30, 2023, the Company received the full payment from CFF related to the amendment. The funds received from CFF will be recognized as contra research and development expense beginning in the three months ended September 30, 2023. Total contra expense of $1.8</w:t>
      </w:r>
      <w:r>
        <w:rPr>
          <w:rFonts w:ascii="Times New Roman" w:hAnsi="Times New Roman"/>
          <w:color w:val="000000"/>
          <w:sz w:val="20"/>
        </w:rPr>
        <w:t xml:space="preserve"> </w:t>
      </w:r>
      <w:r>
        <w:rPr>
          <w:rFonts w:ascii="Times New Roman" w:hAnsi="Times New Roman"/>
          <w:b w:val="false"/>
          <w:color w:val="000000"/>
          <w:sz w:val="20"/>
        </w:rPr>
        <w:t>million was recognized during the three and nine months ended September 30, 2023. For the three and nine months ended September 30, 2022, the Company recognized contra expense of $0.5</w:t>
      </w:r>
      <w:r>
        <w:rPr>
          <w:rFonts w:ascii="Times New Roman" w:hAnsi="Times New Roman"/>
          <w:color w:val="000000"/>
          <w:sz w:val="20"/>
        </w:rPr>
        <w:t xml:space="preserve"> </w:t>
      </w:r>
      <w:r>
        <w:rPr>
          <w:rFonts w:ascii="Times New Roman" w:hAnsi="Times New Roman"/>
          <w:b w:val="false"/>
          <w:color w:val="000000"/>
          <w:sz w:val="20"/>
        </w:rPr>
        <w:t>million and $3.2</w:t>
      </w:r>
      <w:r>
        <w:rPr>
          <w:rFonts w:ascii="Times New Roman" w:hAnsi="Times New Roman"/>
          <w:color w:val="000000"/>
          <w:sz w:val="20"/>
        </w:rPr>
        <w:t xml:space="preserve"> </w:t>
      </w:r>
      <w:r>
        <w:rPr>
          <w:rFonts w:ascii="Times New Roman" w:hAnsi="Times New Roman"/>
          <w:b w:val="false"/>
          <w:color w:val="000000"/>
          <w:sz w:val="20"/>
        </w:rPr>
        <w:t>million, respectively, which related to the August 2019 amendment. As of September 30, 2023 and December 31, 2022, no</w:t>
      </w:r>
      <w:r>
        <w:rPr>
          <w:rFonts w:ascii="Times New Roman" w:hAnsi="Times New Roman"/>
          <w:color w:val="000000"/>
          <w:sz w:val="20"/>
        </w:rPr>
        <w:t xml:space="preserve"> </w:t>
      </w:r>
      <w:r>
        <w:rPr>
          <w:rFonts w:ascii="Times New Roman" w:hAnsi="Times New Roman"/>
          <w:b w:val="false"/>
          <w:color w:val="000000"/>
          <w:sz w:val="20"/>
        </w:rPr>
        <w:t>amounts were included in accrued liabilities.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i/>
          <w:color w:val="000000"/>
          <w:sz w:val="20"/>
          <w:u w:val="single"/>
        </w:rPr>
      </w:pPr>
      <w:r>
        <w:rPr>
          <w:rFonts w:ascii="Times New Roman" w:hAnsi="Times New Roman"/>
          <w:b w:val="false"/>
          <w:i/>
          <w:color w:val="000000"/>
          <w:sz w:val="20"/>
          <w:u w:val="single"/>
        </w:rPr>
        <w:t>Leases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2017, the Company entered into a non-cancellable operating lease agreement for office space adjacent to its previously occupied headquarters. The commencement of the lease began in March 2018 and the lease extends for approximately 84</w:t>
      </w:r>
      <w:r>
        <w:rPr>
          <w:rFonts w:ascii="Times New Roman" w:hAnsi="Times New Roman"/>
          <w:color w:val="000000"/>
          <w:sz w:val="20"/>
        </w:rPr>
        <w:t xml:space="preserve"> </w:t>
      </w:r>
      <w:r>
        <w:rPr>
          <w:rFonts w:ascii="Times New Roman" w:hAnsi="Times New Roman"/>
          <w:b w:val="false"/>
          <w:color w:val="000000"/>
          <w:sz w:val="20"/>
        </w:rPr>
        <w:t>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w:t>
      </w:r>
      <w:r>
        <w:rPr>
          <w:rFonts w:ascii="Times New Roman" w:hAnsi="Times New Roman"/>
          <w:color w:val="000000"/>
          <w:sz w:val="20"/>
        </w:rPr>
        <w:t xml:space="preserve"> </w:t>
      </w:r>
      <w:r>
        <w:rPr>
          <w:rFonts w:ascii="Times New Roman" w:hAnsi="Times New Roman"/>
          <w:b w:val="false"/>
          <w:color w:val="000000"/>
          <w:sz w:val="20"/>
        </w:rPr>
        <w:t>and received a tenant improvement allowance of $0.1</w:t>
      </w:r>
      <w:r>
        <w:rPr>
          <w:rFonts w:ascii="Times New Roman" w:hAnsi="Times New Roman"/>
          <w:color w:val="000000"/>
          <w:sz w:val="20"/>
        </w:rPr>
        <w:t xml:space="preserve"> </w:t>
      </w:r>
      <w:r>
        <w:rPr>
          <w:rFonts w:ascii="Times New Roman" w:hAnsi="Times New Roman"/>
          <w:b w:val="false"/>
          <w:color w:val="000000"/>
          <w:sz w:val="20"/>
        </w:rPr>
        <w:t>million.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$0.1</w:t>
      </w:r>
      <w:r>
        <w:rPr>
          <w:rFonts w:ascii="Times New Roman" w:hAnsi="Times New Roman"/>
          <w:color w:val="000000"/>
          <w:sz w:val="20"/>
        </w:rPr>
        <w:t xml:space="preserve"> </w:t>
      </w:r>
      <w:r>
        <w:rPr>
          <w:rFonts w:ascii="Times New Roman" w:hAnsi="Times New Roman"/>
          <w:b w:val="false"/>
          <w:color w:val="000000"/>
          <w:sz w:val="20"/>
        </w:rPr>
        <w:t>million upon executing the lease which is included (along with additional funds required to secure the letter of credit) in the balance of non-current restricted cash.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2020, the Company entered into a second non-cancellable operating lease agreement for office space near its current headquarters. The lease extended for 13</w:t>
      </w:r>
      <w:r>
        <w:rPr>
          <w:rFonts w:ascii="Times New Roman" w:hAnsi="Times New Roman"/>
          <w:color w:val="000000"/>
          <w:sz w:val="20"/>
        </w:rPr>
        <w:t xml:space="preserve"> </w:t>
      </w:r>
      <w:r>
        <w:rPr>
          <w:rFonts w:ascii="Times New Roman" w:hAnsi="Times New Roman"/>
          <w:b w:val="false"/>
          <w:color w:val="000000"/>
          <w:sz w:val="20"/>
        </w:rPr>
        <w:t>months from the commencement date and included a right to extend the lease for one twelve-month period. In February 2021, the Company opted to extend the lease through March 2025 to coincide with the lease term of the Company’s headquarters.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2021, the Company entered into a third non-cancellable lease agreement for office, research and development, engineering and laboratory space near its current headquarters and lease term commenced during the second quarter of 2022. The initial term of the lease extends ten years and eight months</w:t>
      </w:r>
      <w:r>
        <w:rPr>
          <w:rFonts w:ascii="Times New Roman" w:hAnsi="Times New Roman"/>
          <w:color w:val="000000"/>
          <w:sz w:val="20"/>
        </w:rPr>
        <w:t xml:space="preserve"> </w:t>
      </w:r>
      <w:r>
        <w:rPr>
          <w:rFonts w:ascii="Times New Roman" w:hAnsi="Times New Roman"/>
          <w:b w:val="false"/>
          <w:color w:val="000000"/>
          <w:sz w:val="20"/>
        </w:rPr>
        <w:t>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w:t>
      </w:r>
      <w:r>
        <w:rPr>
          <w:rFonts w:ascii="Times New Roman" w:hAnsi="Times New Roman"/>
          <w:color w:val="000000"/>
          <w:sz w:val="20"/>
        </w:rPr>
        <w:t xml:space="preserve"> </w:t>
      </w:r>
      <w:r>
        <w:rPr>
          <w:rFonts w:ascii="Times New Roman" w:hAnsi="Times New Roman"/>
          <w:b w:val="false"/>
          <w:color w:val="000000"/>
          <w:sz w:val="20"/>
        </w:rPr>
        <w:t>million to $0.4</w:t>
      </w:r>
      <w:r>
        <w:rPr>
          <w:rFonts w:ascii="Times New Roman" w:hAnsi="Times New Roman"/>
          <w:color w:val="000000"/>
          <w:sz w:val="20"/>
        </w:rPr>
        <w:t xml:space="preserve"> </w:t>
      </w:r>
      <w:r>
        <w:rPr>
          <w:rFonts w:ascii="Times New Roman" w:hAnsi="Times New Roman"/>
          <w:b w:val="false"/>
          <w:color w:val="000000"/>
          <w:sz w:val="20"/>
        </w:rPr>
        <w:t>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w:t>
      </w:r>
      <w:r>
        <w:rPr>
          <w:rFonts w:ascii="Times New Roman" w:hAnsi="Times New Roman"/>
          <w:color w:val="000000"/>
          <w:sz w:val="20"/>
        </w:rPr>
        <w:t xml:space="preserve"> </w:t>
      </w:r>
      <w:r>
        <w:rPr>
          <w:rFonts w:ascii="Times New Roman" w:hAnsi="Times New Roman"/>
          <w:b w:val="false"/>
          <w:color w:val="000000"/>
          <w:sz w:val="20"/>
        </w:rPr>
        <w:t>million upon executing the lease which is included (along with additional funds required to secure the letter of credit) in the balance of non-current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the remaining payments of the operating lease liability were as follows: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3331"/>
        <w:gridCol w:w="146"/>
        <w:gridCol w:w="496"/>
        <w:gridCol w:w="1589"/>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Lease Payments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1,378</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right"/>
              <w:rPr/>
            </w:pPr>
            <w:r>
              <w:rPr/>
              <w:t> </w:t>
            </w:r>
          </w:p>
        </w:tc>
        <w:tc>
          <w:tcPr>
            <w:tcW w:w="496"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5,646</w:t>
            </w:r>
          </w:p>
        </w:tc>
        <w:tc>
          <w:tcPr>
            <w:tcW w:w="31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pPr>
            <w:r>
              <w:rPr/>
              <w:t> </w:t>
            </w:r>
          </w:p>
        </w:tc>
        <w:tc>
          <w:tcPr>
            <w:tcW w:w="1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4,019</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right"/>
              <w:rPr/>
            </w:pPr>
            <w:r>
              <w:rPr/>
              <w:t> </w:t>
            </w:r>
          </w:p>
        </w:tc>
        <w:tc>
          <w:tcPr>
            <w:tcW w:w="496"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3,603</w:t>
            </w:r>
          </w:p>
        </w:tc>
        <w:tc>
          <w:tcPr>
            <w:tcW w:w="31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righ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23,283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remaining lease payments</w:t>
            </w:r>
          </w:p>
        </w:tc>
        <w:tc>
          <w:tcPr>
            <w:tcW w:w="146" w:type="dxa"/>
            <w:tcBorders/>
            <w:shd w:fill="FFFFFF" w:val="clear"/>
            <w:vAlign w:val="center"/>
          </w:tcPr>
          <w:p>
            <w:pPr>
              <w:pStyle w:val="TableContents"/>
              <w:bidi w:val="0"/>
              <w:spacing w:before="0" w:after="283"/>
              <w:jc w:val="right"/>
              <w:rPr/>
            </w:pPr>
            <w:r>
              <w:rPr/>
              <w:t> </w:t>
            </w:r>
          </w:p>
        </w:tc>
        <w:tc>
          <w:tcPr>
            <w:tcW w:w="496"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37,929</w:t>
            </w:r>
          </w:p>
        </w:tc>
        <w:tc>
          <w:tcPr>
            <w:tcW w:w="31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CFF0FC" w:val="clear"/>
            <w:vAlign w:val="center"/>
          </w:tcPr>
          <w:p>
            <w:pPr>
              <w:pStyle w:val="TableContents"/>
              <w:bidi w:val="0"/>
              <w:spacing w:before="0" w:after="283"/>
              <w:jc w:val="righ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FFFFFF" w:val="clear"/>
            <w:vAlign w:val="center"/>
          </w:tcPr>
          <w:p>
            <w:pPr>
              <w:pStyle w:val="TableContents"/>
              <w:bidi w:val="0"/>
              <w:spacing w:before="0" w:after="283"/>
              <w:jc w:val="righ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remaining lease term</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left"/>
              <w:rPr/>
            </w:pPr>
            <w:r>
              <w:rPr/>
              <w:t> </w:t>
            </w:r>
          </w:p>
        </w:tc>
        <w:tc>
          <w:tcPr>
            <w:tcW w:w="1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discount rate</w:t>
            </w:r>
          </w:p>
        </w:tc>
        <w:tc>
          <w:tcPr>
            <w:tcW w:w="146" w:type="dxa"/>
            <w:tcBorders/>
            <w:shd w:fill="FFFFFF" w:val="clear"/>
            <w:vAlign w:val="center"/>
          </w:tcPr>
          <w:p>
            <w:pPr>
              <w:pStyle w:val="TableContents"/>
              <w:bidi w:val="0"/>
              <w:spacing w:before="0" w:after="283"/>
              <w:jc w:val="right"/>
              <w:rPr/>
            </w:pPr>
            <w:r>
              <w:rPr/>
              <w:t> </w:t>
            </w:r>
          </w:p>
        </w:tc>
        <w:tc>
          <w:tcPr>
            <w:tcW w:w="496" w:type="dxa"/>
            <w:tcBorders/>
            <w:shd w:fill="FFFFFF" w:val="clear"/>
            <w:vAlign w:val="center"/>
          </w:tcPr>
          <w:p>
            <w:pPr>
              <w:pStyle w:val="TableContents"/>
              <w:bidi w:val="0"/>
              <w:spacing w:before="0" w:after="283"/>
              <w:jc w:val="left"/>
              <w:rPr/>
            </w:pPr>
            <w:r>
              <w:rPr/>
              <w:t> </w:t>
            </w:r>
          </w:p>
        </w:tc>
        <w:tc>
          <w:tcPr>
            <w:tcW w:w="1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Operating lease costs consist of the fixed lease payments included in operating lease liability and are recorded on a straight-line basis over the lease terms. Operating lease costs were $1.4</w:t>
      </w:r>
      <w:r>
        <w:rPr>
          <w:rFonts w:ascii="Times New Roman" w:hAnsi="Times New Roman"/>
          <w:color w:val="000000"/>
          <w:sz w:val="20"/>
        </w:rPr>
        <w:t xml:space="preserve"> </w:t>
      </w:r>
      <w:r>
        <w:rPr>
          <w:rFonts w:ascii="Times New Roman" w:hAnsi="Times New Roman"/>
          <w:b w:val="false"/>
          <w:color w:val="000000"/>
          <w:sz w:val="20"/>
        </w:rPr>
        <w:t>million and $4.2</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$1.4</w:t>
      </w:r>
      <w:r>
        <w:rPr>
          <w:rFonts w:ascii="Times New Roman" w:hAnsi="Times New Roman"/>
          <w:color w:val="000000"/>
          <w:sz w:val="20"/>
        </w:rPr>
        <w:t xml:space="preserve"> </w:t>
      </w:r>
      <w:r>
        <w:rPr>
          <w:rFonts w:ascii="Times New Roman" w:hAnsi="Times New Roman"/>
          <w:b w:val="false"/>
          <w:color w:val="000000"/>
          <w:sz w:val="20"/>
        </w:rPr>
        <w:t>million and $3.3</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br/>
        <w:t>On December 13, 2022, Vallon Pharmaceuticals, Inc. (“Vallon”) entered into an agreement with GRI Bio, Inc. (“GRI Bio”) pursuant to which GRI Bio was to merge with a wholly-owned subsidiary of Vallon in an all-stock transaction. The transaction closed in April 2023 and the Company's executive resigned from the board of directors of Vallon. Following the closing of the merger, the combined company now operates under the name “GRI Bio, Inc.” and will focus on the development of GRI Bio’s pipeline and trade on the Nasdaq under the ticker symbol “GRI”. Following the closing of the merger, the Company holds 28,125</w:t>
      </w:r>
      <w:r>
        <w:rPr>
          <w:rFonts w:ascii="Times New Roman" w:hAnsi="Times New Roman"/>
          <w:color w:val="000000"/>
          <w:sz w:val="20"/>
        </w:rPr>
        <w:t xml:space="preserve"> </w:t>
      </w:r>
      <w:r>
        <w:rPr>
          <w:rFonts w:ascii="Times New Roman" w:hAnsi="Times New Roman"/>
          <w:b w:val="false"/>
          <w:color w:val="000000"/>
          <w:sz w:val="20"/>
        </w:rPr>
        <w:t>shares in GRI Bio, or approximately 1%. Upon the closing of the merger, the Company determined that it did not have the ability to exercise significant influence over operating and financial policies of GRI Bio. As such, the Company discontinued equity method of accounting for its investment in GRI Bio.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 1, Joint Ventures, Equity Method Investments and Variable Interest Entities” for specific details surrounding the Company’s agreement with Axcelead to form the joint venture entity, ARCALIS, Inc.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is a discussion of the financial condition and results of operations of Arcturus Therapeutics Holdings Inc. for the three and nine month periods ended September 30, 2023.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 K for the year ended December 31, 2022 (the “2022 Annual Report”), which was filed with the U.S. Securities and Exchange Commission (the “Commission”) on March 29, 2023. Unless otherwise defined herein, capitalized words and expressions used herein shall have the same meanings ascribed to them in the 2022 Annual Report.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global late-stage clinical messenger RNA medicines company focused on the development of infectious disease vaccines and opportunities within liver and respiratory rare diseases. In addition to our messenger RNA (“mRNA”) platform, our proprietary lipid nanoparticle (“LNP”) delivery system, LUNAR</w:t>
      </w:r>
      <w:r>
        <w:rPr>
          <w:rFonts w:ascii="Times New Roman" w:hAnsi="Times New Roman"/>
          <w:b w:val="false"/>
          <w:color w:val="000000"/>
          <w:sz w:val="13"/>
        </w:rPr>
        <w:t>®</w:t>
      </w:r>
      <w:r>
        <w:rPr>
          <w:rFonts w:ascii="Times New Roman" w:hAnsi="Times New Roman"/>
          <w:b w:val="false"/>
          <w:color w:val="000000"/>
          <w:sz w:val="20"/>
        </w:rPr>
        <w:t>, has the potential to enable multiple nucleic acid medicines, and our proprietary self-amplifying mRNA technology (Self-Transcribing and Replicating RNA, or STARR</w:t>
      </w:r>
      <w:r>
        <w:rPr>
          <w:rFonts w:ascii="Times New Roman" w:hAnsi="Times New Roman"/>
          <w:b w:val="false"/>
          <w:color w:val="000000"/>
          <w:sz w:val="13"/>
        </w:rPr>
        <w:t>®</w:t>
      </w:r>
      <w:r>
        <w:rPr>
          <w:rFonts w:ascii="Times New Roman" w:hAnsi="Times New Roman"/>
          <w:b w:val="false"/>
          <w:color w:val="000000"/>
          <w:sz w:val="20"/>
        </w:rPr>
        <w:t>, technology) has the potential to provide longer-lasting RNA and sustained protein expression at lower dose levels as compared to conventional mRNA.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leveraging our proprietary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pStyle w:val="TextBody"/>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Updates on Vaccine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2022, we entered into a Collaboration and License Agreement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respiratory infectious diseases and global non-exclusive rights to pandemic pathogens. The CSL Collaboration Agreement became effective on December 8, 2022. The collaboration combines CSL Seqirus’ established global vaccine commercial and manufacturing infrastructure with Arcturus’ manufacturing expertise and innovative STARR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self-amplifying mRNA vaccine and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delivery platform technologies. Under the framework of our collaboration with CSL Seqirus, we continue the development of the COVID-19 vaccine to establish a differentiated platform and address routine recommendations for periodic vaccine composition updates in a timely manner. On August 10, 2023, we entered into an amendment to the CSL Collaboration Agreement, pursuant to which CSL Seqirus agreed to make a $17.5 million milestone payment related to a development milestone for the LUNAR-FLU program under the collaboration. We plan to initiate a Phase 1 clinical study with a candidate influenza vaccine during the fourth quarter of 2023 as a part of this collaboration program.</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COVID Collaboration Program Updates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a third party study agreement executed in December 2022 with Meiji Seika Pharma Co., Ltd., a subsidiary of Meiji Holdings Co., Ltd. (“Meiji”), a Japanese leader in the area of infectious disease, a Phase 3 clinical trial of ARCT-154 was initiated in Japan by Meiji to evaluate safety and immunogenicity of a booster shot of ARCT-154, and to evaluate non-inferiority and superiority of ARCT-154 as a booster. The trial targeted a total of 780 adult participants, with half in the ARCT-154 group and half in a comparator group (Comirnaty</w:t>
      </w:r>
      <w:r>
        <w:rPr>
          <w:rFonts w:ascii="Times New Roman" w:hAnsi="Times New Roman"/>
          <w:b w:val="false"/>
          <w:color w:val="000000"/>
          <w:sz w:val="13"/>
        </w:rPr>
        <w:t>®</w:t>
      </w:r>
      <w:r>
        <w:rPr>
          <w:rFonts w:ascii="Times New Roman" w:hAnsi="Times New Roman"/>
          <w:b w:val="false"/>
          <w:color w:val="000000"/>
          <w:sz w:val="20"/>
        </w:rPr>
        <w:t>, Pfizer-BioNTech), and completed enrollment with 828 participants in February 2023. The interim results of this study demonstrated immunological non-inferiority and superiority of ARCT-154 over the conventional mRNA vaccine as measured by neutralizing antibodies against ancestral SARS-CoV-2 strain and Omicron BA.4/5 subvariant, which was dominated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study period.</w:t>
      </w:r>
      <w:r>
        <w:rPr>
          <w:rFonts w:ascii="Times New Roman" w:hAnsi="Times New Roman"/>
          <w:color w:val="000000"/>
          <w:sz w:val="20"/>
        </w:rPr>
        <w:t xml:space="preserve"> </w:t>
      </w:r>
      <w:r>
        <w:rPr>
          <w:rFonts w:ascii="Times New Roman" w:hAnsi="Times New Roman"/>
          <w:b w:val="false"/>
          <w:color w:val="000000"/>
          <w:sz w:val="20"/>
        </w:rPr>
        <w:t>In September 2023, we achieved a development milestone related to the completion of the first GMP batch manufacture of drug product in a multi-dose vial for clinical studies in the SARS-CoV-2 field.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July 13, 2023, an article with the study results titled “Booster dose of self-amplifying SARS-CoV-2 RNA vaccine vs. mRNA vaccine: a Phase 3 comparison of ARCT-154 with Comirnaty” was posted on medRxiv.org at https://www.medrxiv.org/content/10.1101/2023.07.13.23292597v1. Following the completion of the peer review by Lancet Infectious Diseases in October 2023, the journal accepted the manuscript, which should be published by the end of the year. In August 2023, we submitted the primary manuscript with efficacy, immunogenicity and safety results of the pivotal Phase 1/2/3 clinical study of ARCT-154 in Vietnam that completed dosing of over 19,000 participants in 2022. The preprint of this article is available on https://doi.org/10.21203/rs.3.rs-3329097/v1. The peer review of the manuscript is ongoing by Nature Communications.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August 7, 2023, we announced that Phase 1/2 clinical trial data demonstrated one-year durability of immune response following ARCT-154 booster vaccine administration as measured using validated microneutralization (MNT) assays. The geometric mean fold rise (GMFR) in neutralizing antibodies remained greater than 10-fold above baseline for one year across a panel of SARS-CoV-2 variants, including ancestral strain with the D614G mutation, Beta (B.1.351), Delta (B.1.617.2), and Omicron (BA.1, BA.2 and BA.4/5), for participants receiving ARCT-154 booster. The results of this study were presented as a poster at the 9th Influenza Conference of the European Scientific Working Group on Influenza (ESWI) in Valencia, Spain.</w:t>
      </w:r>
    </w:p>
    <w:p>
      <w:pPr>
        <w:pStyle w:val="TextBody"/>
        <w:bidi w:val="0"/>
        <w:spacing w:before="120" w:after="283"/>
        <w:jc w:val="center"/>
        <w:rPr/>
      </w:pPr>
      <w:r>
        <w:rPr/>
        <w:drawing>
          <wp:inline distT="0" distB="0" distL="0" distR="0">
            <wp:extent cx="6858000" cy="2924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924175"/>
                    </a:xfrm>
                    <a:prstGeom prst="rect">
                      <a:avLst/>
                    </a:prstGeom>
                  </pic:spPr>
                </pic:pic>
              </a:graphicData>
            </a:graphic>
          </wp:inline>
        </w:drawing>
      </w: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17"/>
        </w:rPr>
        <w:t>Geometric mean fold rise (GMFR) of neutralizing antibodies against SARS-CoV-2 variants (versus pre-booster levels) after ARCT-154 booster vaccination measured by validated psuedoviral microneutralization assays (N=12). Error bars represent the 95% CI. Participants who received any COVID-19 vaccines or had laboratory-confirmed SARS-CoV-2 infection during the follow-up period were excluded from immunogenicity analysis at sampling times after the event.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1, 2023, at the 11th mRNA conference in Berlin, we presented the preliminary 6-month durability data of immune response of our COVID-19 vaccine candidate, ARCT-154, compared to the licensed conventional mRNA vaccine (Comirnaty) from the Phase 3 study in Japan that completed enrollment in February 2023 is now available. The results indicate 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superior antibody persistence of our COVID-19 vaccine over the comparator, as measured by pseudoviral neutralization assays with ancestral SARS-CoV-2 strain and Omicron BA.4/5 subvariant.</w:t>
      </w:r>
    </w:p>
    <w:p>
      <w:pPr>
        <w:pStyle w:val="TextBody"/>
        <w:bidi w:val="0"/>
        <w:spacing w:before="120" w:after="283"/>
        <w:jc w:val="center"/>
        <w:rPr/>
      </w:pPr>
      <w:r>
        <w:rPr/>
        <w:drawing>
          <wp:inline distT="0" distB="0" distL="0" distR="0">
            <wp:extent cx="5200650" cy="2752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00650" cy="2752725"/>
                    </a:xfrm>
                    <a:prstGeom prst="rect">
                      <a:avLst/>
                    </a:prstGeom>
                  </pic:spPr>
                </pic:pic>
              </a:graphicData>
            </a:graphic>
          </wp:inline>
        </w:drawing>
      </w: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29, 2023, CSL's Japanese distribution partner, Meiji, initiated a Phase 3 clinical study with a bivalent version of our COVID-19 vaccine candidate (ancestral strain, ARCT-154 and Omicron BA.4/5) to further support immunogenicity and safety of our self-amplifying mRNA platform and which may facilitate the timely release of future seasonal updates of our COVID-19 vaccine against evolving variants of concern. The study is enrolling healthy adults and individuals with comorbidities, who previously received 2-4 doses of mRNA COVID-19 vaccines, including the last booster at least 3 months prior to recruitment, and has exceeded the targeted enrollment of 850 participants ahead of schedule. The study will compare the investigational vaccine, ARCT-2301 and COMIRNATY (ancestral strain and BA.4/5), for evaluation of safety and immunogenicity between observer-blind groups. Preliminary results of his study are expected by the end of Q1 2024. The results of this study of the bivalent version of our COVID-19 vaccine candidate are not required for approval of ARCT-154 in Japan but will facilitate the timely release of future seasonal updates of the COVID-19 vaccine without the need for additional clinical data.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5, 2023, we announced that the European Medicines Agency (EMA) validated the marketing authorization application (MAA) for ARCT-154, a next generation mRNA vaccine, for active immunization to prevent COVID-19 caused by SARS-CoV-2 in individuals 18 years of age and older.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Flu Collaboration Program Updates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10, 2023, we entered into an amendment to the CSL Collaboration Agreement, pursuant to which CSL Seqirus agreed to make a $17.5 million milestone payment related to a development milestone for the LUNAR-FLU program under the collaboration. We received this milestone payment during the quarter ended September 30 2023 and the Company intends to use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proceeds from this milestone payment to fund the Company’s development activities under the LUNAR-FLU program, including the initiation of Phase 1 clinical study.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generated a comprehensive non-clinical data package to support the initiation of the Phase 1 clinical trial with a novel influenza mRNA vaccine candidate. All necessary approvals to initiate the Phase 1 study have been received.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Updates on Arcturus-Owned mRNA Therapeutic Development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chart represents our current pipeline of Arcturus-Owned mRNA Therapeutic Candidates:</w:t>
      </w:r>
    </w:p>
    <w:p>
      <w:pPr>
        <w:pStyle w:val="TextBody"/>
        <w:bidi w:val="0"/>
        <w:spacing w:before="120" w:after="283"/>
        <w:jc w:val="left"/>
        <w:rPr/>
      </w:pPr>
      <w:r>
        <w:rPr/>
        <w:drawing>
          <wp:inline distT="0" distB="0" distL="0" distR="0">
            <wp:extent cx="6858000" cy="1666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1666875"/>
                    </a:xfrm>
                    <a:prstGeom prst="rect">
                      <a:avLst/>
                    </a:prstGeom>
                  </pic:spPr>
                </pic:pic>
              </a:graphicData>
            </a:graphic>
          </wp:inline>
        </w:drawing>
      </w:r>
      <w:r>
        <w:rPr/>
        <w:t> </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LUNAR-OTC/ARCT-810 - We remain committed to our rare disease program for ornithine transcarbamylase (OTC) deficiency.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Phase 1b study in stable OTC-deficient adults is being conducted in the United States. The trial is designed to assess safety, tolerability and pharmacokinetics of a single dose of ARCT-810, as well as various exploratory biomarkers of drug activity. The study has completed enrollment and dosing of all four cohorts (N = 16 subjects). We expect the final database lock to occur in the fourth quarter of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Phase 2 multiple-dose study of ARCT-810 in OTC-deficient adolescents and adults initiated dosing in December 2022 and plans to enroll approximately 24 participants in 2 dose cohorts. The study has been approved by the regulatory authorities in the UK and several other countries in Europe. We are taking various actions to address the continued challenging enrollment rate in Europe, by adding study sites and patient services to eliminate barriers to participation.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 June 2023, the US Food and Drug Administration (the “FDA”) granted Fast Track Designation to ARCT-810. Fast Track Designation is designed to facilitate development and expedite review of new therapeutics intended to treat serious or life-threatening conditions that demonstrate the potential to address important unmet medical needs.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June 2023, ARCT-810 received Rare Pediatric Disease Designation from the FDA. Such designation is designed to recognize rare pediatric diseases in which the serious or life-threatening manifestations primarily affect patients from birth to 18 years of age. Due to such designation, if ARCT-810 achieves approval for a pediatric indication in the original rare pediatric disease product application in the United States, Arcturus (or the sponsor of ARCT-810) will receive a voucher for priority review of a subsequent marketing application for a different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LUNAR-CF/ARCT-032 – Our program for cystic fibrosis is being supported in part by the Cystic Fibrosis Foundation.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from preclinical studies demonstrate robust protein expression in respiratory epithelium treated with LUNAR-mRNA in vitro and in vivo. Further, CF human bronchial epithelial cells treated with ARCT-032 in vitro demonstrate restoration of CFTR activity.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CTA was filed in December 2022 for the first-in-human study, and we completed dosing of the Phase 1 single ascending dosing study in 32 healthy participants (eight subjects in each of four cohorts).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 August 2023 we received regulatory approval of a protocol amendment to allow the transition to a Phase 1b clinical study of ARCT-032 in up to eight adults with CF, with each participant receiving two administrations of ARCT-032. We initiated Phase 1b enrollment in October 2023, with dosing of first participant scheduled in November 2023.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September 25, 2023, we entered into an amendment to our Development Program Letter Agreement with the Cystic Fibrosis Foundation Agreement. Please see “Updates on Collaboration Agreements” – “Cystic Fibrosis Foundation Agreement”.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25, 2023, ARCT-032 received Rare Pediatric Disease Designation from the FDA. Such designation is designed to recognize rare pediatric diseases in which the serious or life-threatening manifestations primarily affect patients from birth to 18 years of age. Due to such designation, if ARCT-032 achieves approval for a pediatric indication in the original rare pediatric disease product application in the United States, Arcturus (or the sponsor of ARCT-032) will receive a voucher for priority review of a subsequent marketing application for a different product.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November 2023, we presented new data showing proof of activity in vivo (G551D CF Ferret model) at the North American Cystic Fibrosis Conference. The ferrets in the study require continuous treatment with the CFTR modulator ivacaftor to prevent disease progression. A single administration of ARCT-032 showed successful transfection of airway epithelial cells and restoration of mucociliary clearance of ARCT-032 above the level maintained with ivacaftor.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Updates on Collaboration Agreements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CSL 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Please see </w:t>
      </w:r>
      <w:r>
        <w:rPr>
          <w:rFonts w:ascii="Times New Roman" w:hAnsi="Times New Roman"/>
          <w:color w:val="000000"/>
          <w:sz w:val="20"/>
        </w:rPr>
        <w:t>“</w:t>
      </w:r>
      <w:r>
        <w:rPr>
          <w:rFonts w:ascii="Times New Roman" w:hAnsi="Times New Roman"/>
          <w:b w:val="false"/>
          <w:color w:val="000000"/>
          <w:sz w:val="20"/>
        </w:rPr>
        <w:t>Business Updates</w:t>
      </w:r>
      <w:r>
        <w:rPr>
          <w:rFonts w:ascii="Times New Roman" w:hAnsi="Times New Roman"/>
          <w:color w:val="000000"/>
          <w:sz w:val="20"/>
        </w:rPr>
        <w:t>” – “</w:t>
      </w:r>
      <w:r>
        <w:rPr>
          <w:rFonts w:ascii="Times New Roman" w:hAnsi="Times New Roman"/>
          <w:b w:val="false"/>
          <w:color w:val="000000"/>
          <w:sz w:val="20"/>
        </w:rPr>
        <w:t>Updates on Vaccine Program</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Cystic Fibrosis Foundation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May 16, 2017, pursuant to a Development Program Letter Agreement (as amended, the “CFF Agreement”) with the Cystic Fibrosis Foundation (“CFF”), CFF agreed to award us funding for a development program to identify lead CFTR mRNA sequences and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formulations, demonstrate tolerability of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CFTR mRNA, and demonstrate translatability of aerosolized LUNAR</w:t>
      </w:r>
      <w:r>
        <w:rPr>
          <w:rFonts w:ascii="Times New Roman" w:hAnsi="Times New Roman"/>
          <w:b w:val="false"/>
          <w:color w:val="000000"/>
          <w:sz w:val="13"/>
        </w:rPr>
        <w:t>®</w:t>
      </w:r>
      <w:r>
        <w:rPr>
          <w:rFonts w:ascii="Times New Roman" w:hAnsi="Times New Roman"/>
          <w:b w:val="false"/>
          <w:color w:val="000000"/>
          <w:sz w:val="20"/>
        </w:rPr>
        <w:t>. The award includes a grant of rights to CFF know-how to assist us to research, develop, commercialize, make or otherwise exploit a product. If the award results in a successful commercialized product, we will pay CFF (i) royalties on sales of the product up to a maximum of a single-digit multiple of the total award amount actually paid to us by CFF, and (ii) thereafter, a single-digit percentage of annual net sales. Further, in the event of a license, sale or other transfer of the product or our development program technology (including a change of control transaction), we will pay CFF a percentage of such license, sale or transfer payments actually received by us or our shareholders (subject to a royalty cap). On August 1, 2019, we entered into an amendment to the CFF Agreement. Pursuant to the amendment, (i) CFF will increase the amount it will award to advance LUNAR-CF, (ii) we will provide a certain amount of matching funds for remaining budgeted costs, and (iii) the related disbursement schedule from CFF to us was modified such that (a) a disbursement was made upon execution of the amendment, (b) an agreed upon amount will be disbursed to us within thirty days of the first day of each of January, April, July and October 2020, and (c) the last payment will be disbursed upon us invoicing CFF to meet good manufacturing practices and submitting an IND application. In January 2022, the parties signed an additional amendment for CFF to fund the development of a CF ferret model for application in the development of ARCT-032, our LUNAR-CF candidate.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25, 2023, we entered into an additional amendment (the “Fourth Amendment”) to the CFF Agreement, pursuant to which we and CFF agreed to: (a) increase the Amount of Award (as defined in the CFF Agreement and applicable amendment) from CFF to advance LUNAR-CF by up to $9 million (for a total to date of up to approximately $25 million), and required Arcturus to provide $15 million in matching funds for remaining budgeted costs; (b) modify the existing rates and caps on royalties due to CFF under the CFF Agreement, including the addition of an option for Arcturus to reduce the royalty rate through a one-time payment; (c) modify the calculation of payments from Arcturus to CFF in the event of certain dispositions or licensing of cystic fibrosis or other pulmonary assets or of a change of control of Arcturus; and (d) make corresponding changes to exhibits, definitions and other provisions of the CFF Agreement.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CureVac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1, 2018, we entered into a Development and Option Agreement with CureVac, which was amended on May 3, 2018, restated on September 28, 2018 and amended on July 24, 2019 (as amended and restated, the “Development and Option Agreement”). Under the terms of the Development and Option Agreement, CureVac and Arcturus agreed to conduct joint preclinical development programs and we granted CureVac a license to develop and commercialize certain products incorporating certain of our technology (the “Arcturus LMD Technology”) and CureVac technology. CureVac did not exercise its option to extend the term prior to its expiration, and the Development and Option Agreement expired as of July 24,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Updates on ARCALIS Joint Venture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August 14, 2023, we announced that ARCALIS Inc. (ARCALIS), our manufacturing joint venture in Japan to support the production of mRNA vaccines and therapeutics, had been awarded up to $115 million in two separate grants from the Japanese government. We anticipate that these grants will be used to fund the construction of a factory and the purchase of capital equipment to support current Good Manufacturing Practice (cGMP) production of mRNA drug substance and mRNA drug product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October 4, 2023, we announced that ARCALIS was selected by the Japanese Ministry of Economy, Trade and Industry to receive additional financial support to construct a DNA template manufacturing facility along with new state-of-the-art equipment. DNA plasmid generated at this facility would be used as key starting material in the manufacture of mRNA drug substance at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ARCALIS’ neighboring mRNA drug substance facility, which was completed in July 2023. To date, approximately $165 million has been awarded to ARCALIS by the Japanese government, subject to certain terms and conditions, to build mRNA Drug Substance, mRNA Drug Product manufacturing capabilities and to construct a DNA template manufacturing facility. As of November 6, 2023, our ownership in ARCALIS is 36.7%.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Updates on Research and Platform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continue to conduct exploratory platform development activities, including the evaluation of genome editing, and new targeting approaches, where our LUNAR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and STARR</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platforms could potentially be useful for identification and development of additional products for our portfolio.</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Updates on Supply and Manufacturing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built a global manufacturing footprint with our partners, including Aldevron, Catalent, Recipharm, Polymun and ARCALIS. With such collaborations we have established an Integrated Global Supply Chain Network with our primary and secondary sourcing contract development &amp; manufacturing organizations (CDMOs) based in the United States, EU and Asia for producing critical raw materials, drug substance, and packaged finished product. As the market for COVID vaccines shifts from multi-dose vial formats to lower and single-dose vial formats, we continue, with our collaborator CSL Seqirus, to evaluate and advance manufacturing process and capabilities and technology transfers, and prepare for stockpiling and commercialization of COVID vaccines.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2022. Our historical results of operations and the year-to-year comparisons of our results of operations that follow are not necessarily indicative of future results.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w:t>
      </w:r>
    </w:p>
    <w:p>
      <w:pPr>
        <w:pStyle w:val="TextBody"/>
        <w:bidi w:val="0"/>
        <w:jc w:val="left"/>
        <w:rPr/>
      </w:pPr>
      <w:r>
        <w:rPr/>
        <w:t> </w:t>
      </w:r>
    </w:p>
    <w:tbl>
      <w:tblPr>
        <w:tblW w:w="6311" w:type="dxa"/>
        <w:jc w:val="left"/>
        <w:tblInd w:w="0" w:type="dxa"/>
        <w:tblLayout w:type="fixed"/>
        <w:tblCellMar>
          <w:top w:w="28" w:type="dxa"/>
          <w:left w:w="28" w:type="dxa"/>
          <w:bottom w:w="28" w:type="dxa"/>
          <w:right w:w="28" w:type="dxa"/>
        </w:tblCellMar>
      </w:tblPr>
      <w:tblGrid>
        <w:gridCol w:w="1141"/>
        <w:gridCol w:w="146"/>
        <w:gridCol w:w="274"/>
        <w:gridCol w:w="878"/>
        <w:gridCol w:w="189"/>
        <w:gridCol w:w="189"/>
        <w:gridCol w:w="274"/>
        <w:gridCol w:w="878"/>
        <w:gridCol w:w="146"/>
        <w:gridCol w:w="146"/>
        <w:gridCol w:w="211"/>
        <w:gridCol w:w="676"/>
        <w:gridCol w:w="146"/>
        <w:gridCol w:w="146"/>
        <w:gridCol w:w="87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11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45,140</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Greater than 100%</w:t>
      </w:r>
    </w:p>
    <w:p>
      <w:pPr>
        <w:pStyle w:val="TextBody"/>
        <w:bidi w:val="0"/>
        <w:spacing w:before="40" w:after="283"/>
        <w:jc w:val="left"/>
        <w:rPr>
          <w:rFonts w:ascii="Times New Roman" w:hAnsi="Times New Roman"/>
          <w:sz w:val="20"/>
        </w:rPr>
      </w:pPr>
      <w:r>
        <w:rPr>
          <w:rFonts w:ascii="Times New Roman" w:hAnsi="Times New Roman"/>
          <w:b w:val="false"/>
          <w:color w:val="000000"/>
          <w:sz w:val="20"/>
        </w:rPr>
        <w:t>Revenue increased by $31.8 million during the three months ended September 30, 2023 as compared to the three months ended September 30, 2022. The increase was primarily attributable to $45.2 million of revenue recognized from the collaboration agreement and flu Phase I agreement with CSL Seqirus, as well as grant revenue recognized from the agreement with BARDA, which were both executed in the second half of 2022 with negligible revenue recognized during the third quarter of 2022. The increase was primarily offset by a decrease in revenue of $13.4 million related to decreased revenue recognized as a result of the termination of collaboration agreements with CureVac, UGX, Janssen and Vinbiocare.</w:t>
      </w:r>
      <w:r>
        <w:rPr>
          <w:rFonts w:ascii="Times New Roman" w:hAnsi="Times New Roman"/>
          <w:color w:val="000000"/>
          <w:sz w:val="20"/>
        </w:rPr>
        <w:t xml:space="preserve"> </w:t>
      </w:r>
    </w:p>
    <w:p>
      <w:pPr>
        <w:pStyle w:val="TextBody"/>
        <w:bidi w:val="0"/>
        <w:spacing w:before="40" w:after="283"/>
        <w:jc w:val="left"/>
        <w:rPr/>
      </w:pPr>
      <w:r>
        <w:rPr/>
        <w:t> </w:t>
      </w:r>
    </w:p>
    <w:tbl>
      <w:tblPr>
        <w:tblW w:w="6222" w:type="dxa"/>
        <w:jc w:val="left"/>
        <w:tblInd w:w="0" w:type="dxa"/>
        <w:tblLayout w:type="fixed"/>
        <w:tblCellMar>
          <w:top w:w="28" w:type="dxa"/>
          <w:left w:w="28" w:type="dxa"/>
          <w:bottom w:w="28" w:type="dxa"/>
          <w:right w:w="28" w:type="dxa"/>
        </w:tblCellMar>
      </w:tblPr>
      <w:tblGrid>
        <w:gridCol w:w="1141"/>
        <w:gridCol w:w="146"/>
        <w:gridCol w:w="252"/>
        <w:gridCol w:w="933"/>
        <w:gridCol w:w="174"/>
        <w:gridCol w:w="174"/>
        <w:gridCol w:w="252"/>
        <w:gridCol w:w="808"/>
        <w:gridCol w:w="146"/>
        <w:gridCol w:w="146"/>
        <w:gridCol w:w="211"/>
        <w:gridCol w:w="676"/>
        <w:gridCol w:w="146"/>
        <w:gridCol w:w="146"/>
        <w:gridCol w:w="87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11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135,944</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Greater than 100%</w:t>
      </w:r>
    </w:p>
    <w:p>
      <w:pPr>
        <w:pStyle w:val="TextBody"/>
        <w:bidi w:val="0"/>
        <w:spacing w:before="40" w:after="283"/>
        <w:jc w:val="left"/>
        <w:rPr>
          <w:rFonts w:ascii="Times New Roman" w:hAnsi="Times New Roman"/>
          <w:sz w:val="20"/>
        </w:rPr>
      </w:pPr>
      <w:r>
        <w:rPr>
          <w:rFonts w:ascii="Times New Roman" w:hAnsi="Times New Roman"/>
          <w:b w:val="false"/>
          <w:color w:val="000000"/>
          <w:sz w:val="20"/>
        </w:rPr>
        <w:t>Revenue increased by $90.2 million during the nine months ended September 30, 2023 as compared to the nine months ended September 30, 2022. The increase was attributable to an increase in revenue of $133.0 million primarily related to the collaboration agreement with CSL Seqirus and the grant agreement with BARDA which were both executed in the second half of 2022. The increase was primarily offset by decreases in revenue of the following: (i) $27.2 million related to the termination of the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with Vinbiocare, (ii) $12.5 million related to the agreement with the Israeli Ministry of Health, (iii) $1.9 million related to the termination of the agreement with Janssen and (iv) $1.0 million related to the termination of the agreement with UGX.</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operating expenses consist of research and development and general and administrative expenses.</w:t>
      </w:r>
      <w:r>
        <w:rPr>
          <w:rFonts w:ascii="Times New Roman" w:hAnsi="Times New Roman"/>
          <w:color w:val="000000"/>
          <w:sz w:val="20"/>
        </w:rPr>
        <w:t xml:space="preserve"> </w:t>
      </w:r>
    </w:p>
    <w:p>
      <w:pPr>
        <w:pStyle w:val="TextBody"/>
        <w:bidi w:val="0"/>
        <w:jc w:val="left"/>
        <w:rPr/>
      </w:pPr>
      <w:r>
        <w:rPr/>
        <w:t> </w:t>
      </w:r>
    </w:p>
    <w:tbl>
      <w:tblPr>
        <w:tblW w:w="11106"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676"/>
        <w:gridCol w:w="146"/>
        <w:gridCol w:w="146"/>
        <w:gridCol w:w="197"/>
        <w:gridCol w:w="629"/>
        <w:gridCol w:w="271"/>
        <w:gridCol w:w="146"/>
        <w:gridCol w:w="211"/>
        <w:gridCol w:w="781"/>
        <w:gridCol w:w="146"/>
        <w:gridCol w:w="146"/>
        <w:gridCol w:w="211"/>
        <w:gridCol w:w="781"/>
        <w:gridCol w:w="146"/>
        <w:gridCol w:w="146"/>
        <w:gridCol w:w="211"/>
        <w:gridCol w:w="676"/>
        <w:gridCol w:w="146"/>
        <w:gridCol w:w="146"/>
        <w:gridCol w:w="197"/>
        <w:gridCol w:w="629"/>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1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Research and Development Expenses,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our total research and development expenses by category:</w:t>
      </w:r>
    </w:p>
    <w:p>
      <w:pPr>
        <w:pStyle w:val="TextBody"/>
        <w:bidi w:val="0"/>
        <w:jc w:val="left"/>
        <w:rPr/>
      </w:pPr>
      <w:r>
        <w:rPr/>
        <w:t> </w:t>
      </w:r>
    </w:p>
    <w:tbl>
      <w:tblPr>
        <w:tblW w:w="10926" w:type="dxa"/>
        <w:jc w:val="left"/>
        <w:tblInd w:w="0" w:type="dxa"/>
        <w:tblLayout w:type="fixed"/>
        <w:tblCellMar>
          <w:top w:w="28" w:type="dxa"/>
          <w:left w:w="28" w:type="dxa"/>
          <w:bottom w:w="28" w:type="dxa"/>
          <w:right w:w="28" w:type="dxa"/>
        </w:tblCellMar>
      </w:tblPr>
      <w:tblGrid>
        <w:gridCol w:w="1521"/>
        <w:gridCol w:w="146"/>
        <w:gridCol w:w="196"/>
        <w:gridCol w:w="601"/>
        <w:gridCol w:w="146"/>
        <w:gridCol w:w="146"/>
        <w:gridCol w:w="196"/>
        <w:gridCol w:w="601"/>
        <w:gridCol w:w="146"/>
        <w:gridCol w:w="146"/>
        <w:gridCol w:w="196"/>
        <w:gridCol w:w="601"/>
        <w:gridCol w:w="166"/>
        <w:gridCol w:w="146"/>
        <w:gridCol w:w="212"/>
        <w:gridCol w:w="614"/>
        <w:gridCol w:w="241"/>
        <w:gridCol w:w="146"/>
        <w:gridCol w:w="196"/>
        <w:gridCol w:w="691"/>
        <w:gridCol w:w="146"/>
        <w:gridCol w:w="146"/>
        <w:gridCol w:w="196"/>
        <w:gridCol w:w="691"/>
        <w:gridCol w:w="146"/>
        <w:gridCol w:w="146"/>
        <w:gridCol w:w="196"/>
        <w:gridCol w:w="601"/>
        <w:gridCol w:w="146"/>
        <w:gridCol w:w="146"/>
        <w:gridCol w:w="212"/>
        <w:gridCol w:w="614"/>
        <w:gridCol w:w="486"/>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External pipeline development expenses: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486" w:type="dxa"/>
            <w:tcBorders/>
            <w:shd w:fill="CFF0FC" w:val="clear"/>
            <w:vAlign w:val="center"/>
          </w:tcPr>
          <w:p>
            <w:pPr>
              <w:pStyle w:val="TableContents"/>
              <w:bidi w:val="0"/>
              <w:spacing w:before="0" w:after="283"/>
              <w:ind w:left="0" w:right="0" w:firstLine="200"/>
              <w:jc w:val="right"/>
              <w:rPr/>
            </w:pPr>
            <w:r>
              <w:rPr/>
              <w:t> </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LUNAR-COVID,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55.4</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w:t>
            </w:r>
          </w:p>
        </w:tc>
        <w:tc>
          <w:tcPr>
            <w:tcW w:w="48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LUNAR-OTC,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w:t>
            </w:r>
          </w:p>
        </w:tc>
        <w:tc>
          <w:tcPr>
            <w:tcW w:w="48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Early-stage programs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486" w:type="dxa"/>
            <w:tcBorders/>
            <w:shd w:fill="FFFFFF" w:val="clear"/>
            <w:vAlign w:val="center"/>
          </w:tcPr>
          <w:p>
            <w:pPr>
              <w:pStyle w:val="TableContents"/>
              <w:bidi w:val="0"/>
              <w:spacing w:before="0" w:after="283"/>
              <w:ind w:left="0" w:right="0" w:firstLine="200"/>
              <w:jc w:val="righ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Discovery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486" w:type="dxa"/>
            <w:tcBorders/>
            <w:shd w:fill="CFF0FC" w:val="clear"/>
            <w:vAlign w:val="center"/>
          </w:tcPr>
          <w:p>
            <w:pPr>
              <w:pStyle w:val="TableContents"/>
              <w:bidi w:val="0"/>
              <w:spacing w:before="0" w:after="283"/>
              <w:jc w:val="right"/>
              <w:rPr/>
            </w:pPr>
            <w:r>
              <w:rPr/>
              <w:t> </w:t>
            </w:r>
          </w:p>
        </w:tc>
      </w:tr>
      <w:tr>
        <w:trPr/>
        <w:tc>
          <w:tcPr>
            <w:tcW w:w="15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External platform development expenses: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486" w:type="dxa"/>
            <w:tcBorders/>
            <w:shd w:fill="FFFFFF" w:val="clear"/>
            <w:vAlign w:val="center"/>
          </w:tcPr>
          <w:p>
            <w:pPr>
              <w:pStyle w:val="TableContents"/>
              <w:bidi w:val="0"/>
              <w:spacing w:before="0" w:after="283"/>
              <w:ind w:left="0" w:right="0" w:firstLine="200"/>
              <w:jc w:val="righ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Personnel related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w:t>
            </w:r>
          </w:p>
        </w:tc>
        <w:tc>
          <w:tcPr>
            <w:tcW w:w="48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Facilities and equipment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31.9</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5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research and development expenses,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155,513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6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Greater than 100%</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$51.1 million for the three months ended September 30, 2023, compared with $37.7 million in the comparable period last year, primarily reflecting increased clinical research and manufacturing costs of $11.6 million and an increase of $2.0 million in personnel related costs, an increase in travel and consulting expenses of $0.2 million, an increase of $0.7 million in facilities expense and offset by a decrease of contra research and development expenses recognized of $1.1 million. Research and development expenses were $155.5 million for the nine months ended September 30, 2023, compared with $120.8 million in the comparable period last year, primarily reflecting increased manufacturing costs of $27.8 million, an increase of $5.7 million in personnel related costs, an increase in consulting expenses of $1.4 million, an increase of $2.1million in facilities expense and a decrease of contra research and development expenses recognized of $1.6 million. The increase was primarily offset by a decrease of clinical-related expenses of $3.9 million. We expect that our research and development efforts and associated costs will increase and continue to be substantial over the next several years as our pipeline progresses.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Early-stage programs represent programs that are in the pre-clinical or Phase 1 clinical stage and may be partnered or unpartnered, including the LUNAR-CF and LUNAR-FLU programs. Discovery technologies represent our efforts to expand our product pipeline and are primarily related to pre-partnered studies and new capabilities assessment. For some of our programs, the activities are part of our collaborative and other relationships and the expenses may be partially offset with funds that have been awarded to the Company. The expenses primarily consist of external manufacturing costs, lab supplies, equipment, and consulting and professional fees. Both early stage programs and discovery technologies expenses are expected to steadily increase over the coming years.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Personnel related expenses primarily consist of employee salaries and benefits, share-based compensation and consultants. Although such expenses increased during 2023 as compared to 2022, we expect that they will not increase over the next twelve months.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Facilities and equipment expenses increased during the nine months ended September 30, 2023 as a result of increased rent and associated costs related to a new facility we took possession of in April 2022. Facilities and equipment expenses are not expected to increase during the next twelve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primarily consist of salaries and related benefits for our executive, administrative, legal and accounting functions and professional service fees for legal and accounting services as well as other general and administrative expenses. The Company does not expect that general and administrative expenses will increase on a yearly basis from the current quarter September 30, 2023 expense trend.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were $13.4 million and $40.4 million for the three and nine months ended September 30, 2023, respectively, compared with $12.5 million and $34.2 million in the comparable periods last year. These increases in expenses resulted primarily from increased personnel expenses due to increased headcount and salaries, increased travel and consulting expenses as well as increased rent expense associated with the new facility. The Company does not expect that general and administrative expenses will increase on a yearly basis from the current quarter September 30, 2023 expense trend.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income (expense),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8"/>
        <w:gridCol w:w="146"/>
        <w:gridCol w:w="217"/>
        <w:gridCol w:w="589"/>
        <w:gridCol w:w="171"/>
        <w:gridCol w:w="150"/>
        <w:gridCol w:w="217"/>
        <w:gridCol w:w="496"/>
        <w:gridCol w:w="166"/>
        <w:gridCol w:w="146"/>
        <w:gridCol w:w="211"/>
        <w:gridCol w:w="571"/>
        <w:gridCol w:w="146"/>
        <w:gridCol w:w="146"/>
        <w:gridCol w:w="179"/>
        <w:gridCol w:w="647"/>
        <w:gridCol w:w="271"/>
        <w:gridCol w:w="146"/>
        <w:gridCol w:w="214"/>
        <w:gridCol w:w="687"/>
        <w:gridCol w:w="168"/>
        <w:gridCol w:w="148"/>
        <w:gridCol w:w="214"/>
        <w:gridCol w:w="641"/>
        <w:gridCol w:w="166"/>
        <w:gridCol w:w="146"/>
        <w:gridCol w:w="211"/>
        <w:gridCol w:w="676"/>
        <w:gridCol w:w="146"/>
        <w:gridCol w:w="146"/>
        <w:gridCol w:w="179"/>
        <w:gridCol w:w="647"/>
        <w:gridCol w:w="323"/>
      </w:tblGrid>
      <w:tr>
        <w:trPr/>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w:t>
            </w:r>
          </w:p>
        </w:tc>
        <w:tc>
          <w:tcPr>
            <w:tcW w:w="171"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10,473</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23" w:type="dxa"/>
            <w:tcBorders/>
            <w:shd w:fill="CFF0FC" w:val="clear"/>
            <w:vAlign w:val="center"/>
          </w:tcPr>
          <w:p>
            <w:pPr>
              <w:pStyle w:val="TableContents"/>
              <w:bidi w:val="0"/>
              <w:spacing w:before="0" w:after="283"/>
              <w:jc w:val="right"/>
              <w:rPr/>
            </w:pPr>
            <w:r>
              <w:rPr/>
              <w:t> </w:t>
            </w:r>
          </w:p>
        </w:tc>
      </w:tr>
      <w:tr>
        <w:trPr/>
        <w:tc>
          <w:tcPr>
            <w:tcW w:w="8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(763</w:t>
            </w:r>
          </w:p>
        </w:tc>
        <w:tc>
          <w:tcPr>
            <w:tcW w:w="1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8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3,981</w:t>
            </w:r>
          </w:p>
        </w:tc>
        <w:tc>
          <w:tcPr>
            <w:tcW w:w="1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9,710</w:t>
            </w:r>
          </w:p>
        </w:tc>
        <w:tc>
          <w:tcPr>
            <w:tcW w:w="1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23"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Greater than 100%</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is generated on cash and cash equivalents. The increase in interest income for the three and nine month periods ended September 30, 2023 as compared to the comparable periods last year was primarily the result of increased interest rates and an increased cash balance due to large cash amounts received under the CSL Seqirus agreement. Interest expense decreased as no interest expense was incurred during the second and third quarters of 2023 related to the extinguishment of the Western Alliance Agreement and the forgiveness of the Singapore Loan during the first quarter of 2023.</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and expense</w:t>
      </w:r>
    </w:p>
    <w:p>
      <w:pPr>
        <w:pStyle w:val="TextBody"/>
        <w:bidi w:val="0"/>
        <w:jc w:val="left"/>
        <w:rPr/>
      </w:pPr>
      <w:r>
        <w:rPr/>
        <w:t> </w:t>
      </w:r>
    </w:p>
    <w:tbl>
      <w:tblPr>
        <w:tblW w:w="10496" w:type="dxa"/>
        <w:jc w:val="left"/>
        <w:tblInd w:w="0" w:type="dxa"/>
        <w:tblLayout w:type="fixed"/>
        <w:tblCellMar>
          <w:top w:w="28" w:type="dxa"/>
          <w:left w:w="28" w:type="dxa"/>
          <w:bottom w:w="28" w:type="dxa"/>
          <w:right w:w="28" w:type="dxa"/>
        </w:tblCellMar>
      </w:tblPr>
      <w:tblGrid>
        <w:gridCol w:w="1396"/>
        <w:gridCol w:w="146"/>
        <w:gridCol w:w="211"/>
        <w:gridCol w:w="346"/>
        <w:gridCol w:w="146"/>
        <w:gridCol w:w="146"/>
        <w:gridCol w:w="211"/>
        <w:gridCol w:w="571"/>
        <w:gridCol w:w="146"/>
        <w:gridCol w:w="146"/>
        <w:gridCol w:w="211"/>
        <w:gridCol w:w="631"/>
        <w:gridCol w:w="166"/>
        <w:gridCol w:w="146"/>
        <w:gridCol w:w="179"/>
        <w:gridCol w:w="647"/>
        <w:gridCol w:w="271"/>
        <w:gridCol w:w="146"/>
        <w:gridCol w:w="211"/>
        <w:gridCol w:w="676"/>
        <w:gridCol w:w="166"/>
        <w:gridCol w:w="146"/>
        <w:gridCol w:w="211"/>
        <w:gridCol w:w="571"/>
        <w:gridCol w:w="166"/>
        <w:gridCol w:w="146"/>
        <w:gridCol w:w="211"/>
        <w:gridCol w:w="676"/>
        <w:gridCol w:w="166"/>
        <w:gridCol w:w="146"/>
        <w:gridCol w:w="155"/>
        <w:gridCol w:w="67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to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equity-method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(loss) from foreign currency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FFFFFF" w:val="clear"/>
            <w:vAlign w:val="center"/>
          </w:tcPr>
          <w:p>
            <w:pPr>
              <w:pStyle w:val="TableContents"/>
              <w:bidi w:val="0"/>
              <w:spacing w:before="0" w:after="283"/>
              <w:jc w:val="right"/>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16"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 Greater than 100%</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and expense items primarily relate to gains and losses from equity-method investments and foreign currency transactions. Additionally, we recorded a gain on debt extinguishment related to the Singapore Loan of $34.0 million during the first quarter of 2023 as a result of the Singapore Loan being forgiven.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recorded no gain or loss in the three and nine months ended September 30, 2023, compared with no gain or loss in the three months ended September 30, 2023 and $0.5 million losses in the nine months ended September 30, 2022 in connection with our investment in GRI Bio, Inc. (formerly Vallon Pharmaceuticals,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changes in gain (loss) from foreign currency for the three and nine months ended September 30, 2023 compared to the three and nine months ended September 30, 2022 were primarily attributable to the Singapore Loan being forgiven during the first quarter of 2023. The remaining amounts recorded as gain (loss) from foreign currency relate to transactions made in foreign currencies.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Through September 30, 2023,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the Company’s inception through the quarter ended September 30, 2023, the Company has funded its operations principally with the proceeds from the sale of capital stock, long-term debt and revenues earned through collaboration agreements and government contracts. We received a $200.0 million upfront payment from CSL Seqirus during the fourth quarter of 2022. Additionally, in the three months ended June 30, 2023, we received $90.0 million in milestone payments and $23.6 million for the manufacturing and supply of ARCT-154 from CSL Seqirus. We expect to receive future payments from CSL Seqirus primarily by meeting future milestones related to the CSL Collaboration Agreement. At September 30, 2023, we had $311.9 million in unrestricted cash and cash equivalents which includes amounts borrowed of $20.0 million from the Wells Fargo Credit Agreement. Balances outstanding under the line of credit will vary from quarter to quarter as cash flow from collaborations fluctuate.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CSL Seqirus, Inc. Collaboration and License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entered into the CSL Collaboration Agreement with CSL Seqirus, a part of CSL Limited, one of the world’s leading influenza vaccine providers, for the global exclusive rights to research, develop, manufacture and commercialize mRNA vaccines.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CSL Seqirus received exclusive global rights to our technology for vaccines against SARS-CoV-2 (COVID-19), influenza and three other respiratory infectious diseases with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CSL Collaboration Agreement sets forth how CSL Seqirus and us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Wells Fargo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21, 2023, the Company’s wholly-owned subsidiary, Arcturus Therapeutics, Inc. entered into a credit agreement with Wells Fargo Bank, National Association (“Wells Fargo”) whereby Wells Fargo agreed to make a $50.0 million revolving credit line available to the Company (the “Wells Fargo Loan”) and each Wells Fargo Loan evidenced by a revolving line of credit note (the “Note”).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Borrowings under the agreement will bear interest at a rate of 1.00% above either the Daily Simple SOFR or Term SOFR (as such terms are defined in the Wells Fargo Note),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term of the agreement is two years, with an option for one-year renewals subject to Wells Fargo approval and the Company furnishing to Wells Fargo a non-refundable commitment fee equal to 0.25% of the Wells Fargo Loan amount for each such renewal. There is no penalty for terminating the agreement. There is no penalty for terminating the facility prior to the maturity date of the Wells Fargo Note. As collateral, the Company has agreed to pledge $55.0 million in cash to be held at the Company’s securities accounts with Wells Fargo Securities, LLC, an affiliate of Wells Fargo, pursuant to a security agreement. During the three months ended September 30, 2023, we drew down $20.0 million which was subsequently repaid in October 2023.</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Grant from the Biomedical Advanced Research and Development Authority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manufacturing, regulatory and quality-assurance activities over a period of three years. It provides for reimbursement by BARDA of our permitted costs up to $63.2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Vinbiocare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General Financial Resources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portion of our current cash balance is expected to be utilized during fiscal year 2023 to fund (i) the continued Phase 2 trial of ARCT-810, our LUNAR-OTC candidate, (ii) advances to our LUNAR-CF program in clinical trials, (iii) expenses incurred prior to customer payments under the CSL Collaboration Agreement and BARDA agreement and (iv) continued exploratory activities related to our platform and other general administrative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and identifying and developing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funding requirements are difficult to forecast and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development of our LUNAR-COV19 and LUNAR-FLU vaccine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achievement of milestones under our strategic alliance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maintaining and/or expanding our manufacturing network and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terms and timing of any other strategic alliance, licensing and other arrangements that we may establish, including those with CSL Seqirus and CSL Seqirus’ arrangement with Meiji, and any related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initiation, progress, timing and completion of preclinical studies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and characteristics of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timing and cost of regulatory approvals;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that may be caused by changing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and timing of hiring new employees to support our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involved in filing and prosecuting patent applications and enforcing and defending patent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procuring clinical and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and timing of establishing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legal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potential litigation related to collaboration agreements;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we acquire or invest in businesses, products or technologies.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material changes to our critical accounting policies and estimates from the information provided in Item 7, Management’s Discussion and Analysis of Financial Condition and Results of Operations, included in the 2022 Annual Report.</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do not have any foreign currency or other derivative financial instruments.</w:t>
      </w:r>
    </w:p>
    <w:p>
      <w:pPr>
        <w:pStyle w:val="TextBody"/>
        <w:bidi w:val="0"/>
        <w:spacing w:before="36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September 30, 2023, the Company’s disclosure controls and procedures were effective at the reasonable assurance level, and we believe the condensed consolidated financial statements included in this Form 10-Q for the quarterly periods ended September 30, 2023 fairly present, in all material respects, our financial position, results of operations, comprehensive loss, statements of stockholders’ equity and cash flows for the periods presented in conformity with U.S. generally accepted accounting principles.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or_information"/>
      <w:bookmarkEnd w:id="14"/>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sz w:val="20"/>
        </w:rPr>
      </w:pPr>
      <w:bookmarkStart w:id="16" w:name="ii_item1a"/>
      <w:bookmarkEnd w:id="16"/>
      <w:r>
        <w:rPr>
          <w:rFonts w:ascii="Times New Roman" w:hAnsi="Times New Roman"/>
          <w:b w:val="false"/>
          <w:color w:val="000000"/>
          <w:sz w:val="20"/>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is subject to various risks, including those described in Item 1A of our Annual Report on Form 10-K for the fiscal year ended December 31, 2022, which we strongly encourage you to review. Other than as set forth below, there have been no material changes from the risk factors described in our Annual Report on Form 10-K for the year ended December 31, 2022 filed with the Commission on March 29, 2023 and in our Quarterly Report on Form 10-Q for the quarter ended June 30, 2023 filed with the Commission on August 7, 2023.</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Evolving dynamics in the market for COVID-19 vaccines are likely to impact our financial results.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With the global transition of COVID-19 from pandemic to endemic, the commercial market for COVID-19 vaccines is facing several challenges, including a more fragmented customer base, less predictability in orders, greater seasonality of demand, increased distribution costs, and higher costs of goods sold due to single-dose or lower-dose presentations. Such factors could impact the potential market for our COVID-19 vaccine (under our collaboration with CSL Seqirus), if approved. Further, our continued development efforts for our COVID-19 vaccine could face increased research and development costs, including for clinical trials, when updating COVID-19 vaccines for new variants of concern.</w:t>
      </w:r>
    </w:p>
    <w:p>
      <w:pPr>
        <w:pStyle w:val="TextBody"/>
        <w:bidi w:val="0"/>
        <w:spacing w:before="3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left"/>
        <w:rPr>
          <w:rFonts w:ascii="Times New Roman" w:hAnsi="Times New Roman"/>
          <w:b/>
          <w:color w:val="000000"/>
          <w:sz w:val="20"/>
        </w:rPr>
      </w:pPr>
      <w:bookmarkStart w:id="21" w:name="item_5_or_information"/>
      <w:bookmarkEnd w:id="21"/>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three months ended September 30, 2023, none of our directors or officers adopted or terminated a "Rule 10b5-1 trading arrangement" (as defined in Item 408 of Regulation S-K of the Exchange Act) intended to satisfy the affirmative defense conditions of Rule 10b5-1(c) under the Exchange Act, other than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Kieth C. Kummerfeld, Senior Vice President, Corporate Controller and Principal Accounting Officer, modified an existing Rule 10b5-1trading arrangement on August 24, 2023. Mr. Kummerfeld's trading arrangement provides for the exercise of up to an aggregate of 36,064 options to purchase common stock and subsequent sale of such underlying shares of common stock, until August 23, 2024.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"non-Rule 10b5-1 trading arrangements" (as defined in Item 408 of Regulation S-K of the Exchange Act) adopted or terminated during the three months ended September 30, 2023 by our directors and officers.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2"/>
        <w:gridCol w:w="146"/>
        <w:gridCol w:w="9097"/>
      </w:tblGrid>
      <w:tr>
        <w:trPr/>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7" w:type="dxa"/>
            <w:tcBorders/>
            <w:vAlign w:val="center"/>
          </w:tcPr>
          <w:p>
            <w:pPr>
              <w:pStyle w:val="TableContents"/>
              <w:bidi w:val="0"/>
              <w:spacing w:before="0" w:after="283"/>
              <w:jc w:val="left"/>
              <w:rPr>
                <w:sz w:val="4"/>
                <w:szCs w:val="4"/>
              </w:rPr>
            </w:pPr>
            <w:r>
              <w:rPr>
                <w:sz w:val="4"/>
                <w:szCs w:val="4"/>
              </w:rPr>
            </w:r>
          </w:p>
        </w:tc>
      </w:tr>
      <w:tr>
        <w:trPr/>
        <w:tc>
          <w:tcPr>
            <w:tcW w:w="9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Description</w:t>
            </w:r>
          </w:p>
        </w:tc>
      </w:tr>
      <w:tr>
        <w:trPr/>
        <w:tc>
          <w:tcPr>
            <w:tcW w:w="962" w:type="dxa"/>
            <w:tcBorders/>
            <w:vAlign w:val="center"/>
          </w:tcPr>
          <w:p>
            <w:pPr>
              <w:pStyle w:val="TableContents"/>
              <w:bidi w:val="0"/>
              <w:spacing w:before="0" w:after="283"/>
              <w:jc w:val="left"/>
              <w:rPr/>
            </w:pPr>
            <w:r>
              <w:rPr/>
              <w:t> </w:t>
            </w:r>
          </w:p>
        </w:tc>
        <w:tc>
          <w:tcPr>
            <w:tcW w:w="9243" w:type="dxa"/>
            <w:gridSpan w:val="2"/>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Certificate of Incorporation. Incorporated by reference to Annex B to the proxy statement/prospectus which forms part of the Registration Statement on Form S-4 filed on March 18, 2019 (File No. 333-230353).</w:t>
              </w:r>
            </w:hyperlink>
            <w:hyperlink r:id="rId7">
              <w:r>
                <w:rPr>
                  <w:rStyle w:val="InternetLink"/>
                  <w:rFonts w:ascii="Times New Roman" w:hAnsi="Times New Roman"/>
                  <w:color w:val="0000FF"/>
                  <w:sz w:val="20"/>
                </w:rPr>
                <w:t xml:space="preserve"> </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8">
              <w:r>
                <w:rPr>
                  <w:rStyle w:val="InternetLink"/>
                  <w:rFonts w:ascii="Times New Roman" w:hAnsi="Times New Roman"/>
                  <w:b w:val="false"/>
                  <w:color w:val="0000FF"/>
                  <w:sz w:val="20"/>
                  <w:u w:val="single"/>
                </w:rPr>
                <w:t>Certificate of Amendment, dated November 25, 2020. Incorporated by reference to Exhibit 3.1 to Form 8-K filed on November 25, 2020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3.3</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9">
              <w:r>
                <w:rPr>
                  <w:rStyle w:val="InternetLink"/>
                  <w:rFonts w:ascii="Times New Roman" w:hAnsi="Times New Roman"/>
                  <w:b w:val="false"/>
                  <w:color w:val="0000FF"/>
                  <w:sz w:val="20"/>
                  <w:u w:val="single"/>
                </w:rPr>
                <w:t>Bylaws of Arcturus Therapeutics Holdings Inc. Incorporated by reference to Exhibit 3.2 to the Company’s Registration Statement on Form S-3, filed with the SEC on May 8, 2020 (File No. 333-238139).</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0">
              <w:r>
                <w:rPr>
                  <w:rStyle w:val="InternetLink"/>
                  <w:rFonts w:ascii="Times New Roman" w:hAnsi="Times New Roman"/>
                  <w:b w:val="false"/>
                  <w:color w:val="0000FF"/>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1">
              <w:r>
                <w:rPr>
                  <w:rStyle w:val="InternetLink"/>
                  <w:rFonts w:ascii="Times New Roman" w:hAnsi="Times New Roman"/>
                  <w:b w:val="false"/>
                  <w:color w:val="0000FF"/>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2">
              <w:r>
                <w:rPr>
                  <w:rStyle w:val="InternetLink"/>
                  <w:rFonts w:ascii="Times New Roman" w:hAnsi="Times New Roman"/>
                  <w:b w:val="false"/>
                  <w:color w:val="0000FF"/>
                  <w:sz w:val="20"/>
                  <w:u w:val="single"/>
                </w:rPr>
                <w:t>Amended and Restated 2019 Omnibus Equity Incentive Plan. Incorporated by reference Exhibit 4.3 to the Registration Statement on Form S-8 filed on August 5, 2020 (File No. 333-240397).</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10.3**</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3">
              <w:r>
                <w:rPr>
                  <w:rStyle w:val="InternetLink"/>
                  <w:rFonts w:ascii="Times New Roman" w:hAnsi="Times New Roman"/>
                  <w:b w:val="false"/>
                  <w:color w:val="0000FF"/>
                  <w:sz w:val="20"/>
                  <w:u w:val="single"/>
                </w:rPr>
                <w:t>Amended and Restated Amendment to Development and Option Agreement, dated as of September 28, 2018, by and between CureVac AG and Arcturus Therapeutics Inc. Incorporated by reference to Exhibit 99.2 to the Company’s Report of Foreign Private Issuer on Form 6-K filed on October 1,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4">
              <w:r>
                <w:rPr>
                  <w:rStyle w:val="InternetLink"/>
                  <w:rFonts w:ascii="Times New Roman" w:hAnsi="Times New Roman"/>
                  <w:b w:val="false"/>
                  <w:color w:val="0000FF"/>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color w:val="0000FF"/>
                <w:sz w:val="20"/>
              </w:rPr>
              <w:t xml:space="preserve"> </w:t>
            </w:r>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10.5**</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5">
              <w:r>
                <w:rPr>
                  <w:rStyle w:val="InternetLink"/>
                  <w:rFonts w:ascii="Times New Roman" w:hAnsi="Times New Roman"/>
                  <w:b w:val="false"/>
                  <w:color w:val="0000FF"/>
                  <w:sz w:val="20"/>
                  <w:u w:val="single"/>
                </w:rPr>
                <w:t>Research Collaboration and License Agreement, by and between Arcturus Therapeutics, Inc. and Ultragenyx Pharmaceutical Inc., entered into as of October 26, 2015, as amended October 17, 2017 and April 20, 2018. Incorporated by reference to Exhibit 4.10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10.6**</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6">
              <w:r>
                <w:rPr>
                  <w:rStyle w:val="InternetLink"/>
                  <w:rFonts w:ascii="Times New Roman" w:hAnsi="Times New Roman"/>
                  <w:b w:val="false"/>
                  <w:color w:val="0000FF"/>
                  <w:sz w:val="20"/>
                  <w:u w:val="single"/>
                </w:rPr>
                <w:t>Third Amendment to Research Collaboration and License Agreement, by and between Arcturus Therapeutics, Inc. and Ultragenyx Pharmaceutical Inc., effective June 18, 2019. Incorporated by reference to Exhibit 10.2 to Form 8-K filed on June 20, 2019 (File No. 001- 38942).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10.7**</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7">
              <w:r>
                <w:rPr>
                  <w:rStyle w:val="InternetLink"/>
                  <w:rFonts w:ascii="Times New Roman" w:hAnsi="Times New Roman"/>
                  <w:b w:val="false"/>
                  <w:color w:val="0000FF"/>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10.8**</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8">
              <w:r>
                <w:rPr>
                  <w:rStyle w:val="InternetLink"/>
                  <w:rFonts w:ascii="Times New Roman" w:hAnsi="Times New Roman"/>
                  <w:b w:val="false"/>
                  <w:color w:val="0000FF"/>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10.9**</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19">
              <w:r>
                <w:rPr>
                  <w:rStyle w:val="InternetLink"/>
                  <w:rFonts w:ascii="Times New Roman" w:hAnsi="Times New Roman"/>
                  <w:b w:val="false"/>
                  <w:color w:val="0000FF"/>
                  <w:sz w:val="20"/>
                  <w:u w:val="single"/>
                </w:rPr>
                <w:t>Development and Option Agreement, by and between Arcturus Therapeutics, Inc. and CureVac AG, dated January 1, 2018, as amended May 3, 2018. Incorporated by reference to Exhibit 4.12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10.10**</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0">
              <w:r>
                <w:rPr>
                  <w:rStyle w:val="InternetLink"/>
                  <w:rFonts w:ascii="Times New Roman" w:hAnsi="Times New Roman"/>
                  <w:b w:val="false"/>
                  <w:color w:val="0000FF"/>
                  <w:sz w:val="20"/>
                  <w:u w:val="single"/>
                </w:rPr>
                <w:t>Third Amendment to Development and Option Agreement, by and between Arcturus Therapeutics, Inc. and CureVac AG, dated July 26, 2019. Incorporated by reference to Exhibit 10.20 to Form 10-Q filed on August 14, 2019 (File No. 001-38942).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10.11**</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1">
              <w:r>
                <w:rPr>
                  <w:rStyle w:val="InternetLink"/>
                  <w:rFonts w:ascii="Times New Roman" w:hAnsi="Times New Roman"/>
                  <w:b w:val="false"/>
                  <w:color w:val="0000FF"/>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10.12**</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2">
              <w:r>
                <w:rPr>
                  <w:rStyle w:val="InternetLink"/>
                  <w:rFonts w:ascii="Times New Roman" w:hAnsi="Times New Roman"/>
                  <w:b w:val="false"/>
                  <w:color w:val="0000FF"/>
                  <w:sz w:val="20"/>
                  <w:u w:val="single"/>
                </w:rPr>
                <w:t>Patent Assignment and License Agreement, by and between Arcturus Therapeutics, Inc. and Marina Biotech, Inc., dated as of August 9, 2013. Incorporated by reference to Exhibit 4.15 to Form 20-F filed on May 14, 2018 (File No. 001-35932).</w:t>
              </w:r>
            </w:hyperlink>
          </w:p>
        </w:tc>
      </w:tr>
      <w:tr>
        <w:trPr/>
        <w:tc>
          <w:tcPr>
            <w:tcW w:w="9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r>
              <w:rPr/>
              <w:t> </w:t>
            </w:r>
          </w:p>
        </w:tc>
      </w:tr>
      <w:tr>
        <w:trPr/>
        <w:tc>
          <w:tcPr>
            <w:tcW w:w="9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10.13</w:t>
            </w:r>
          </w:p>
        </w:tc>
        <w:tc>
          <w:tcPr>
            <w:tcW w:w="146"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pPr>
            <w:hyperlink r:id="rId23">
              <w:r>
                <w:rPr>
                  <w:rStyle w:val="InternetLink"/>
                  <w:rFonts w:ascii="Times New Roman" w:hAnsi="Times New Roman"/>
                  <w:b w:val="false"/>
                  <w:color w:val="0000FF"/>
                  <w:sz w:val="20"/>
                  <w:u w:val="single"/>
                </w:rPr>
                <w:t>Share Exchange Agreement, dated as of February 11, 2019, by and between Arcturus Therapeutics Ltd. and Arcturus Therapeutics Holdings Inc. Incorporated by reference to Exhibit 10.13 to the Company’s Annual Report on Form 10-K for the year ended December 31, 2018 filed on March 18, 2019 (File No. 001-35932).</w:t>
              </w:r>
            </w:hyperlink>
            <w:r>
              <w:rPr>
                <w:rFonts w:ascii="Times New Roman" w:hAnsi="Times New Roman"/>
                <w:color w:val="0000FF"/>
                <w:sz w:val="20"/>
              </w:rPr>
              <w:t xml:space="preserve"> </w:t>
            </w:r>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
        <w:gridCol w:w="146"/>
        <w:gridCol w:w="9369"/>
      </w:tblGrid>
      <w:tr>
        <w:trPr/>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9" w:type="dxa"/>
            <w:tcBorders/>
            <w:vAlign w:val="center"/>
          </w:tcPr>
          <w:p>
            <w:pPr>
              <w:pStyle w:val="TableContents"/>
              <w:bidi w:val="0"/>
              <w:spacing w:before="0" w:after="283"/>
              <w:jc w:val="left"/>
              <w:rPr>
                <w:sz w:val="4"/>
                <w:szCs w:val="4"/>
              </w:rPr>
            </w:pPr>
            <w:r>
              <w:rPr>
                <w:sz w:val="4"/>
                <w:szCs w:val="4"/>
              </w:rPr>
            </w:r>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10.14</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4">
              <w:r>
                <w:rPr>
                  <w:rStyle w:val="InternetLink"/>
                  <w:rFonts w:ascii="Times New Roman" w:hAnsi="Times New Roman"/>
                  <w:b w:val="false"/>
                  <w:color w:val="0000FF"/>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10.15</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5">
              <w:r>
                <w:rPr>
                  <w:rStyle w:val="InternetLink"/>
                  <w:rFonts w:ascii="Times New Roman" w:hAnsi="Times New Roman"/>
                  <w:b w:val="false"/>
                  <w:color w:val="0000FF"/>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10.16**</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6">
              <w:r>
                <w:rPr>
                  <w:rStyle w:val="InternetLink"/>
                  <w:rFonts w:ascii="Times New Roman" w:hAnsi="Times New Roman"/>
                  <w:b w:val="false"/>
                  <w:color w:val="0000FF"/>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10.17</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7">
              <w:r>
                <w:rPr>
                  <w:rStyle w:val="InternetLink"/>
                  <w:rFonts w:ascii="Times New Roman" w:hAnsi="Times New Roman"/>
                  <w:b w:val="false"/>
                  <w:color w:val="0000FF"/>
                  <w:sz w:val="20"/>
                  <w:u w:val="single"/>
                </w:rPr>
                <w:t>2020 Employee Stock Purchase Plan. Incorporated by reference to Exhibit 4.3 to Form S-8 filed on August 5, 2020 (File No. 333-240392).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10.18</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8">
              <w:r>
                <w:rPr>
                  <w:rStyle w:val="InternetLink"/>
                  <w:rFonts w:ascii="Times New Roman" w:hAnsi="Times New Roman"/>
                  <w:b w:val="false"/>
                  <w:color w:val="0000FF"/>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10.19</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29">
              <w:r>
                <w:rPr>
                  <w:rStyle w:val="InternetLink"/>
                  <w:rFonts w:ascii="Times New Roman" w:hAnsi="Times New Roman"/>
                  <w:b w:val="false"/>
                  <w:color w:val="0000FF"/>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10.20</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0">
              <w:r>
                <w:rPr>
                  <w:rStyle w:val="InternetLink"/>
                  <w:rFonts w:ascii="Times New Roman" w:hAnsi="Times New Roman"/>
                  <w:b w:val="false"/>
                  <w:color w:val="0000FF"/>
                  <w:sz w:val="20"/>
                  <w:u w:val="single"/>
                </w:rPr>
                <w:t>Arcturus Therapeutics Holdings Inc. Severance Policy for Executives. Incorporated by reference to Exhibit 10.1 to Current Report on Form 8-K filed on April 26, 2021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10.21</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1">
              <w:r>
                <w:rPr>
                  <w:rStyle w:val="InternetLink"/>
                  <w:rFonts w:ascii="Times New Roman" w:hAnsi="Times New Roman"/>
                  <w:b w:val="false"/>
                  <w:color w:val="0000FF"/>
                  <w:sz w:val="20"/>
                  <w:u w:val="single"/>
                </w:rPr>
                <w:t>Lease, by and between Arcturus Therapeutics, Inc. and TPSC IX, LLC, dated September 29, 2021. Incorporated by reference to Exhibit 10.35 to Form 10-Q filed on November 9, 2021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10.22</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2">
              <w:r>
                <w:rPr>
                  <w:rStyle w:val="InternetLink"/>
                  <w:rFonts w:ascii="Times New Roman" w:hAnsi="Times New Roman"/>
                  <w:b w:val="false"/>
                  <w:color w:val="0000FF"/>
                  <w:sz w:val="20"/>
                  <w:u w:val="single"/>
                </w:rPr>
                <w:t>Arcturus Therapeutics Holdings Inc. 2021 Inducement Equity Incentive Plan. Incorporated by reference to Exhibit 4.1 to the Registration Statement on Form S-8 filed on October 20, 2021 (File No. 333-260391).</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10.23</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3">
              <w:r>
                <w:rPr>
                  <w:rStyle w:val="InternetLink"/>
                  <w:rFonts w:ascii="Times New Roman" w:hAnsi="Times New Roman"/>
                  <w:b w:val="false"/>
                  <w:color w:val="0000FF"/>
                  <w:sz w:val="20"/>
                  <w:u w:val="single"/>
                </w:rPr>
                <w:t>Amended and Restated 2019 Omnibus Equity Incentive Plan, as amended. Incorporated by reference to Exhibit 4.3 to the Registration Statement on Form S-8 filed on June 30, 2022.</w:t>
              </w:r>
            </w:hyperlink>
            <w:hyperlink r:id="rId34">
              <w:r>
                <w:rPr>
                  <w:rStyle w:val="InternetLink"/>
                  <w:rFonts w:ascii="Times New Roman" w:hAnsi="Times New Roman"/>
                  <w:color w:val="0000FF"/>
                  <w:sz w:val="20"/>
                </w:rPr>
                <w:t xml:space="preserve"> </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10.24**</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5">
              <w:r>
                <w:rPr>
                  <w:rStyle w:val="InternetLink"/>
                  <w:rFonts w:ascii="Times New Roman" w:hAnsi="Times New Roman"/>
                  <w:b w:val="false"/>
                  <w:color w:val="0000FF"/>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36">
              <w:r>
                <w:rPr>
                  <w:rStyle w:val="InternetLink"/>
                  <w:rFonts w:ascii="Times New Roman" w:hAnsi="Times New Roman"/>
                  <w:color w:val="0000FF"/>
                  <w:sz w:val="20"/>
                </w:rPr>
                <w:t xml:space="preserve"> </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10.25**</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7">
              <w:r>
                <w:rPr>
                  <w:rStyle w:val="InternetLink"/>
                  <w:rFonts w:ascii="Times New Roman" w:hAnsi="Times New Roman"/>
                  <w:b w:val="false"/>
                  <w:color w:val="0000FF"/>
                  <w:sz w:val="20"/>
                  <w:u w:val="single"/>
                </w:rPr>
                <w:t>Study Support Agreement, dated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10.26**</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8">
              <w:r>
                <w:rPr>
                  <w:rStyle w:val="InternetLink"/>
                  <w:rFonts w:ascii="Times New Roman" w:hAnsi="Times New Roman"/>
                  <w:b w:val="false"/>
                  <w:color w:val="0000FF"/>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10.27**</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39">
              <w:r>
                <w:rPr>
                  <w:rStyle w:val="InternetLink"/>
                  <w:rFonts w:ascii="Times New Roman" w:hAnsi="Times New Roman"/>
                  <w:b w:val="false"/>
                  <w:color w:val="0000FF"/>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40">
              <w:r>
                <w:rPr>
                  <w:rStyle w:val="InternetLink"/>
                  <w:rFonts w:ascii="Times New Roman" w:hAnsi="Times New Roman"/>
                  <w:color w:val="0000FF"/>
                  <w:sz w:val="20"/>
                </w:rPr>
                <w:t xml:space="preserve"> </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10.28**</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41">
              <w:r>
                <w:rPr>
                  <w:rStyle w:val="InternetLink"/>
                  <w:rFonts w:ascii="Times New Roman" w:hAnsi="Times New Roman"/>
                  <w:b w:val="false"/>
                  <w:color w:val="0000FF"/>
                  <w:sz w:val="20"/>
                  <w:u w:val="single"/>
                </w:rPr>
                <w:t>Credit Agreement dated April 21, 2023, by and between Arcturus Therapeutics, Inc. and Wells Fargo Bank, National Association. Incorporated by reference to Exhibit 10.28 to Quarterly Report on Form 10-Q filed on May 9, 2023 (File No. 001-38942).</w:t>
              </w:r>
            </w:hyperlink>
            <w:hyperlink r:id="rId42">
              <w:r>
                <w:rPr>
                  <w:rStyle w:val="InternetLink"/>
                  <w:rFonts w:ascii="Times New Roman" w:hAnsi="Times New Roman"/>
                  <w:color w:val="0000FF"/>
                  <w:sz w:val="20"/>
                </w:rPr>
                <w:t xml:space="preserve"> </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10.29**</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43">
              <w:r>
                <w:rPr>
                  <w:rStyle w:val="InternetLink"/>
                  <w:rFonts w:ascii="Times New Roman" w:hAnsi="Times New Roman"/>
                  <w:b w:val="false"/>
                  <w:color w:val="0000FF"/>
                  <w:sz w:val="20"/>
                  <w:u w:val="single"/>
                </w:rPr>
                <w:t>Security Agreement dated April 21, 2023, by and between Arcturus Therapeutics, Inc. and Wells Fargo Bank, National Association. Incorporated by reference to Exhibit 10.29 to Quarterly Report on Form 10-Q filed on May 9, 2023 (File No. 001-38942).</w:t>
              </w:r>
            </w:hyperlink>
            <w:hyperlink r:id="rId44">
              <w:r>
                <w:rPr>
                  <w:rStyle w:val="InternetLink"/>
                  <w:rFonts w:ascii="Times New Roman" w:hAnsi="Times New Roman"/>
                  <w:color w:val="0000FF"/>
                  <w:sz w:val="20"/>
                </w:rPr>
                <w:t xml:space="preserve"> </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10.30**</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r:id="rId45">
              <w:r>
                <w:rPr>
                  <w:rStyle w:val="InternetLink"/>
                  <w:rFonts w:ascii="Times New Roman" w:hAnsi="Times New Roman"/>
                  <w:b w:val="false"/>
                  <w:color w:val="0000FF"/>
                  <w:sz w:val="20"/>
                  <w:u w:val="single"/>
                </w:rPr>
                <w:t>Revolving Line of Credit Note dated April 21, 2023, by and between Arcturus Therapeutics, Inc. and Wells Fargo Bank, National Association. Incorporated by reference to Exhibit 10.30 to Quarterly Report on Form 10-Q filed on May 9, 2023 (File No. 001-38942).</w:t>
              </w:r>
            </w:hyperlink>
            <w:hyperlink r:id="rId46">
              <w:r>
                <w:rPr>
                  <w:rStyle w:val="InternetLink"/>
                  <w:rFonts w:ascii="Times New Roman" w:hAnsi="Times New Roman"/>
                  <w:color w:val="0000FF"/>
                  <w:sz w:val="20"/>
                </w:rPr>
                <w:t xml:space="preserve"> </w:t>
              </w:r>
            </w:hyperlink>
          </w:p>
        </w:tc>
      </w:tr>
      <w:tr>
        <w:trPr/>
        <w:tc>
          <w:tcPr>
            <w:tcW w:w="6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r>
              <w:rPr/>
              <w:t> </w:t>
            </w:r>
          </w:p>
        </w:tc>
      </w:tr>
      <w:tr>
        <w:trPr/>
        <w:tc>
          <w:tcPr>
            <w:tcW w:w="69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10.31** *</w:t>
            </w:r>
          </w:p>
        </w:tc>
        <w:tc>
          <w:tcPr>
            <w:tcW w:w="146" w:type="dxa"/>
            <w:tcBorders/>
            <w:vAlign w:val="center"/>
          </w:tcPr>
          <w:p>
            <w:pPr>
              <w:pStyle w:val="TableContents"/>
              <w:bidi w:val="0"/>
              <w:spacing w:before="0" w:after="283"/>
              <w:jc w:val="left"/>
              <w:rPr/>
            </w:pPr>
            <w:r>
              <w:rPr/>
              <w:t> </w:t>
            </w:r>
          </w:p>
        </w:tc>
        <w:tc>
          <w:tcPr>
            <w:tcW w:w="9369" w:type="dxa"/>
            <w:tcBorders/>
            <w:vAlign w:val="center"/>
          </w:tcPr>
          <w:p>
            <w:pPr>
              <w:pStyle w:val="TableContents"/>
              <w:bidi w:val="0"/>
              <w:spacing w:before="0" w:after="283"/>
              <w:jc w:val="left"/>
              <w:rPr/>
            </w:pPr>
            <w:hyperlink w:anchor="arct-ex10_31.htm">
              <w:r>
                <w:rPr>
                  <w:rStyle w:val="InternetLink"/>
                  <w:rFonts w:ascii="Times New Roman" w:hAnsi="Times New Roman"/>
                  <w:b w:val="false"/>
                  <w:color w:val="0000FF"/>
                  <w:sz w:val="20"/>
                  <w:u w:val="single"/>
                </w:rPr>
                <w:t>Amendment Number One to Collaboration and License Agreement, dated August 3, 2023, by and between Arcturus Therapeutics, Inc. and Seqirus Inc.</w:t>
              </w:r>
            </w:hyperlink>
            <w:hyperlink w:anchor="arct-ex10_31.htm">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10.32**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hyperlink w:anchor="arct-ex10_32.htm">
              <w:r>
                <w:rPr>
                  <w:rStyle w:val="InternetLink"/>
                  <w:rFonts w:ascii="Times New Roman" w:hAnsi="Times New Roman"/>
                  <w:b w:val="false"/>
                  <w:color w:val="0000FF"/>
                  <w:sz w:val="20"/>
                  <w:u w:val="single"/>
                </w:rPr>
                <w:t>Amendment No. 4 to Letter Agreement, dated September 25, 2023, by and between Arcturus Therapeutics, Inc. and the Cystic Fibrosis Foundation.</w:t>
              </w:r>
            </w:hyperlink>
            <w:hyperlink w:anchor="arct-ex10_32.htm">
              <w:r>
                <w:rPr>
                  <w:rStyle w:val="InternetLink"/>
                  <w:rFonts w:ascii="Times New Roman" w:hAnsi="Times New Roman"/>
                  <w:color w:val="0000FF"/>
                  <w:sz w:val="20"/>
                </w:rPr>
                <w:t xml:space="preserve"> </w:t>
              </w:r>
            </w:hyperlink>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hyperlink w:anchor="arct-ex31_1.htm">
              <w:r>
                <w:rPr>
                  <w:rStyle w:val="InternetLink"/>
                  <w:rFonts w:ascii="Times New Roman" w:hAnsi="Times New Roman"/>
                  <w:b w:val="false"/>
                  <w:color w:val="0000FF"/>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color w:val="0000FF"/>
                  <w:sz w:val="20"/>
                </w:rPr>
                <w:t xml:space="preserve"> </w:t>
              </w:r>
            </w:hyperlink>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hyperlink w:anchor="arct-ex31_2.htm">
              <w:r>
                <w:rPr>
                  <w:rStyle w:val="InternetLink"/>
                  <w:rFonts w:ascii="Times New Roman" w:hAnsi="Times New Roman"/>
                  <w:b w:val="false"/>
                  <w:color w:val="0000FF"/>
                  <w:sz w:val="20"/>
                  <w:u w:val="single"/>
                </w:rPr>
                <w:t>Certification by Principal Financial Officer pursuant to Rule 13a-14(a) or 15d-14(a) under the Securities Exchange Act of 1934, as amended.</w:t>
              </w:r>
            </w:hyperlink>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hyperlink w:anchor="arct-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color w:val="0000FF"/>
                  <w:sz w:val="20"/>
                </w:rPr>
                <w:t xml:space="preserve"> </w:t>
              </w:r>
            </w:hyperlink>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hyperlink w:anchor="arct-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color w:val="0000FF"/>
                  <w:sz w:val="20"/>
                </w:rPr>
                <w:t xml:space="preserve"> </w:t>
              </w:r>
            </w:hyperlink>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following financial statements and footnotes from the Registrant’s Quarterly Report on Form 10-Q for the fiscal quarter ended September 30, 2023 formatted in Inline Extensible Business Reporting Language (Inline XBRL):</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 Inline XBRL Instance Document - the instance document does not appear in the Interactive Data File because its XBRL tags are embedded within the Inline XBRL document</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 Inline XBRL Taxonomy Extension Schema</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 Inline XBRL Taxonomy Extension Calculation Linkbase</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 Inline XBRL Taxonomy Extension Definition Linkbase</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 Inline XBRL Taxonomy Extension Label Linkbase</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 Inline XBRL Taxonomy Extension Presentation Linkbase</w:t>
            </w:r>
          </w:p>
        </w:tc>
      </w:tr>
      <w:tr>
        <w:trPr/>
        <w:tc>
          <w:tcPr>
            <w:tcW w:w="7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Cover Page Interactive Data File (embedded within the Inline XBRL document)</w:t>
            </w:r>
            <w:r>
              <w:rPr>
                <w:rFonts w:ascii="Times New Roman" w:hAnsi="Times New Roman"/>
                <w:color w:val="000000"/>
                <w:sz w:val="20"/>
              </w:rPr>
              <w:t xml:space="preserve"> </w:t>
            </w:r>
          </w:p>
        </w:tc>
      </w:tr>
      <w:tr>
        <w:trPr/>
        <w:tc>
          <w:tcPr>
            <w:tcW w:w="7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8" w:type="dxa"/>
            <w:tcBorders/>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Certain confidential portions of this exhibit have been redacted from the publicly filed document because such portions are (i) not material and (ii) would be competitively harmful of publicly disclosed.</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Management compensatory plan, contract or arrangement.</w:t>
      </w:r>
    </w:p>
    <w:p>
      <w:pPr>
        <w:pStyle w:val="TextBody"/>
        <w:bidi w:val="0"/>
        <w:spacing w:before="4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
      <w:bookmarkEnd w:id="23"/>
      <w:r>
        <w:rPr>
          <w:rFonts w:ascii="Times New Roman" w:hAnsi="Times New Roman"/>
          <w:b/>
          <w:color w:val="000000"/>
          <w:sz w:val="20"/>
        </w:rPr>
        <w:t>SIGNATURE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96" w:type="dxa"/>
        <w:jc w:val="left"/>
        <w:tblInd w:w="0" w:type="dxa"/>
        <w:tblLayout w:type="fixed"/>
        <w:tblCellMar>
          <w:top w:w="28" w:type="dxa"/>
          <w:left w:w="28" w:type="dxa"/>
          <w:bottom w:w="28" w:type="dxa"/>
          <w:right w:w="28" w:type="dxa"/>
        </w:tblCellMar>
      </w:tblPr>
      <w:tblGrid>
        <w:gridCol w:w="2206"/>
        <w:gridCol w:w="786"/>
        <w:gridCol w:w="3504"/>
      </w:tblGrid>
      <w:tr>
        <w:trPr/>
        <w:tc>
          <w:tcPr>
            <w:tcW w:w="22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4290"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ARCTURUS THERAPEUTICS HOLDINGS INC.</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4290" w:type="dxa"/>
            <w:gridSpan w:val="2"/>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786"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350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Andy Sassine</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Andy Sassine</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pPr>
            <w:r>
              <w:rPr/>
              <w:t> </w:t>
            </w:r>
          </w:p>
        </w:tc>
        <w:tc>
          <w:tcPr>
            <w:tcW w:w="350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both"/>
        <w:rPr/>
      </w:pPr>
      <w:bookmarkStart w:id="24" w:name="arct-ex10_31.htm"/>
      <w:bookmarkStart w:id="25" w:name="ksarctex10_31"/>
      <w:bookmarkEnd w:id="24"/>
      <w:bookmarkEnd w:id="25"/>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REDACTED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Certain identified information, indicated by [***], has been excluded from the exhibit because it is both (i) not material and (ii) would likely cause competitive harm if publicly disclosed.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Amendment number one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to COLLABORATION AND LICENSE AGREEMENT</w:t>
      </w:r>
    </w:p>
    <w:p>
      <w:pPr>
        <w:pStyle w:val="TextBody"/>
        <w:bidi w:val="0"/>
        <w:spacing w:before="0" w:after="240"/>
        <w:jc w:val="both"/>
        <w:rPr>
          <w:rFonts w:ascii="Times New Roman" w:hAnsi="Times New Roman"/>
          <w:sz w:val="20"/>
        </w:rPr>
      </w:pPr>
      <w:r>
        <w:rPr>
          <w:rFonts w:ascii="Times New Roman" w:hAnsi="Times New Roman"/>
          <w:b w:val="false"/>
          <w:color w:val="000000"/>
          <w:sz w:val="24"/>
        </w:rPr>
        <w:t>This Amendment Number One to Collaboration and License Agreement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b w:val="false"/>
          <w:color w:val="000000"/>
          <w:sz w:val="24"/>
        </w:rPr>
        <w:t>) is made and entered into on August 3, 2023 (the “</w:t>
      </w:r>
      <w:r>
        <w:rPr>
          <w:rFonts w:ascii="Times New Roman" w:hAnsi="Times New Roman"/>
          <w:b/>
          <w:color w:val="000000"/>
          <w:sz w:val="24"/>
        </w:rPr>
        <w:t>Amendment Effective Date</w:t>
      </w:r>
      <w:r>
        <w:rPr>
          <w:rFonts w:ascii="Times New Roman" w:hAnsi="Times New Roman"/>
          <w:color w:val="000000"/>
          <w:sz w:val="20"/>
        </w:rPr>
        <w:t>”</w:t>
      </w:r>
      <w:r>
        <w:rPr>
          <w:rFonts w:ascii="Times New Roman" w:hAnsi="Times New Roman"/>
          <w:b w:val="false"/>
          <w:color w:val="000000"/>
          <w:sz w:val="24"/>
        </w:rPr>
        <w:t>) and amends the Collaboration Agreement by and between Arcturus Therapeutics, Inc., a Delaware corporation (“</w:t>
      </w:r>
      <w:r>
        <w:rPr>
          <w:rFonts w:ascii="Times New Roman" w:hAnsi="Times New Roman"/>
          <w:b/>
          <w:color w:val="000000"/>
          <w:sz w:val="24"/>
        </w:rPr>
        <w:t>Arcturus</w:t>
      </w:r>
      <w:r>
        <w:rPr>
          <w:rFonts w:ascii="Times New Roman" w:hAnsi="Times New Roman"/>
          <w:color w:val="000000"/>
          <w:sz w:val="20"/>
        </w:rPr>
        <w:t>”</w:t>
      </w:r>
      <w:r>
        <w:rPr>
          <w:rFonts w:ascii="Times New Roman" w:hAnsi="Times New Roman"/>
          <w:b w:val="false"/>
          <w:color w:val="000000"/>
          <w:sz w:val="24"/>
        </w:rPr>
        <w:t>), and Seqirus Inc., a Delaware corporation (“</w:t>
      </w:r>
      <w:r>
        <w:rPr>
          <w:rFonts w:ascii="Times New Roman" w:hAnsi="Times New Roman"/>
          <w:b/>
          <w:color w:val="000000"/>
          <w:sz w:val="24"/>
        </w:rPr>
        <w:t>Seqirus</w:t>
      </w:r>
      <w:r>
        <w:rPr>
          <w:rFonts w:ascii="Times New Roman" w:hAnsi="Times New Roman"/>
          <w:color w:val="000000"/>
          <w:sz w:val="20"/>
        </w:rPr>
        <w:t>”</w:t>
      </w:r>
      <w:r>
        <w:rPr>
          <w:rFonts w:ascii="Times New Roman" w:hAnsi="Times New Roman"/>
          <w:b w:val="false"/>
          <w:color w:val="000000"/>
          <w:sz w:val="24"/>
        </w:rPr>
        <w:t>). Arcturus and Seqirus are sometimes referred to herein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b w:val="false"/>
          <w:color w:val="000000"/>
          <w:sz w:val="24"/>
        </w:rPr>
        <w:t>and together as the “</w:t>
      </w:r>
      <w:r>
        <w:rPr>
          <w:rFonts w:ascii="Times New Roman" w:hAnsi="Times New Roman"/>
          <w:b/>
          <w:color w:val="000000"/>
          <w:sz w:val="24"/>
        </w:rPr>
        <w:t>Parties</w:t>
      </w:r>
      <w:r>
        <w:rPr>
          <w:rFonts w:ascii="Times New Roman" w:hAnsi="Times New Roman"/>
          <w:b w:val="false"/>
          <w:color w:val="000000"/>
          <w:sz w:val="24"/>
        </w:rPr>
        <w:t>.” Capitalized terms used in this Amendment that are not defined herein shall have the meanings ascribed to such terms in the</w:t>
      </w:r>
      <w:r>
        <w:rPr>
          <w:rFonts w:ascii="Times New Roman" w:hAnsi="Times New Roman"/>
          <w:caps/>
          <w:color w:val="000000"/>
          <w:sz w:val="20"/>
        </w:rPr>
        <w:t xml:space="preserve"> </w:t>
      </w:r>
      <w:r>
        <w:rPr>
          <w:rFonts w:ascii="Times New Roman" w:hAnsi="Times New Roman"/>
          <w:b w:val="false"/>
          <w:color w:val="000000"/>
          <w:sz w:val="24"/>
        </w:rPr>
        <w:t>Collaboration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Arcturus and Seqirus are parties to that certain Collaboration and License Agreement (“</w:t>
      </w:r>
      <w:r>
        <w:rPr>
          <w:rFonts w:ascii="Times New Roman" w:hAnsi="Times New Roman"/>
          <w:b/>
          <w:color w:val="000000"/>
          <w:sz w:val="24"/>
        </w:rPr>
        <w:t>Collaboration Agreement</w:t>
      </w:r>
      <w:r>
        <w:rPr>
          <w:rFonts w:ascii="Times New Roman" w:hAnsi="Times New Roman"/>
          <w:color w:val="000000"/>
          <w:sz w:val="20"/>
        </w:rPr>
        <w:t>”</w:t>
      </w:r>
      <w:r>
        <w:rPr>
          <w:rFonts w:ascii="Times New Roman" w:hAnsi="Times New Roman"/>
          <w:b w:val="false"/>
          <w:color w:val="000000"/>
          <w:sz w:val="24"/>
        </w:rPr>
        <w:t>) executed on November 1, 2022 and with an effective date of December 8, 2022 (the “</w:t>
      </w:r>
      <w:r>
        <w:rPr>
          <w:rFonts w:ascii="Times New Roman" w:hAnsi="Times New Roman"/>
          <w:b/>
          <w:color w:val="000000"/>
          <w:sz w:val="24"/>
        </w:rPr>
        <w:t>Collaboration Agreement Effective Date</w:t>
      </w:r>
      <w:r>
        <w:rPr>
          <w:rFonts w:ascii="Times New Roman" w:hAnsi="Times New Roman"/>
          <w:color w:val="000000"/>
          <w:sz w:val="20"/>
        </w:rPr>
        <w:t>”</w:t>
      </w:r>
      <w:r>
        <w:rPr>
          <w:rFonts w:ascii="Times New Roman" w:hAnsi="Times New Roman"/>
          <w:b w:val="false"/>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b w:val="false"/>
          <w:color w:val="000000"/>
          <w:sz w:val="24"/>
        </w:rPr>
        <w:t>, the Parties desire that Arcturus sponsor and have conducted a Phase 1 clinical study in the Influenza Field as further described herein, and the Parties desire to set forth payment obligations of Seqirus in connection therewith;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b w:val="false"/>
          <w:color w:val="000000"/>
          <w:sz w:val="24"/>
        </w:rPr>
        <w:t>, in consideration of the premises and the mutual promises and conditions hereinafter set forth, and other good and valuable consideration, the receipt and sufficiency of which are hereby acknowledged, the Parties, intending to be legally bound, do hereby agree as follows:</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40"/>
        <w:jc w:val="left"/>
        <w:rPr/>
      </w:pPr>
      <w:r>
        <w:rPr>
          <w:rFonts w:ascii="Times New Roman" w:hAnsi="Times New Roman"/>
          <w:b/>
          <w:caps/>
          <w:color w:val="000000"/>
          <w:sz w:val="24"/>
        </w:rPr>
        <w:t>D</w:t>
      </w:r>
      <w:r>
        <w:rPr>
          <w:rFonts w:ascii="Times New Roman" w:hAnsi="Times New Roman"/>
          <w:b/>
          <w:color w:val="000000"/>
          <w:sz w:val="24"/>
        </w:rPr>
        <w:t>efinitions</w:t>
      </w:r>
      <w:r>
        <w:rPr>
          <w:rFonts w:ascii="Times New Roman" w:hAnsi="Times New Roman"/>
          <w:b w:val="false"/>
          <w:color w:val="000000"/>
          <w:sz w:val="24"/>
        </w:rPr>
        <w:t xml:space="preserve">. The following definitions are hereby added to Article 1 of the Collaboration Agreement: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1.1</w:t>
      </w:r>
    </w:p>
    <w:p>
      <w:pPr>
        <w:pStyle w:val="TextBody"/>
        <w:bidi w:val="0"/>
        <w:spacing w:before="0" w:after="240"/>
        <w:jc w:val="both"/>
        <w:rPr/>
      </w:pPr>
      <w:r>
        <w:rPr>
          <w:color w:val="000000"/>
        </w:rPr>
        <w:t>“</w:t>
      </w:r>
      <w:r>
        <w:rPr>
          <w:rFonts w:ascii="Times New Roman" w:hAnsi="Times New Roman"/>
          <w:b/>
          <w:color w:val="000000"/>
          <w:sz w:val="24"/>
        </w:rPr>
        <w:t>Influenza Phase I Development Plan</w:t>
      </w:r>
      <w:r>
        <w:rPr>
          <w:color w:val="000000"/>
        </w:rPr>
        <w:t xml:space="preserve">” </w:t>
      </w:r>
      <w:r>
        <w:rPr>
          <w:rFonts w:ascii="Times New Roman" w:hAnsi="Times New Roman"/>
          <w:b w:val="false"/>
          <w:color w:val="000000"/>
          <w:sz w:val="24"/>
        </w:rPr>
        <w:t xml:space="preserve">means a development plan setting forth in reasonable detail specific Development activities, to be performed with respect to the Vaccine Candidates or Vaccine Products in the Influenza Field in connection with Phase I Study(ies), [***], the [***], the [***], and the [***] for [***].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1.2</w:t>
      </w:r>
    </w:p>
    <w:p>
      <w:pPr>
        <w:pStyle w:val="TextBody"/>
        <w:bidi w:val="0"/>
        <w:spacing w:before="0" w:after="240"/>
        <w:jc w:val="both"/>
        <w:rPr/>
      </w:pPr>
      <w:r>
        <w:rPr>
          <w:color w:val="000000"/>
        </w:rPr>
        <w:t>“</w:t>
      </w:r>
      <w:r>
        <w:rPr>
          <w:rFonts w:ascii="Times New Roman" w:hAnsi="Times New Roman"/>
          <w:b/>
          <w:color w:val="000000"/>
          <w:sz w:val="24"/>
        </w:rPr>
        <w:t>Influenza Phase I Study</w:t>
      </w:r>
      <w:r>
        <w:rPr>
          <w:color w:val="000000"/>
        </w:rPr>
        <w:t xml:space="preserve">” </w:t>
      </w:r>
      <w:r>
        <w:rPr>
          <w:rFonts w:ascii="Times New Roman" w:hAnsi="Times New Roman"/>
          <w:b w:val="false"/>
          <w:color w:val="000000"/>
          <w:sz w:val="24"/>
        </w:rPr>
        <w:t>means the Phase I Study [***] described in the Influenza Phase I Study Protocol. The Influenza Phase I Study may be modified only by mutual written agreement of the Parties.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1.3</w:t>
      </w:r>
    </w:p>
    <w:p>
      <w:pPr>
        <w:pStyle w:val="TextBody"/>
        <w:bidi w:val="0"/>
        <w:spacing w:before="0" w:after="240"/>
        <w:jc w:val="both"/>
        <w:rPr/>
      </w:pPr>
      <w:r>
        <w:rPr>
          <w:color w:val="000000"/>
        </w:rPr>
        <w:t>“</w:t>
      </w:r>
      <w:r>
        <w:rPr>
          <w:rFonts w:ascii="Times New Roman" w:hAnsi="Times New Roman"/>
          <w:b/>
          <w:color w:val="000000"/>
          <w:sz w:val="24"/>
        </w:rPr>
        <w:t>Influenza Phase I Study Activities</w:t>
      </w:r>
      <w:r>
        <w:rPr>
          <w:color w:val="000000"/>
        </w:rPr>
        <w:t xml:space="preserve">” </w:t>
      </w:r>
      <w:r>
        <w:rPr>
          <w:rFonts w:ascii="Times New Roman" w:hAnsi="Times New Roman"/>
          <w:b w:val="false"/>
          <w:color w:val="000000"/>
          <w:sz w:val="24"/>
        </w:rPr>
        <w:t>has the meaning set forth in Section 3.2.7 of this Agreement.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1.4</w:t>
      </w:r>
    </w:p>
    <w:p>
      <w:pPr>
        <w:pStyle w:val="TextBody"/>
        <w:bidi w:val="0"/>
        <w:spacing w:before="0" w:after="240"/>
        <w:jc w:val="both"/>
        <w:rPr/>
      </w:pPr>
      <w:r>
        <w:rPr>
          <w:color w:val="000000"/>
        </w:rPr>
        <w:t>“</w:t>
      </w:r>
      <w:r>
        <w:rPr>
          <w:rFonts w:ascii="Times New Roman" w:hAnsi="Times New Roman"/>
          <w:b/>
          <w:color w:val="000000"/>
          <w:sz w:val="24"/>
        </w:rPr>
        <w:t>Influenza Phase I Study Budget</w:t>
      </w:r>
      <w:r>
        <w:rPr>
          <w:color w:val="000000"/>
        </w:rPr>
        <w:t xml:space="preserve">” </w:t>
      </w:r>
      <w:r>
        <w:rPr>
          <w:rFonts w:ascii="Times New Roman" w:hAnsi="Times New Roman"/>
          <w:b w:val="false"/>
          <w:color w:val="000000"/>
          <w:sz w:val="24"/>
        </w:rPr>
        <w:t xml:space="preserve">means the [***]. </w:t>
      </w:r>
    </w:p>
    <w:p>
      <w:pPr>
        <w:pStyle w:val="TextBody"/>
        <w:bidi w:val="0"/>
        <w:jc w:val="left"/>
        <w:rPr/>
      </w:pPr>
      <w:r>
        <w:rPr/>
        <w:t> </w:t>
      </w:r>
    </w:p>
    <w:tbl>
      <w:tblPr>
        <w:tblW w:w="8012" w:type="dxa"/>
        <w:jc w:val="left"/>
        <w:tblInd w:w="0" w:type="dxa"/>
        <w:tblLayout w:type="fixed"/>
        <w:tblCellMar>
          <w:top w:w="28" w:type="dxa"/>
          <w:left w:w="28" w:type="dxa"/>
          <w:bottom w:w="28" w:type="dxa"/>
          <w:right w:w="28" w:type="dxa"/>
        </w:tblCellMar>
      </w:tblPr>
      <w:tblGrid>
        <w:gridCol w:w="7756"/>
        <w:gridCol w:w="256"/>
      </w:tblGrid>
      <w:tr>
        <w:trPr/>
        <w:tc>
          <w:tcPr>
            <w:tcW w:w="77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756" w:type="dxa"/>
            <w:tcBorders/>
            <w:tcMar>
              <w:top w:w="0" w:type="dxa"/>
              <w:left w:w="0" w:type="dxa"/>
              <w:bottom w:w="0" w:type="dxa"/>
              <w:right w:w="0" w:type="dxa"/>
            </w:tcMar>
            <w:vAlign w:val="center"/>
          </w:tcPr>
          <w:p>
            <w:pPr>
              <w:pStyle w:val="TableContents"/>
              <w:bidi w:val="0"/>
              <w:jc w:val="left"/>
              <w:rPr>
                <w:rFonts w:ascii="Arial" w:hAnsi="Arial"/>
                <w:b w:val="false"/>
                <w:color w:val="000000"/>
                <w:sz w:val="16"/>
              </w:rPr>
            </w:pPr>
            <w:r>
              <w:rPr>
                <w:rFonts w:ascii="Arial" w:hAnsi="Arial"/>
                <w:b w:val="false"/>
                <w:color w:val="000000"/>
                <w:sz w:val="16"/>
              </w:rPr>
              <w:t>US_ACTIVE\122023978\V-6</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#406019329v15&lt;NA_DMS&gt; - Seqirus - Arcturus Collaboration and License Agreement (9-24)</w:t>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1.5</w:t>
      </w:r>
    </w:p>
    <w:p>
      <w:pPr>
        <w:pStyle w:val="TextBody"/>
        <w:bidi w:val="0"/>
        <w:spacing w:before="0" w:after="240"/>
        <w:jc w:val="both"/>
        <w:rPr/>
      </w:pPr>
      <w:r>
        <w:rPr>
          <w:color w:val="000000"/>
        </w:rPr>
        <w:t>“</w:t>
      </w:r>
      <w:r>
        <w:rPr>
          <w:rFonts w:ascii="Times New Roman" w:hAnsi="Times New Roman"/>
          <w:b/>
          <w:color w:val="000000"/>
          <w:sz w:val="24"/>
        </w:rPr>
        <w:t>Influenza Phase I Study Protocol</w:t>
      </w:r>
      <w:r>
        <w:rPr>
          <w:color w:val="000000"/>
        </w:rPr>
        <w:t xml:space="preserve">” </w:t>
      </w:r>
      <w:r>
        <w:rPr>
          <w:rFonts w:ascii="Times New Roman" w:hAnsi="Times New Roman"/>
          <w:b w:val="false"/>
          <w:color w:val="000000"/>
          <w:sz w:val="24"/>
        </w:rPr>
        <w:t xml:space="preserve">means the [***].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1.6</w:t>
      </w:r>
    </w:p>
    <w:p>
      <w:pPr>
        <w:pStyle w:val="TextBody"/>
        <w:bidi w:val="0"/>
        <w:spacing w:before="0" w:after="240"/>
        <w:jc w:val="both"/>
        <w:rPr/>
      </w:pPr>
      <w:r>
        <w:rPr>
          <w:color w:val="000000"/>
        </w:rPr>
        <w:t>“</w:t>
      </w:r>
      <w:r>
        <w:rPr>
          <w:rFonts w:ascii="Times New Roman" w:hAnsi="Times New Roman"/>
          <w:b/>
          <w:color w:val="000000"/>
          <w:sz w:val="24"/>
        </w:rPr>
        <w:t>Start Up Agreement</w:t>
      </w:r>
      <w:r>
        <w:rPr>
          <w:color w:val="000000"/>
        </w:rPr>
        <w:t xml:space="preserve">” </w:t>
      </w:r>
      <w:r>
        <w:rPr>
          <w:rFonts w:ascii="Times New Roman" w:hAnsi="Times New Roman"/>
          <w:b w:val="false"/>
          <w:color w:val="000000"/>
          <w:sz w:val="24"/>
        </w:rPr>
        <w:t>means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40"/>
        <w:jc w:val="both"/>
        <w:rPr/>
      </w:pPr>
      <w:r>
        <w:rPr>
          <w:rFonts w:ascii="Times New Roman" w:hAnsi="Times New Roman"/>
          <w:b/>
          <w:color w:val="000000"/>
          <w:sz w:val="24"/>
        </w:rPr>
        <w:t xml:space="preserve">JDC Specific Responsibilities. </w:t>
      </w:r>
      <w:r>
        <w:rPr>
          <w:rFonts w:ascii="Times New Roman" w:hAnsi="Times New Roman"/>
          <w:b w:val="false"/>
          <w:color w:val="000000"/>
          <w:sz w:val="24"/>
        </w:rPr>
        <w:t>The [***] is hereby added to [***] of the Collaboration Agreement after [***] , and [***] is hereby added to [***] of the Collaboration Agreement after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40"/>
        <w:jc w:val="both"/>
        <w:rPr/>
      </w:pPr>
      <w:r>
        <w:rPr>
          <w:rFonts w:ascii="Times New Roman" w:hAnsi="Times New Roman"/>
          <w:b/>
          <w:color w:val="000000"/>
          <w:sz w:val="24"/>
        </w:rPr>
        <w:t xml:space="preserve">Influenza Phase I Study Activities. </w:t>
      </w:r>
      <w:r>
        <w:rPr>
          <w:rFonts w:ascii="Times New Roman" w:hAnsi="Times New Roman"/>
          <w:b w:val="false"/>
          <w:color w:val="000000"/>
          <w:sz w:val="24"/>
        </w:rPr>
        <w:t>The following section is hereby added as new Section 3.2.7 of the Collaboration Agreement:</w:t>
      </w:r>
    </w:p>
    <w:p>
      <w:pPr>
        <w:pStyle w:val="TextBody"/>
        <w:bidi w:val="0"/>
        <w:spacing w:before="240" w:after="240"/>
        <w:jc w:val="both"/>
        <w:rPr>
          <w:rFonts w:ascii="Times New Roman" w:hAnsi="Times New Roman"/>
          <w:sz w:val="20"/>
        </w:rPr>
      </w:pPr>
      <w:r>
        <w:rPr>
          <w:rFonts w:ascii="Times New Roman" w:hAnsi="Times New Roman"/>
          <w:b/>
          <w:color w:val="000000"/>
          <w:sz w:val="24"/>
        </w:rPr>
        <w:t>3.2.7. Influenza Field Phase 1 Study.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b w:val="false"/>
          <w:color w:val="000000"/>
          <w:sz w:val="24"/>
        </w:rPr>
        <w:t>(i) Arcturus will use Commercially Reasonable Efforts to act as the sponsor of the Influenza Phase I Study and to undertake additional related activities assigned to Arcturus as outlined in the Influenza Phase I Development Plan (collectively, the “</w:t>
      </w:r>
      <w:r>
        <w:rPr>
          <w:rFonts w:ascii="Times New Roman" w:hAnsi="Times New Roman"/>
          <w:b/>
          <w:color w:val="000000"/>
          <w:sz w:val="24"/>
        </w:rPr>
        <w:t>Influenza Phase I Study Activities</w:t>
      </w:r>
      <w:r>
        <w:rPr>
          <w:rFonts w:ascii="Times New Roman" w:hAnsi="Times New Roman"/>
          <w:color w:val="000000"/>
          <w:sz w:val="20"/>
        </w:rPr>
        <w:t>”</w:t>
      </w:r>
      <w:r>
        <w:rPr>
          <w:rFonts w:ascii="Times New Roman" w:hAnsi="Times New Roman"/>
          <w:b w:val="false"/>
          <w:color w:val="000000"/>
          <w:sz w:val="24"/>
        </w:rPr>
        <w:t>). Influenza Phase I Study Activities include [***], [***], [***], and [***] pre-clinical and [***] do not include (i) [***], (ii) [***], [***].</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b w:val="false"/>
          <w:color w:val="000000"/>
          <w:sz w:val="24"/>
        </w:rPr>
        <w:t>(ii) The Parties shall review and mutually agree on any updates to the [***] . The JDC shall review [***] covering [***] at least [***] for the purpose of considering appropriate amendments thereto. In addition, either Party, through its representatives on the JDC, may propose amendments to [***] for [***] at any time.</w:t>
      </w:r>
      <w:r>
        <w:rPr>
          <w:rFonts w:ascii="Times New Roman" w:hAnsi="Times New Roman"/>
          <w:color w:val="000000"/>
          <w:sz w:val="20"/>
        </w:rPr>
        <w:t xml:space="preserve"> </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0" w:after="240"/>
        <w:jc w:val="left"/>
        <w:rPr/>
      </w:pPr>
      <w:r>
        <w:rPr>
          <w:rFonts w:ascii="Times New Roman" w:hAnsi="Times New Roman"/>
          <w:b/>
          <w:color w:val="000000"/>
          <w:sz w:val="24"/>
        </w:rPr>
        <w:t xml:space="preserve">Development Milestone Payments for Influenza Phase I Study Activities. </w:t>
      </w:r>
      <w:r>
        <w:rPr>
          <w:rFonts w:ascii="Times New Roman" w:hAnsi="Times New Roman"/>
          <w:b w:val="false"/>
          <w:color w:val="000000"/>
          <w:sz w:val="24"/>
        </w:rPr>
        <w:t>The following is hereby added as new Sections 6.3.2(viii)-(x) of the Collaboration Agreement:</w:t>
      </w:r>
    </w:p>
    <w:p>
      <w:pPr>
        <w:pStyle w:val="TextBody"/>
        <w:bidi w:val="0"/>
        <w:spacing w:before="0" w:after="240"/>
        <w:jc w:val="both"/>
        <w:rPr>
          <w:rFonts w:ascii="Times New Roman" w:hAnsi="Times New Roman"/>
          <w:sz w:val="20"/>
        </w:rPr>
      </w:pPr>
      <w:r>
        <w:rPr>
          <w:rFonts w:ascii="Times New Roman" w:hAnsi="Times New Roman"/>
          <w:b w:val="false"/>
          <w:color w:val="000000"/>
          <w:sz w:val="24"/>
        </w:rPr>
        <w:t>6.3.2(viii) Upon execution of the Start Up Agreement, Seventeen Million Five Hundred Thousand Dollars ($17,500,000) (“</w:t>
      </w:r>
      <w:r>
        <w:rPr>
          <w:rFonts w:ascii="Times New Roman" w:hAnsi="Times New Roman"/>
          <w:b/>
          <w:color w:val="000000"/>
          <w:sz w:val="24"/>
        </w:rPr>
        <w:t>Payment One</w:t>
      </w:r>
      <w:r>
        <w:rPr>
          <w:rFonts w:ascii="Times New Roman" w:hAnsi="Times New Roman"/>
          <w:color w:val="000000"/>
          <w:sz w:val="20"/>
        </w:rPr>
        <w: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b w:val="false"/>
          <w:color w:val="000000"/>
          <w:sz w:val="24"/>
        </w:rPr>
        <w:t>6.3.2(ix) Upon [***], [***], or [***] (such amount, “</w:t>
      </w:r>
      <w:r>
        <w:rPr>
          <w:rFonts w:ascii="Times New Roman" w:hAnsi="Times New Roman"/>
          <w:b/>
          <w:color w:val="000000"/>
          <w:sz w:val="24"/>
        </w:rPr>
        <w:t>Payment Two</w:t>
      </w:r>
      <w:r>
        <w:rPr>
          <w:rFonts w:ascii="Times New Roman" w:hAnsi="Times New Roman"/>
          <w:color w:val="000000"/>
          <w:sz w:val="20"/>
        </w:rPr>
        <w:t>”</w:t>
      </w:r>
      <w:r>
        <w:rPr>
          <w:rFonts w:ascii="Times New Roman" w:hAnsi="Times New Roman"/>
          <w:b w:val="false"/>
          <w:color w:val="000000"/>
          <w:sz w:val="24"/>
        </w:rPr>
        <w:t>); provided for clarity that, for purposes of such calculation, [***] may apply any [***] permitted to be applied for up to and [***], subject to [***];</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4"/>
        </w:rPr>
        <w:t>6.3.2(x) Upon completion of [***], [***], or [***] (such amount, “</w:t>
      </w:r>
      <w:r>
        <w:rPr>
          <w:rFonts w:ascii="Times New Roman" w:hAnsi="Times New Roman"/>
          <w:b/>
          <w:color w:val="000000"/>
          <w:sz w:val="24"/>
        </w:rPr>
        <w:t>Payment Three</w:t>
      </w:r>
      <w:r>
        <w:rPr>
          <w:rFonts w:ascii="Times New Roman" w:hAnsi="Times New Roman"/>
          <w:color w:val="000000"/>
          <w:sz w:val="20"/>
        </w:rPr>
        <w:t>”</w:t>
      </w:r>
      <w:r>
        <w:rPr>
          <w:rFonts w:ascii="Times New Roman" w:hAnsi="Times New Roman"/>
          <w:b w:val="false"/>
          <w:color w:val="000000"/>
          <w:sz w:val="24"/>
        </w:rPr>
        <w:t>); and</w:t>
      </w:r>
    </w:p>
    <w:p>
      <w:pPr>
        <w:pStyle w:val="TextBody"/>
        <w:bidi w:val="0"/>
        <w:spacing w:before="0" w:after="240"/>
        <w:jc w:val="both"/>
        <w:rPr>
          <w:rFonts w:ascii="Times New Roman" w:hAnsi="Times New Roman"/>
          <w:sz w:val="20"/>
        </w:rPr>
      </w:pPr>
      <w:r>
        <w:rPr>
          <w:rFonts w:ascii="Times New Roman" w:hAnsi="Times New Roman"/>
          <w:b w:val="false"/>
          <w:color w:val="000000"/>
          <w:sz w:val="24"/>
        </w:rPr>
        <w:t>6.3.2(xi) Upon completion of [***], [***], or [***] (such amount, “</w:t>
      </w:r>
      <w:r>
        <w:rPr>
          <w:rFonts w:ascii="Times New Roman" w:hAnsi="Times New Roman"/>
          <w:b/>
          <w:color w:val="000000"/>
          <w:sz w:val="24"/>
        </w:rPr>
        <w:t>Payment Four</w:t>
      </w:r>
      <w:r>
        <w:rPr>
          <w:rFonts w:ascii="Times New Roman" w:hAnsi="Times New Roman"/>
          <w:color w:val="000000"/>
          <w:sz w:val="20"/>
        </w:rPr>
        <w:t>”</w:t>
      </w:r>
      <w:r>
        <w:rPr>
          <w:rFonts w:ascii="Times New Roman" w:hAnsi="Times New Roman"/>
          <w:b w:val="false"/>
          <w:color w:val="000000"/>
          <w:sz w:val="24"/>
        </w:rPr>
        <w:t>). If clause (ii) exceeds clause (i), then such amount shall be [***].</w:t>
      </w:r>
      <w:r>
        <w:rPr>
          <w:rFonts w:ascii="Times New Roman" w:hAnsi="Times New Roman"/>
          <w:color w:val="000000"/>
          <w:sz w:val="20"/>
        </w:rPr>
        <w:t xml:space="preserve">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40"/>
        <w:jc w:val="both"/>
        <w:rPr/>
      </w:pPr>
      <w:r>
        <w:rPr>
          <w:rFonts w:ascii="Times New Roman" w:hAnsi="Times New Roman"/>
          <w:b/>
          <w:color w:val="000000"/>
          <w:sz w:val="24"/>
        </w:rPr>
        <w:t xml:space="preserve">Start Up Agreement Milestone. </w:t>
      </w:r>
      <w:r>
        <w:rPr>
          <w:rFonts w:ascii="Times New Roman" w:hAnsi="Times New Roman"/>
          <w:b w:val="false"/>
          <w:color w:val="000000"/>
          <w:sz w:val="24"/>
        </w:rPr>
        <w:t xml:space="preserve">The Parties acknowledge that the milestone set forth in Section 6.3.2(viii) for Payment One was met on June 12, 2023, which was the date of execution of the Start Up Agreement. Seqirus shall make Payment One on or before August 11, 2023.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40"/>
        <w:jc w:val="both"/>
        <w:rPr/>
      </w:pPr>
      <w:r>
        <w:rPr>
          <w:rFonts w:ascii="Times New Roman" w:hAnsi="Times New Roman"/>
          <w:b/>
          <w:caps/>
          <w:color w:val="000000"/>
          <w:sz w:val="24"/>
        </w:rPr>
        <w:t>R&amp;</w:t>
      </w:r>
      <w:r>
        <w:rPr>
          <w:rFonts w:ascii="Times New Roman" w:hAnsi="Times New Roman"/>
          <w:b/>
          <w:color w:val="000000"/>
          <w:sz w:val="24"/>
        </w:rPr>
        <w:t>D Credit</w:t>
      </w:r>
      <w:r>
        <w:rPr>
          <w:rFonts w:ascii="Times New Roman" w:hAnsi="Times New Roman"/>
          <w:b w:val="false"/>
          <w:caps/>
          <w:color w:val="000000"/>
          <w:sz w:val="24"/>
        </w:rPr>
        <w:t>. S</w:t>
      </w:r>
      <w:r>
        <w:rPr>
          <w:rFonts w:ascii="Times New Roman" w:hAnsi="Times New Roman"/>
          <w:b w:val="false"/>
          <w:color w:val="000000"/>
          <w:sz w:val="24"/>
        </w:rPr>
        <w:t>ection 3.6.3 of the Collaboration Agreement is hereby amended and replaced in its entirety with the following:</w:t>
      </w:r>
    </w:p>
    <w:p>
      <w:pPr>
        <w:pStyle w:val="TextBody"/>
        <w:bidi w:val="0"/>
        <w:spacing w:before="0" w:after="240"/>
        <w:jc w:val="both"/>
        <w:rPr/>
      </w:pPr>
      <w:r>
        <w:rPr>
          <w:color w:val="000000"/>
        </w:rPr>
        <w:t>“</w:t>
      </w:r>
      <w:r>
        <w:rPr>
          <w:rFonts w:ascii="Times New Roman" w:hAnsi="Times New Roman"/>
          <w:b w:val="false"/>
          <w:color w:val="000000"/>
          <w:sz w:val="24"/>
        </w:rPr>
        <w:t xml:space="preserve">3.6.3 </w:t>
      </w:r>
      <w:r>
        <w:rPr>
          <w:rFonts w:ascii="Times New Roman" w:hAnsi="Times New Roman"/>
          <w:b/>
          <w:color w:val="000000"/>
          <w:sz w:val="24"/>
        </w:rPr>
        <w:t>R&amp;D Credit</w:t>
      </w:r>
      <w:r>
        <w:rPr>
          <w:rFonts w:ascii="Times New Roman" w:hAnsi="Times New Roman"/>
          <w:b w:val="false"/>
          <w:color w:val="000000"/>
          <w:sz w:val="24"/>
        </w:rPr>
        <w:t>. [***] will provide [***] with [***] in credit (“[***]”) toward [***] conducted during the [***]. [***] will allocate the [***] as it deems necessary to fulfill the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activities set forth in the [***] or the [***] (but, for the avoidance of doubt, not as a credit against any milestone payments except for the [***] set forth in [***]; provided, however, that [***] may [***] up to (i) [***] against [***] payable [***] and [***], (ii) [***] of [***] against [***] payable [***] and (iv[***] of [***] against [***] for [***]. If any [***] is [***] at [***] it will be [***] to [***], until [***] at which time [***].”</w:t>
      </w:r>
      <w:r>
        <w:rPr>
          <w:rFonts w:ascii="Times New Roman" w:hAnsi="Times New Roman"/>
          <w:color w:val="000000"/>
          <w:sz w:val="20"/>
        </w:rPr>
        <w:t xml:space="preserve"> </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240" w:after="240"/>
        <w:jc w:val="left"/>
        <w:rPr/>
      </w:pPr>
      <w:r>
        <w:rPr>
          <w:rFonts w:ascii="Times New Roman" w:hAnsi="Times New Roman"/>
          <w:b/>
          <w:color w:val="000000"/>
          <w:sz w:val="24"/>
        </w:rPr>
        <w:t xml:space="preserve">Defined Term “Plan”. </w:t>
      </w:r>
      <w:r>
        <w:rPr>
          <w:rFonts w:ascii="Times New Roman" w:hAnsi="Times New Roman"/>
          <w:b w:val="false"/>
          <w:color w:val="000000"/>
          <w:sz w:val="24"/>
        </w:rPr>
        <w:t>The definition of “Plan” is hereby amended and replaced in its entirety with the following:</w:t>
      </w:r>
    </w:p>
    <w:p>
      <w:pPr>
        <w:pStyle w:val="TextBody"/>
        <w:bidi w:val="0"/>
        <w:spacing w:before="240" w:after="240"/>
        <w:jc w:val="both"/>
        <w:rPr/>
      </w:pPr>
      <w:r>
        <w:rPr>
          <w:color w:val="000000"/>
        </w:rPr>
        <w:t>“</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b w:val="false"/>
          <w:color w:val="000000"/>
          <w:sz w:val="24"/>
        </w:rPr>
        <w:t>means a [***] .</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0" w:after="240"/>
        <w:jc w:val="left"/>
        <w:rPr>
          <w:rFonts w:ascii="Times New Roman" w:hAnsi="Times New Roman"/>
          <w:b/>
          <w:color w:val="000000"/>
          <w:sz w:val="24"/>
        </w:rPr>
      </w:pPr>
      <w:r>
        <w:rPr>
          <w:rFonts w:ascii="Times New Roman" w:hAnsi="Times New Roman"/>
          <w:b/>
          <w:color w:val="000000"/>
          <w:sz w:val="24"/>
        </w:rPr>
        <w:t xml:space="preserve">Miscellaneous.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8.1</w:t>
      </w:r>
    </w:p>
    <w:p>
      <w:pPr>
        <w:pStyle w:val="TextBody"/>
        <w:bidi w:val="0"/>
        <w:spacing w:before="0" w:after="240"/>
        <w:jc w:val="both"/>
        <w:rPr/>
      </w:pPr>
      <w:r>
        <w:rPr>
          <w:rFonts w:ascii="Times New Roman" w:hAnsi="Times New Roman"/>
          <w:b/>
          <w:color w:val="000000"/>
          <w:sz w:val="24"/>
        </w:rPr>
        <w:t>Effect</w:t>
      </w:r>
      <w:r>
        <w:rPr>
          <w:rFonts w:ascii="Times New Roman" w:hAnsi="Times New Roman"/>
          <w:b w:val="false"/>
          <w:color w:val="000000"/>
          <w:sz w:val="24"/>
        </w:rPr>
        <w:t>. Except as specifically amended by this Amendment, all of the terms and conditions of the Collaboration Agreement shall remain in full force and effect, and this Amendment shall be read together and construed as one with the Collaboration Agreement.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8.2</w:t>
      </w:r>
    </w:p>
    <w:p>
      <w:pPr>
        <w:pStyle w:val="TextBody"/>
        <w:bidi w:val="0"/>
        <w:spacing w:before="0" w:after="240"/>
        <w:jc w:val="both"/>
        <w:rPr/>
      </w:pPr>
      <w:r>
        <w:rPr>
          <w:rFonts w:ascii="Times New Roman" w:hAnsi="Times New Roman"/>
          <w:b/>
          <w:color w:val="000000"/>
          <w:sz w:val="24"/>
        </w:rPr>
        <w:t>Conflicts</w:t>
      </w:r>
      <w:r>
        <w:rPr>
          <w:rFonts w:ascii="Times New Roman" w:hAnsi="Times New Roman"/>
          <w:b w:val="false"/>
          <w:color w:val="000000"/>
          <w:sz w:val="24"/>
        </w:rPr>
        <w:t>. In the event of a conflict between a provision of the Collaboration Agreement and a provision of this Amendment, the provisions of this Amendment will control to the extent of such conflict.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8.3</w:t>
      </w:r>
    </w:p>
    <w:p>
      <w:pPr>
        <w:pStyle w:val="TextBody"/>
        <w:bidi w:val="0"/>
        <w:spacing w:before="0" w:after="240"/>
        <w:jc w:val="both"/>
        <w:rPr/>
      </w:pPr>
      <w:r>
        <w:rPr>
          <w:rFonts w:ascii="Times New Roman" w:hAnsi="Times New Roman"/>
          <w:b/>
          <w:color w:val="000000"/>
          <w:sz w:val="24"/>
        </w:rPr>
        <w:t>Counterparts</w:t>
      </w:r>
      <w:r>
        <w:rPr>
          <w:rFonts w:ascii="Times New Roman" w:hAnsi="Times New Roman"/>
          <w:b w:val="false"/>
          <w:color w:val="000000"/>
          <w:sz w:val="24"/>
        </w:rPr>
        <w:t>. This Amendment may be executed in two or more counterparts, each of which shall be deemed an original, but all of which together shall constitute one and the same instrument. Counterparts may be signed or delivered by facsimile or electronically scanned signature page.</w:t>
      </w:r>
    </w:p>
    <w:p>
      <w:pPr>
        <w:pStyle w:val="TextBody"/>
        <w:bidi w:val="0"/>
        <w:spacing w:before="0" w:after="240"/>
        <w:jc w:val="center"/>
        <w:rPr>
          <w:rFonts w:ascii="Times New Roman" w:hAnsi="Times New Roman"/>
          <w:sz w:val="20"/>
        </w:rPr>
      </w:pPr>
      <w:r>
        <w:rPr>
          <w:rFonts w:ascii="Times New Roman" w:hAnsi="Times New Roman"/>
          <w:b/>
          <w:color w:val="000000"/>
          <w:sz w:val="24"/>
        </w:rPr>
        <w:t>[</w:t>
      </w:r>
      <w:r>
        <w:rPr>
          <w:rFonts w:ascii="Times New Roman" w:hAnsi="Times New Roman"/>
          <w:b w:val="false"/>
          <w:color w:val="000000"/>
          <w:sz w:val="24"/>
        </w:rPr>
        <w:t>SIGNATURE PAGE FOLLOWS.</w:t>
      </w:r>
      <w:r>
        <w:rPr>
          <w:rFonts w:ascii="Times New Roman" w:hAnsi="Times New Roman"/>
          <w:b/>
          <w:color w:val="000000"/>
          <w:sz w:val="24"/>
        </w:rPr>
        <w: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THIS AMENDMENT IS EXECUTED by the authorized representatives of the Parties as of the Amendment Effective Date.</w:t>
      </w:r>
    </w:p>
    <w:tbl>
      <w:tblPr>
        <w:tblW w:w="6707" w:type="dxa"/>
        <w:jc w:val="left"/>
        <w:tblInd w:w="0" w:type="dxa"/>
        <w:tblLayout w:type="fixed"/>
        <w:tblCellMar>
          <w:top w:w="28" w:type="dxa"/>
          <w:left w:w="28" w:type="dxa"/>
          <w:bottom w:w="28" w:type="dxa"/>
          <w:right w:w="28" w:type="dxa"/>
        </w:tblCellMar>
      </w:tblPr>
      <w:tblGrid>
        <w:gridCol w:w="4126"/>
        <w:gridCol w:w="2581"/>
      </w:tblGrid>
      <w:tr>
        <w:trPr/>
        <w:tc>
          <w:tcPr>
            <w:tcW w:w="412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b/>
                <w:color w:val="000000"/>
                <w:sz w:val="24"/>
              </w:rPr>
              <w:t>ARCTURUS THERAPEUTICS, INC</w:t>
            </w:r>
            <w:r>
              <w:rPr>
                <w:rFonts w:ascii="Times New Roman" w:hAnsi="Times New Roman"/>
                <w:b w:val="false"/>
                <w:color w:val="000000"/>
                <w:sz w:val="24"/>
              </w:rPr>
              <w:t>.</w:t>
            </w:r>
          </w:p>
        </w:tc>
        <w:tc>
          <w:tcPr>
            <w:tcW w:w="258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b/>
                <w:smallCaps/>
                <w:color w:val="000000"/>
                <w:sz w:val="24"/>
              </w:rPr>
              <w:t>SEQIRUS, INC</w:t>
            </w:r>
            <w:r>
              <w:rPr>
                <w:rFonts w:ascii="Times New Roman" w:hAnsi="Times New Roman"/>
                <w:b w:val="false"/>
                <w:smallCaps/>
                <w:color w:val="000000"/>
                <w:sz w:val="24"/>
              </w:rPr>
              <w:t>.</w:t>
            </w:r>
          </w:p>
        </w:tc>
      </w:tr>
      <w:tr>
        <w:trPr/>
        <w:tc>
          <w:tcPr>
            <w:tcW w:w="4126" w:type="dxa"/>
            <w:tcBorders/>
            <w:tcMar>
              <w:top w:w="0" w:type="dxa"/>
              <w:left w:w="0" w:type="dxa"/>
              <w:bottom w:w="0" w:type="dxa"/>
              <w:right w:w="0" w:type="dxa"/>
            </w:tcMar>
            <w:vAlign w:val="center"/>
          </w:tcPr>
          <w:p>
            <w:pPr>
              <w:pStyle w:val="TableContents"/>
              <w:bidi w:val="0"/>
              <w:spacing w:before="0" w:after="120"/>
              <w:jc w:val="both"/>
              <w:rPr/>
            </w:pPr>
            <w:r>
              <w:rPr/>
              <w:t> </w:t>
            </w:r>
          </w:p>
          <w:p>
            <w:pPr>
              <w:pStyle w:val="TableContents"/>
              <w:bidi w:val="0"/>
              <w:spacing w:before="0" w:after="120"/>
              <w:jc w:val="both"/>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p>
            <w:pPr>
              <w:pStyle w:val="TableContents"/>
              <w:bidi w:val="0"/>
              <w:spacing w:before="0" w:after="120"/>
              <w:jc w:val="both"/>
              <w:rPr/>
            </w:pPr>
            <w:r>
              <w:rPr/>
              <w:t> </w:t>
            </w:r>
          </w:p>
          <w:p>
            <w:pPr>
              <w:pStyle w:val="TableContents"/>
              <w:bidi w:val="0"/>
              <w:spacing w:before="0" w:after="120"/>
              <w:jc w:val="both"/>
              <w:rPr>
                <w:rFonts w:ascii="Times New Roman" w:hAnsi="Times New Roman"/>
                <w:b w:val="false"/>
                <w:color w:val="000000"/>
                <w:sz w:val="24"/>
              </w:rPr>
            </w:pPr>
            <w:r>
              <w:rPr>
                <w:rFonts w:ascii="Times New Roman" w:hAnsi="Times New Roman"/>
                <w:b w:val="false"/>
                <w:color w:val="000000"/>
                <w:sz w:val="24"/>
              </w:rPr>
              <w:t>Name: Joseph E. Payne</w:t>
            </w:r>
          </w:p>
          <w:p>
            <w:pPr>
              <w:pStyle w:val="TableContents"/>
              <w:bidi w:val="0"/>
              <w:spacing w:before="0" w:after="120"/>
              <w:jc w:val="both"/>
              <w:rPr>
                <w:rFonts w:ascii="Times New Roman" w:hAnsi="Times New Roman"/>
                <w:b w:val="false"/>
                <w:color w:val="000000"/>
                <w:sz w:val="24"/>
              </w:rPr>
            </w:pPr>
            <w:r>
              <w:rPr>
                <w:rFonts w:ascii="Times New Roman" w:hAnsi="Times New Roman"/>
                <w:b w:val="false"/>
                <w:color w:val="000000"/>
                <w:sz w:val="24"/>
              </w:rPr>
              <w:t>Title: President and CEO</w:t>
            </w:r>
          </w:p>
        </w:tc>
        <w:tc>
          <w:tcPr>
            <w:tcW w:w="2581" w:type="dxa"/>
            <w:tcBorders/>
            <w:tcMar>
              <w:top w:w="0" w:type="dxa"/>
              <w:left w:w="0" w:type="dxa"/>
              <w:bottom w:w="0" w:type="dxa"/>
              <w:right w:w="0" w:type="dxa"/>
            </w:tcMar>
            <w:vAlign w:val="center"/>
          </w:tcPr>
          <w:p>
            <w:pPr>
              <w:pStyle w:val="TableContents"/>
              <w:bidi w:val="0"/>
              <w:spacing w:before="0" w:after="120"/>
              <w:jc w:val="both"/>
              <w:rPr/>
            </w:pPr>
            <w:r>
              <w:rPr/>
              <w:t> </w:t>
            </w:r>
          </w:p>
          <w:p>
            <w:pPr>
              <w:pStyle w:val="TableContents"/>
              <w:bidi w:val="0"/>
              <w:spacing w:before="0" w:after="120"/>
              <w:jc w:val="both"/>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p>
            <w:pPr>
              <w:pStyle w:val="TableContents"/>
              <w:bidi w:val="0"/>
              <w:spacing w:before="0" w:after="120"/>
              <w:jc w:val="both"/>
              <w:rPr/>
            </w:pPr>
            <w:r>
              <w:rPr/>
              <w:t> </w:t>
            </w:r>
          </w:p>
          <w:p>
            <w:pPr>
              <w:pStyle w:val="TableContents"/>
              <w:bidi w:val="0"/>
              <w:spacing w:before="0" w:after="120"/>
              <w:jc w:val="both"/>
              <w:rPr>
                <w:rFonts w:ascii="Times New Roman" w:hAnsi="Times New Roman"/>
                <w:b w:val="false"/>
                <w:color w:val="000000"/>
                <w:sz w:val="24"/>
              </w:rPr>
            </w:pPr>
            <w:r>
              <w:rPr>
                <w:rFonts w:ascii="Times New Roman" w:hAnsi="Times New Roman"/>
                <w:b w:val="false"/>
                <w:color w:val="000000"/>
                <w:sz w:val="24"/>
              </w:rPr>
              <w:t>Name: Jonathan Kegerise</w:t>
            </w:r>
          </w:p>
          <w:p>
            <w:pPr>
              <w:pStyle w:val="TableContents"/>
              <w:bidi w:val="0"/>
              <w:spacing w:before="0" w:after="120"/>
              <w:jc w:val="both"/>
              <w:rPr>
                <w:rFonts w:ascii="Times New Roman" w:hAnsi="Times New Roman"/>
                <w:b w:val="false"/>
                <w:color w:val="000000"/>
                <w:sz w:val="24"/>
              </w:rPr>
            </w:pPr>
            <w:r>
              <w:rPr>
                <w:rFonts w:ascii="Times New Roman" w:hAnsi="Times New Roman"/>
                <w:b w:val="false"/>
                <w:color w:val="000000"/>
                <w:sz w:val="24"/>
              </w:rPr>
              <w:t>Title: President</w:t>
            </w:r>
          </w:p>
        </w:tc>
      </w:tr>
      <w:tr>
        <w:trPr/>
        <w:tc>
          <w:tcPr>
            <w:tcW w:w="4126" w:type="dxa"/>
            <w:tcBorders/>
            <w:tcMar>
              <w:top w:w="0" w:type="dxa"/>
              <w:left w:w="0" w:type="dxa"/>
              <w:bottom w:w="0" w:type="dxa"/>
              <w:right w:w="0" w:type="dxa"/>
            </w:tcMar>
            <w:vAlign w:val="center"/>
          </w:tcPr>
          <w:p>
            <w:pPr>
              <w:pStyle w:val="TableContents"/>
              <w:bidi w:val="0"/>
              <w:spacing w:before="0" w:after="240"/>
              <w:jc w:val="both"/>
              <w:rPr/>
            </w:pPr>
            <w:r>
              <w:rPr/>
              <w:t> </w:t>
            </w:r>
          </w:p>
        </w:tc>
        <w:tc>
          <w:tcPr>
            <w:tcW w:w="2581"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4"/>
              </w:rPr>
            </w:pPr>
            <w:r>
              <w:rPr>
                <w:rFonts w:ascii="Times New Roman" w:hAnsi="Times New Roman"/>
                <w:b/>
                <w:smallCaps/>
                <w:color w:val="000000"/>
                <w:sz w:val="24"/>
              </w:rPr>
              <w:t>SEQIRUS, INC</w:t>
            </w:r>
            <w:r>
              <w:rPr>
                <w:rFonts w:ascii="Times New Roman" w:hAnsi="Times New Roman"/>
                <w:b w:val="false"/>
                <w:smallCaps/>
                <w:color w:val="000000"/>
                <w:sz w:val="24"/>
              </w:rPr>
              <w:t>.</w:t>
            </w:r>
          </w:p>
        </w:tc>
      </w:tr>
      <w:tr>
        <w:trPr/>
        <w:tc>
          <w:tcPr>
            <w:tcW w:w="4126" w:type="dxa"/>
            <w:tcBorders/>
            <w:tcMar>
              <w:top w:w="0" w:type="dxa"/>
              <w:left w:w="0" w:type="dxa"/>
              <w:bottom w:w="0" w:type="dxa"/>
              <w:right w:w="0" w:type="dxa"/>
            </w:tcMar>
            <w:vAlign w:val="center"/>
          </w:tcPr>
          <w:p>
            <w:pPr>
              <w:pStyle w:val="TableContents"/>
              <w:bidi w:val="0"/>
              <w:spacing w:before="0" w:after="240"/>
              <w:jc w:val="both"/>
              <w:rPr/>
            </w:pPr>
            <w:r>
              <w:rPr/>
              <w:t> </w:t>
            </w:r>
          </w:p>
        </w:tc>
        <w:tc>
          <w:tcPr>
            <w:tcW w:w="2581" w:type="dxa"/>
            <w:tcBorders/>
            <w:tcMar>
              <w:top w:w="0" w:type="dxa"/>
              <w:left w:w="0" w:type="dxa"/>
              <w:bottom w:w="0" w:type="dxa"/>
              <w:right w:w="0" w:type="dxa"/>
            </w:tcMar>
            <w:vAlign w:val="center"/>
          </w:tcPr>
          <w:p>
            <w:pPr>
              <w:pStyle w:val="TableContents"/>
              <w:bidi w:val="0"/>
              <w:spacing w:before="0" w:after="120"/>
              <w:jc w:val="both"/>
              <w:rPr/>
            </w:pPr>
            <w:r>
              <w:rPr/>
              <w:t> </w:t>
            </w:r>
          </w:p>
          <w:p>
            <w:pPr>
              <w:pStyle w:val="TableContents"/>
              <w:bidi w:val="0"/>
              <w:spacing w:before="0" w:after="120"/>
              <w:jc w:val="both"/>
              <w:rPr>
                <w:rFonts w:ascii="Times New Roman" w:hAnsi="Times New Roman"/>
                <w:sz w:val="24"/>
              </w:rPr>
            </w:pPr>
            <w:r>
              <w:rPr>
                <w:rFonts w:ascii="Times New Roman" w:hAnsi="Times New Roman"/>
                <w:b w:val="false"/>
                <w:color w:val="000000"/>
                <w:sz w:val="24"/>
              </w:rPr>
              <w:t>By:</w:t>
            </w:r>
            <w:r>
              <w:rPr>
                <w:rFonts w:ascii="Times New Roman" w:hAnsi="Times New Roman"/>
                <w:color w:val="000000"/>
                <w:sz w:val="24"/>
              </w:rPr>
              <w:t xml:space="preserve"> </w:t>
            </w:r>
          </w:p>
          <w:p>
            <w:pPr>
              <w:pStyle w:val="TableContents"/>
              <w:bidi w:val="0"/>
              <w:spacing w:before="0" w:after="120"/>
              <w:jc w:val="both"/>
              <w:rPr/>
            </w:pPr>
            <w:r>
              <w:rPr/>
              <w:t> </w:t>
            </w:r>
          </w:p>
          <w:p>
            <w:pPr>
              <w:pStyle w:val="TableContents"/>
              <w:bidi w:val="0"/>
              <w:spacing w:before="0" w:after="120"/>
              <w:jc w:val="both"/>
              <w:rPr>
                <w:rFonts w:ascii="Times New Roman" w:hAnsi="Times New Roman"/>
                <w:b w:val="false"/>
                <w:color w:val="000000"/>
                <w:sz w:val="24"/>
              </w:rPr>
            </w:pPr>
            <w:r>
              <w:rPr>
                <w:rFonts w:ascii="Times New Roman" w:hAnsi="Times New Roman"/>
                <w:b w:val="false"/>
                <w:color w:val="000000"/>
                <w:sz w:val="24"/>
              </w:rPr>
              <w:t>Name: Melissa Puryear</w:t>
            </w:r>
          </w:p>
          <w:p>
            <w:pPr>
              <w:pStyle w:val="TableContents"/>
              <w:bidi w:val="0"/>
              <w:spacing w:before="0" w:after="120"/>
              <w:jc w:val="both"/>
              <w:rPr>
                <w:rFonts w:ascii="Times New Roman" w:hAnsi="Times New Roman"/>
                <w:b w:val="false"/>
                <w:color w:val="000000"/>
                <w:sz w:val="24"/>
              </w:rPr>
            </w:pPr>
            <w:r>
              <w:rPr>
                <w:rFonts w:ascii="Times New Roman" w:hAnsi="Times New Roman"/>
                <w:b w:val="false"/>
                <w:color w:val="000000"/>
                <w:sz w:val="24"/>
              </w:rPr>
              <w:t>Title: Secretary</w:t>
            </w:r>
          </w:p>
        </w:tc>
      </w:tr>
    </w:tbl>
    <w:p>
      <w:pPr>
        <w:pStyle w:val="TextBody"/>
        <w:bidi w:val="0"/>
        <w:spacing w:before="0" w:after="24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60"/>
        <w:jc w:val="center"/>
        <w:rPr>
          <w:rFonts w:ascii="Times New Roman" w:hAnsi="Times New Roman"/>
          <w:b/>
          <w:color w:val="000000"/>
          <w:sz w:val="24"/>
        </w:rPr>
      </w:pPr>
      <w:bookmarkStart w:id="26" w:name="schedule126"/>
      <w:bookmarkEnd w:id="26"/>
      <w:r>
        <w:rPr>
          <w:rFonts w:ascii="Times New Roman" w:hAnsi="Times New Roman"/>
          <w:b/>
          <w:color w:val="000000"/>
          <w:sz w:val="24"/>
        </w:rPr>
        <w:t>Attachment 1.1 to the Amendment</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Attachment A to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TextBody"/>
        <w:bidi w:val="0"/>
        <w:jc w:val="right"/>
        <w:rPr>
          <w:rFonts w:ascii="Times New Roman" w:hAnsi="Times New Roman"/>
          <w:b w:val="false"/>
          <w:color w:val="000000"/>
          <w:sz w:val="20"/>
        </w:rPr>
      </w:pPr>
      <w:r>
        <w:rPr>
          <w:rFonts w:ascii="Times New Roman" w:hAnsi="Times New Roman"/>
          <w:b w:val="false"/>
          <w:color w:val="000000"/>
          <w:sz w:val="20"/>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Attachment B to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spacing w:before="0" w:after="160"/>
        <w:jc w:val="center"/>
        <w:rPr/>
      </w:pPr>
      <w:r>
        <w:rPr/>
        <w:t> </w:t>
      </w:r>
    </w:p>
    <w:p>
      <w:pPr>
        <w:pStyle w:val="TextBody"/>
        <w:bidi w:val="0"/>
        <w:spacing w:before="0" w:after="160"/>
        <w:jc w:val="both"/>
        <w:rPr/>
      </w:pPr>
      <w:r>
        <w:rPr/>
        <w:t> </w:t>
      </w:r>
    </w:p>
    <w:p>
      <w:pPr>
        <w:pStyle w:val="TextBody"/>
        <w:bidi w:val="0"/>
        <w:jc w:val="left"/>
        <w:rPr/>
      </w:pPr>
      <w:r>
        <w:rPr/>
        <w:t> </w:t>
      </w:r>
    </w:p>
    <w:p>
      <w:pPr>
        <w:pStyle w:val="TextBody"/>
        <w:bidi w:val="0"/>
        <w:jc w:val="right"/>
        <w:rPr>
          <w:rFonts w:ascii="Times New Roman" w:hAnsi="Times New Roman"/>
          <w:b w:val="false"/>
          <w:color w:val="000000"/>
          <w:sz w:val="20"/>
        </w:rPr>
      </w:pPr>
      <w:r>
        <w:rPr>
          <w:rFonts w:ascii="Times New Roman" w:hAnsi="Times New Roman"/>
          <w:b w:val="false"/>
          <w:color w:val="000000"/>
          <w:sz w:val="20"/>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Attachment 1.6 to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w:t>
      </w:r>
    </w:p>
    <w:p>
      <w:pPr>
        <w:pStyle w:val="TextBody"/>
        <w:bidi w:val="0"/>
        <w:spacing w:before="0" w:after="160"/>
        <w:jc w:val="center"/>
        <w:rPr/>
      </w:pPr>
      <w:r>
        <w:rPr/>
        <w:t> </w:t>
      </w:r>
    </w:p>
    <w:p>
      <w:pPr>
        <w:pStyle w:val="TextBody"/>
        <w:bidi w:val="0"/>
        <w:spacing w:before="0" w:after="160"/>
        <w:jc w:val="both"/>
        <w:rPr/>
      </w:pPr>
      <w:r>
        <w:rPr/>
        <w:t> </w:t>
      </w:r>
    </w:p>
    <w:p>
      <w:pPr>
        <w:pStyle w:val="TextBody"/>
        <w:bidi w:val="0"/>
        <w:jc w:val="left"/>
        <w:rPr/>
      </w:pPr>
      <w:r>
        <w:rPr/>
        <w:t> </w:t>
      </w:r>
    </w:p>
    <w:p>
      <w:pPr>
        <w:pStyle w:val="TextBody"/>
        <w:bidi w:val="0"/>
        <w:spacing w:before="0" w:after="160"/>
        <w:jc w:val="center"/>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right"/>
        <w:rPr>
          <w:rFonts w:ascii="Times New Roman" w:hAnsi="Times New Roman"/>
          <w:b w:val="false"/>
          <w:color w:val="000000"/>
          <w:sz w:val="20"/>
        </w:rPr>
      </w:pPr>
      <w:r>
        <w:rPr>
          <w:rFonts w:ascii="Times New Roman" w:hAnsi="Times New Roman"/>
          <w:b w:val="false"/>
          <w:color w:val="000000"/>
          <w:sz w:val="20"/>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bookmarkStart w:id="27" w:name="arct-ex10_32.htm"/>
      <w:bookmarkStart w:id="28" w:name="ksarctex10_32"/>
      <w:bookmarkEnd w:id="27"/>
      <w:bookmarkEnd w:id="28"/>
      <w:r>
        <w:rPr>
          <w:rFonts w:ascii="Times New Roman" w:hAnsi="Times New Roman"/>
          <w:b/>
          <w:color w:val="000000"/>
          <w:sz w:val="22"/>
        </w:rPr>
        <w:t>REDACTED</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Certain identified information, indicated by [***], has been excluded from the exhibit because it is both (i) not material and (ii) would likely cause competitive harm if publicly disclosed.</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AMENDMENT NO. 4 TO LETTER AGREEMENT</w:t>
      </w:r>
    </w:p>
    <w:p>
      <w:pPr>
        <w:pStyle w:val="TextBody"/>
        <w:bidi w:val="0"/>
        <w:spacing w:before="0" w:after="160"/>
        <w:jc w:val="left"/>
        <w:rPr>
          <w:rFonts w:ascii="Times New Roman" w:hAnsi="Times New Roman"/>
          <w:sz w:val="20"/>
        </w:rPr>
      </w:pPr>
      <w:r>
        <w:rPr>
          <w:rFonts w:ascii="Times New Roman" w:hAnsi="Times New Roman"/>
          <w:b w:val="false"/>
          <w:color w:val="000000"/>
          <w:sz w:val="22"/>
        </w:rPr>
        <w:t>This Amendment No. 4 (“</w:t>
      </w:r>
      <w:r>
        <w:rPr>
          <w:rFonts w:ascii="Times New Roman" w:hAnsi="Times New Roman"/>
          <w:b/>
          <w:i/>
          <w:color w:val="000000"/>
          <w:sz w:val="22"/>
        </w:rPr>
        <w:t>Amendment No. 4</w:t>
      </w:r>
      <w:r>
        <w:rPr>
          <w:rFonts w:ascii="Times New Roman" w:hAnsi="Times New Roman"/>
          <w:color w:val="000000"/>
          <w:sz w:val="20"/>
        </w:rPr>
        <w:t>”</w:t>
      </w:r>
      <w:r>
        <w:rPr>
          <w:rFonts w:ascii="Times New Roman" w:hAnsi="Times New Roman"/>
          <w:b w:val="false"/>
          <w:color w:val="000000"/>
          <w:sz w:val="22"/>
        </w:rPr>
        <w:t>) to the Development Program Letter Agreement of May 16, 2017, as amended on July 13, 2018, July 30, 2019 and December 21, 2021 (as amended,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b w:val="false"/>
          <w:color w:val="000000"/>
          <w:sz w:val="22"/>
        </w:rPr>
        <w:t>), is entered into and effective as of September 25, 2023 (the “</w:t>
      </w:r>
      <w:r>
        <w:rPr>
          <w:rFonts w:ascii="Times New Roman" w:hAnsi="Times New Roman"/>
          <w:b/>
          <w:i/>
          <w:color w:val="000000"/>
          <w:sz w:val="22"/>
        </w:rPr>
        <w:t>Amendment No. 4 Effective Date</w:t>
      </w:r>
      <w:r>
        <w:rPr>
          <w:rFonts w:ascii="Times New Roman" w:hAnsi="Times New Roman"/>
          <w:color w:val="000000"/>
          <w:sz w:val="20"/>
        </w:rPr>
        <w:t>”</w:t>
      </w:r>
      <w:r>
        <w:rPr>
          <w:rFonts w:ascii="Times New Roman" w:hAnsi="Times New Roman"/>
          <w:b w:val="false"/>
          <w:color w:val="000000"/>
          <w:sz w:val="22"/>
        </w:rPr>
        <w:t>) by and between Arcturus Therapeutics, Inc. (“</w:t>
      </w:r>
      <w:r>
        <w:rPr>
          <w:rFonts w:ascii="Times New Roman" w:hAnsi="Times New Roman"/>
          <w:b/>
          <w:i/>
          <w:color w:val="000000"/>
          <w:sz w:val="22"/>
        </w:rPr>
        <w:t>Arcturus</w:t>
      </w:r>
      <w:r>
        <w:rPr>
          <w:rFonts w:ascii="Times New Roman" w:hAnsi="Times New Roman"/>
          <w:color w:val="000000"/>
          <w:sz w:val="20"/>
        </w:rPr>
        <w:t>”</w:t>
      </w:r>
      <w:r>
        <w:rPr>
          <w:rFonts w:ascii="Times New Roman" w:hAnsi="Times New Roman"/>
          <w:b w:val="false"/>
          <w:color w:val="000000"/>
          <w:sz w:val="22"/>
        </w:rPr>
        <w:t>) and the Cystic Fibrosis Foundation (“</w:t>
      </w:r>
      <w:r>
        <w:rPr>
          <w:rFonts w:ascii="Times New Roman" w:hAnsi="Times New Roman"/>
          <w:b/>
          <w:i/>
          <w:color w:val="000000"/>
          <w:sz w:val="22"/>
        </w:rPr>
        <w:t>CFF</w:t>
      </w:r>
      <w:r>
        <w:rPr>
          <w:rFonts w:ascii="Times New Roman" w:hAnsi="Times New Roman"/>
          <w:color w:val="000000"/>
          <w:sz w:val="20"/>
        </w:rPr>
        <w:t>”</w:t>
      </w:r>
      <w:r>
        <w:rPr>
          <w:rFonts w:ascii="Times New Roman" w:hAnsi="Times New Roman"/>
          <w:b w:val="false"/>
          <w:color w:val="000000"/>
          <w:sz w:val="22"/>
        </w:rPr>
        <w:t>). Capitalized terms used but not defined herein have the meanings given to them in the Agreement.</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WHEREAS, Arcturus and CFF are parties to the Agreement; and</w:t>
      </w:r>
    </w:p>
    <w:p>
      <w:pPr>
        <w:pStyle w:val="TextBody"/>
        <w:bidi w:val="0"/>
        <w:spacing w:before="0" w:after="160"/>
        <w:jc w:val="left"/>
        <w:rPr>
          <w:rFonts w:ascii="Times New Roman" w:hAnsi="Times New Roman"/>
          <w:sz w:val="20"/>
        </w:rPr>
      </w:pPr>
      <w:r>
        <w:rPr>
          <w:rFonts w:ascii="Times New Roman" w:hAnsi="Times New Roman"/>
          <w:b w:val="false"/>
          <w:color w:val="000000"/>
          <w:sz w:val="22"/>
        </w:rPr>
        <w:t xml:space="preserve">WHEREAS, Arcturus intends to conduct additional work to develop and test its development candidate ARCT-032, as described on </w:t>
      </w:r>
      <w:r>
        <w:rPr>
          <w:rFonts w:ascii="Times New Roman" w:hAnsi="Times New Roman"/>
          <w:b w:val="false"/>
          <w:color w:val="000000"/>
          <w:sz w:val="22"/>
          <w:u w:val="single"/>
        </w:rPr>
        <w:t>Exhibit A-4</w:t>
      </w:r>
      <w:r>
        <w:rPr>
          <w:rFonts w:ascii="Times New Roman" w:hAnsi="Times New Roman"/>
          <w:color w:val="000000"/>
          <w:sz w:val="20"/>
        </w:rPr>
        <w:t xml:space="preserve"> </w:t>
      </w:r>
      <w:r>
        <w:rPr>
          <w:rFonts w:ascii="Times New Roman" w:hAnsi="Times New Roman"/>
          <w:b w:val="false"/>
          <w:color w:val="000000"/>
          <w:sz w:val="22"/>
        </w:rPr>
        <w:t>attached hereto (the “</w:t>
      </w:r>
      <w:r>
        <w:rPr>
          <w:rFonts w:ascii="Times New Roman" w:hAnsi="Times New Roman"/>
          <w:b/>
          <w:i/>
          <w:color w:val="000000"/>
          <w:sz w:val="22"/>
        </w:rPr>
        <w:t>Additional Research Plan</w:t>
      </w:r>
      <w:r>
        <w:rPr>
          <w:rFonts w:ascii="Times New Roman" w:hAnsi="Times New Roman"/>
          <w:color w:val="000000"/>
          <w:sz w:val="20"/>
        </w:rPr>
        <w:t>”</w:t>
      </w:r>
      <w:r>
        <w:rPr>
          <w:rFonts w:ascii="Times New Roman" w:hAnsi="Times New Roman"/>
          <w:b w:val="false"/>
          <w:color w:val="000000"/>
          <w:sz w:val="22"/>
        </w:rPr>
        <w:t>), and has requested that the CFF provide additional funding to support the Additional Research Plan; and</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WHEREAS, CFF desires to provide up to an additional $9,000,000 on the terms and conditions contained in the Agreement and this Amendment No. 4;</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NOW, THEREFORE, in consideration of the mutual covenants set forth in the Agreement and this Amendment No. 4 and for other good and valuable consideration, the receipt and sufficiency of which the parties acknowledge, the parties agree as follows:</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0" w:after="160"/>
        <w:jc w:val="left"/>
        <w:rPr/>
      </w:pPr>
      <w:r>
        <w:rPr>
          <w:rFonts w:ascii="Times New Roman" w:hAnsi="Times New Roman"/>
          <w:b w:val="false"/>
          <w:color w:val="000000"/>
          <w:sz w:val="22"/>
          <w:u w:val="single"/>
        </w:rPr>
        <w:t>Increased Award</w:t>
      </w:r>
      <w:r>
        <w:rPr>
          <w:rFonts w:ascii="Times New Roman" w:hAnsi="Times New Roman"/>
          <w:b w:val="false"/>
          <w:color w:val="000000"/>
          <w:sz w:val="22"/>
        </w:rPr>
        <w:t>.</w:t>
      </w:r>
      <w:r>
        <w:rPr>
          <w:color w:val="000000"/>
        </w:rPr>
        <w:t xml:space="preserve"> </w:t>
      </w:r>
      <w:r>
        <w:rPr>
          <w:rFonts w:ascii="Times New Roman" w:hAnsi="Times New Roman"/>
          <w:b w:val="false"/>
          <w:color w:val="000000"/>
          <w:sz w:val="22"/>
        </w:rPr>
        <w:t>The “Amount of Award” specified in the Agreement is hereby increased by $9,000,000 (the “</w:t>
      </w:r>
      <w:r>
        <w:rPr>
          <w:rFonts w:ascii="Times New Roman" w:hAnsi="Times New Roman"/>
          <w:b/>
          <w:i/>
          <w:color w:val="000000"/>
          <w:sz w:val="22"/>
        </w:rPr>
        <w:t>Increased Award Amount</w:t>
      </w:r>
      <w:r>
        <w:rPr>
          <w:color w:val="000000"/>
        </w:rPr>
        <w:t>”</w:t>
      </w:r>
      <w:r>
        <w:rPr>
          <w:rFonts w:ascii="Times New Roman" w:hAnsi="Times New Roman"/>
          <w:b w:val="false"/>
          <w:color w:val="000000"/>
          <w:sz w:val="22"/>
        </w:rPr>
        <w:t xml:space="preserve">) for a total of $24,583,796. The Increased Award Amount shall be disbursed directly to Arcturus in accordance with the Payment Schedule attached hereto as </w:t>
      </w:r>
      <w:r>
        <w:rPr>
          <w:rFonts w:ascii="Times New Roman" w:hAnsi="Times New Roman"/>
          <w:b w:val="false"/>
          <w:color w:val="000000"/>
          <w:sz w:val="22"/>
          <w:u w:val="single"/>
        </w:rPr>
        <w:t>Exhibit B-4</w:t>
      </w:r>
      <w:r>
        <w:rPr>
          <w:rFonts w:ascii="Times New Roman" w:hAnsi="Times New Roman"/>
          <w:b w:val="false"/>
          <w:color w:val="000000"/>
          <w:sz w:val="22"/>
        </w:rPr>
        <w:t>. Arcturus shall use the Increased Award Amount to fund the following elements of the Additional Research Plan: (i) [***]; (ii) [***]; (iii) [***]; and (iv) [***] ([***]) [***].</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0" w:after="160"/>
        <w:jc w:val="left"/>
        <w:rPr/>
      </w:pPr>
      <w:r>
        <w:rPr>
          <w:rFonts w:ascii="Times New Roman" w:hAnsi="Times New Roman"/>
          <w:b w:val="false"/>
          <w:color w:val="000000"/>
          <w:sz w:val="22"/>
          <w:u w:val="single"/>
        </w:rPr>
        <w:t>Amendment to Section 2 of the Agreement - Financials</w:t>
      </w:r>
      <w:r>
        <w:rPr>
          <w:rFonts w:ascii="Times New Roman" w:hAnsi="Times New Roman"/>
          <w:b w:val="false"/>
          <w:color w:val="000000"/>
          <w:sz w:val="22"/>
        </w:rPr>
        <w:t>. Section 2 of the Agreement is hereby deleted in its entirety and the following inserted in lieu thereof:</w:t>
      </w:r>
    </w:p>
    <w:p>
      <w:pPr>
        <w:pStyle w:val="TextBody"/>
        <w:bidi w:val="0"/>
        <w:spacing w:before="0" w:after="160"/>
        <w:jc w:val="left"/>
        <w:rPr/>
      </w:pPr>
      <w:r>
        <w:rPr/>
        <w:t> </w:t>
      </w:r>
    </w:p>
    <w:p>
      <w:pPr>
        <w:pStyle w:val="TextBody"/>
        <w:bidi w:val="0"/>
        <w:spacing w:before="0" w:after="160"/>
        <w:jc w:val="left"/>
        <w:rPr/>
      </w:pPr>
      <w:r>
        <w:rPr>
          <w:color w:val="000000"/>
        </w:rPr>
        <w:t>“</w:t>
      </w:r>
      <w:r>
        <w:rPr>
          <w:rFonts w:ascii="Times New Roman" w:hAnsi="Times New Roman"/>
          <w:b w:val="false"/>
          <w:color w:val="000000"/>
          <w:sz w:val="22"/>
        </w:rPr>
        <w:t xml:space="preserve">2. </w:t>
      </w:r>
      <w:r>
        <w:rPr>
          <w:rFonts w:ascii="Times New Roman" w:hAnsi="Times New Roman"/>
          <w:b/>
          <w:color w:val="000000"/>
          <w:sz w:val="22"/>
        </w:rPr>
        <w:t>Financials</w:t>
      </w:r>
      <w:r>
        <w:rPr>
          <w:rFonts w:ascii="Times New Roman" w:hAnsi="Times New Roman"/>
          <w:b w:val="false"/>
          <w:color w:val="000000"/>
          <w:sz w:val="22"/>
        </w:rPr>
        <w:t>.</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2"/>
        </w:rPr>
        <w:t xml:space="preserve">2.1 </w:t>
      </w:r>
      <w:r>
        <w:rPr>
          <w:rFonts w:ascii="Times New Roman" w:hAnsi="Times New Roman"/>
          <w:b w:val="false"/>
          <w:color w:val="000000"/>
          <w:sz w:val="22"/>
          <w:u w:val="single"/>
        </w:rPr>
        <w:t>Royalties</w:t>
      </w:r>
      <w:r>
        <w:rPr>
          <w:rFonts w:ascii="Times New Roman" w:hAnsi="Times New Roman"/>
          <w:b w:val="false"/>
          <w:color w:val="000000"/>
          <w:sz w:val="22"/>
        </w:rPr>
        <w:t>. In consideration of CFF’s Award under this Agreement and CFF’s license and transfer of intellectual property and CFF Know-How pursuant to this Agreement, Arcturus shall pay to CFF the following royalties (“</w:t>
      </w:r>
      <w:r>
        <w:rPr>
          <w:rFonts w:ascii="Times New Roman" w:hAnsi="Times New Roman"/>
          <w:b/>
          <w:i/>
          <w:color w:val="000000"/>
          <w:sz w:val="22"/>
        </w:rPr>
        <w:t>Royalties</w:t>
      </w:r>
      <w:r>
        <w:rPr>
          <w:rFonts w:ascii="Times New Roman" w:hAnsi="Times New Roman"/>
          <w:color w:val="000000"/>
          <w:sz w:val="20"/>
        </w:rPr>
        <w:t>”</w:t>
      </w:r>
      <w:r>
        <w:rPr>
          <w:rFonts w:ascii="Times New Roman" w:hAnsi="Times New Roman"/>
          <w:b w:val="false"/>
          <w:color w:val="000000"/>
          <w:sz w:val="22"/>
        </w:rPr>
        <w:t>):</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160"/>
        <w:jc w:val="left"/>
        <w:rPr/>
      </w:pPr>
      <w:r>
        <w:rPr>
          <w:rFonts w:ascii="Times New Roman" w:hAnsi="Times New Roman"/>
          <w:b w:val="false"/>
          <w:color w:val="000000"/>
          <w:sz w:val="22"/>
        </w:rPr>
        <w:t>(i) [***]% of Net Sales of CF Products and the [***] approved for [***] (collectively “</w:t>
      </w:r>
      <w:r>
        <w:rPr>
          <w:rFonts w:ascii="Times New Roman" w:hAnsi="Times New Roman"/>
          <w:b/>
          <w:i/>
          <w:color w:val="000000"/>
          <w:sz w:val="22"/>
        </w:rPr>
        <w:t>Covered Products</w:t>
      </w:r>
      <w:r>
        <w:rPr>
          <w:color w:val="000000"/>
        </w:rPr>
        <w:t>”</w:t>
      </w:r>
      <w:r>
        <w:rPr>
          <w:rFonts w:ascii="Times New Roman" w:hAnsi="Times New Roman"/>
          <w:b w:val="false"/>
          <w:color w:val="000000"/>
          <w:sz w:val="22"/>
        </w:rPr>
        <w:t>) in [***] until such Royalties [***] ([***]) times the Actual Award (“[***]</w:t>
      </w:r>
      <w:r>
        <w:rPr>
          <w:color w:val="000000"/>
        </w:rPr>
        <w:t>”</w:t>
      </w:r>
      <w:r>
        <w:rPr>
          <w:rFonts w:ascii="Times New Roman" w:hAnsi="Times New Roman"/>
          <w:b w:val="false"/>
          <w:i/>
          <w:color w:val="000000"/>
          <w:sz w:val="22"/>
        </w:rPr>
        <w:t>)</w:t>
      </w:r>
      <w:r>
        <w:rPr>
          <w:rFonts w:ascii="Times New Roman" w:hAnsi="Times New Roman"/>
          <w:b w:val="false"/>
          <w:color w:val="000000"/>
          <w:sz w:val="22"/>
        </w:rPr>
        <w:t xml:space="preserve">, and then [***]% of such Net Sales thereafter; and </w:t>
      </w:r>
    </w:p>
    <w:p>
      <w:pPr>
        <w:pStyle w:val="TextBody"/>
        <w:bidi w:val="0"/>
        <w:jc w:val="center"/>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2"/>
        </w:rPr>
        <w:t>(ii) [***]% of Net Sales of Covered Products in [***], collectively, until such Royalties reach [***] the [***] (“[***]”), and then [***]% of such Net Sales thereafter;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i/>
          <w:color w:val="000000"/>
          <w:sz w:val="22"/>
        </w:rPr>
        <w:t>provided, however,</w:t>
      </w:r>
      <w:r>
        <w:rPr>
          <w:rFonts w:ascii="Times New Roman" w:hAnsi="Times New Roman"/>
          <w:color w:val="000000"/>
          <w:sz w:val="20"/>
        </w:rPr>
        <w:t xml:space="preserve"> </w:t>
      </w:r>
      <w:r>
        <w:rPr>
          <w:rFonts w:ascii="Times New Roman" w:hAnsi="Times New Roman"/>
          <w:b w:val="false"/>
          <w:color w:val="000000"/>
          <w:sz w:val="22"/>
        </w:rPr>
        <w:t>that in the event that Covered Products are sold by a sublicensee of Arcturus, then for purposes of determining Royalties due up to the [***] or [***], such Royalties shall be based on [***]% of amounts received by Arcturus based on such Net Sales by the sublicensee;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i/>
          <w:color w:val="000000"/>
          <w:sz w:val="22"/>
        </w:rPr>
        <w:t>provided, however</w:t>
      </w:r>
      <w:r>
        <w:rPr>
          <w:rFonts w:ascii="Times New Roman" w:hAnsi="Times New Roman"/>
          <w:b w:val="false"/>
          <w:color w:val="000000"/>
          <w:sz w:val="22"/>
        </w:rPr>
        <w:t>, that once the Royalties on Net Sales of Covered Products collectively reach [***] the Actual Award[***], Arcturus may opt to reduce the royalty rate on such Net Sales to [***] by notifying CFF thereof and paying CFF an amount equal to [***];</w:t>
      </w:r>
    </w:p>
    <w:p>
      <w:pPr>
        <w:pStyle w:val="TextBody"/>
        <w:bidi w:val="0"/>
        <w:spacing w:before="0" w:after="160"/>
        <w:jc w:val="left"/>
        <w:rPr>
          <w:rFonts w:ascii="Times New Roman" w:hAnsi="Times New Roman"/>
          <w:sz w:val="20"/>
        </w:rPr>
      </w:pPr>
      <w:r>
        <w:rPr>
          <w:rFonts w:ascii="Times New Roman" w:hAnsi="Times New Roman"/>
          <w:b w:val="false"/>
          <w:i/>
          <w:color w:val="000000"/>
          <w:sz w:val="22"/>
        </w:rPr>
        <w:t xml:space="preserve">provided further, </w:t>
      </w:r>
      <w:r>
        <w:rPr>
          <w:rFonts w:ascii="Times New Roman" w:hAnsi="Times New Roman"/>
          <w:b w:val="false"/>
          <w:color w:val="000000"/>
          <w:sz w:val="22"/>
        </w:rPr>
        <w:t>that the applicable royalty rate specified above shall no longer be applicable in a country with respect to each CF Product or Pulmonary Product individually after the latest to occur of the following: (X) [***]; (Y) [***]; and (Z)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 xml:space="preserve">For Products that are neither Covered Products nor OTC Products and that are approved for therapeutic (and not prophylactic or preventive) use and commercial sale in any country, [***] of [***], until such Royalties cumulatively reach [***].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Royalties shall be reduced proportionately if CFF’s Actual Award is less than the full Amount of Award by multiplying the respective percentages set forth in this Section 2.1 by a [***], and [***].</w:t>
      </w:r>
    </w:p>
    <w:p>
      <w:pPr>
        <w:pStyle w:val="TextBody"/>
        <w:bidi w:val="0"/>
        <w:spacing w:before="0" w:after="160"/>
        <w:jc w:val="left"/>
        <w:rPr>
          <w:rFonts w:ascii="Times New Roman" w:hAnsi="Times New Roman"/>
          <w:sz w:val="20"/>
        </w:rPr>
      </w:pPr>
      <w:r>
        <w:rPr>
          <w:rFonts w:ascii="Times New Roman" w:hAnsi="Times New Roman"/>
          <w:b w:val="false"/>
          <w:color w:val="000000"/>
          <w:sz w:val="22"/>
        </w:rPr>
        <w:t xml:space="preserve">2.2 </w:t>
      </w:r>
      <w:r>
        <w:rPr>
          <w:rFonts w:ascii="Times New Roman" w:hAnsi="Times New Roman"/>
          <w:b w:val="false"/>
          <w:color w:val="000000"/>
          <w:sz w:val="22"/>
          <w:u w:val="single"/>
        </w:rPr>
        <w:t>Disposition Payments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2"/>
        </w:rPr>
        <w:t>(a) In the event of a license, sale or other transfer of a Covered Product or Arcturus Development Program Technology (excluding Net Sales and any Change of Control Transaction) (a “</w:t>
      </w:r>
      <w:r>
        <w:rPr>
          <w:rFonts w:ascii="Times New Roman" w:hAnsi="Times New Roman"/>
          <w:b/>
          <w:i/>
          <w:color w:val="000000"/>
          <w:sz w:val="22"/>
        </w:rPr>
        <w:t>Licensing Transaction</w:t>
      </w:r>
      <w:r>
        <w:rPr>
          <w:rFonts w:ascii="Times New Roman" w:hAnsi="Times New Roman"/>
          <w:color w:val="000000"/>
          <w:sz w:val="20"/>
        </w:rPr>
        <w:t>”</w:t>
      </w:r>
      <w:r>
        <w:rPr>
          <w:rFonts w:ascii="Times New Roman" w:hAnsi="Times New Roman"/>
          <w:b w:val="false"/>
          <w:color w:val="000000"/>
          <w:sz w:val="22"/>
        </w:rPr>
        <w:t>), Arcturus and/or its shareholders shall pay to CFF [***] of [***] up to [***] the [***]. For avoidance of doubt, such consideration shall include upfront payments, milestone payments and royalties, whether paid in cash or other property (including equity), but shall not include payments made at fair market value for the performance of research or development activities.</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(b) In the event of a Change of Control Transaction, Arcturus shall pay to CFF [***] of [***]; provided that such payment amount shall not exceed [***] . For avoidance of doubt, such consideration shall be calculated based on all upfront payments, milestone payments and payments under contingent rights, if applicable; provided, for clarity, that if the consideration paid to Arcturus and/or its shareholders consists of equity of the acquiring company, then the payment to CFF may be paid in cash or equity, at the election of the acquiror, with the equity valued at the closing price on the closing date of the Change of Control Transaction.</w:t>
      </w:r>
    </w:p>
    <w:p>
      <w:pPr>
        <w:pStyle w:val="TextBody"/>
        <w:bidi w:val="0"/>
        <w:spacing w:before="0" w:after="160"/>
        <w:jc w:val="left"/>
        <w:rPr>
          <w:rFonts w:ascii="Times New Roman" w:hAnsi="Times New Roman"/>
          <w:sz w:val="20"/>
        </w:rPr>
      </w:pPr>
      <w:r>
        <w:rPr>
          <w:rFonts w:ascii="Times New Roman" w:hAnsi="Times New Roman"/>
          <w:b w:val="false"/>
          <w:color w:val="000000"/>
          <w:sz w:val="22"/>
        </w:rPr>
        <w:t>(c) Each payment paid by Arcturus pursuant to Section 2.2(a) and Section 2.2(b) is a “</w:t>
      </w:r>
      <w:r>
        <w:rPr>
          <w:rFonts w:ascii="Times New Roman" w:hAnsi="Times New Roman"/>
          <w:b/>
          <w:i/>
          <w:color w:val="000000"/>
          <w:sz w:val="22"/>
        </w:rPr>
        <w:t>Disposition Payment</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(d) Any Disposition Transaction that is an asset sale or transfer, or a Change of Control Transaction, shall be null and void unless the third-party transferee in such transaction expressly assumes the joint and several obligation of the Royalty obligations specified in Section 2.1.</w:t>
      </w:r>
    </w:p>
    <w:p>
      <w:pPr>
        <w:pStyle w:val="TextBody"/>
        <w:bidi w:val="0"/>
        <w:spacing w:before="0" w:after="160"/>
        <w:jc w:val="left"/>
        <w:rPr>
          <w:rFonts w:ascii="Times New Roman" w:hAnsi="Times New Roman"/>
          <w:sz w:val="20"/>
        </w:rPr>
      </w:pPr>
      <w:r>
        <w:rPr>
          <w:rFonts w:ascii="Times New Roman" w:hAnsi="Times New Roman"/>
          <w:b w:val="false"/>
          <w:color w:val="000000"/>
          <w:sz w:val="22"/>
        </w:rPr>
        <w:t xml:space="preserve">2.3 </w:t>
      </w:r>
      <w:r>
        <w:rPr>
          <w:rFonts w:ascii="Times New Roman" w:hAnsi="Times New Roman"/>
          <w:b w:val="false"/>
          <w:color w:val="000000"/>
          <w:sz w:val="22"/>
          <w:u w:val="single"/>
        </w:rPr>
        <w:t>Payment Offsets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2"/>
        </w:rPr>
        <w:t>(a) A Disposition Payment paid pursuant to a Licensing Transaction shall offset and reduce any Disposition Payment payable pursuant to a Change of Control Transaction, and a Disposition Payment paid pursuant to a Change of Control Transaction shall offset and reduce any Disposition Payment payable pursuant to a Licensing Transaction.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2"/>
        </w:rPr>
        <w:t>(b) All Disposition Payments paid by Arcturus shall be credited toward meeting each Royalty Threshold.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2"/>
        </w:rPr>
        <w:t>(c) All Royalties paid by Arcturus shall offset and reduce any Disposition Payment payable pursuant to a Change of Control Transaction.</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(d) Any amounts previously paid to CFF pursuant to Section 2.1(a) (other than amounts paid toward the [***] or [***]) shall reduce the amount otherwise payable to CFF under Section 2.1(b), and any amount paid to CFF pursuant to Section 2.1(b) shall reduce the amounts payable to CFF under Section 2.1(a) (other than amounts payable toward the [***] and [***]).</w:t>
      </w:r>
    </w:p>
    <w:p>
      <w:pPr>
        <w:pStyle w:val="TextBody"/>
        <w:bidi w:val="0"/>
        <w:spacing w:before="0" w:after="160"/>
        <w:jc w:val="left"/>
        <w:rPr>
          <w:rFonts w:ascii="Times New Roman" w:hAnsi="Times New Roman"/>
          <w:sz w:val="20"/>
        </w:rPr>
      </w:pPr>
      <w:r>
        <w:rPr>
          <w:rFonts w:ascii="Times New Roman" w:hAnsi="Times New Roman"/>
          <w:b w:val="false"/>
          <w:color w:val="000000"/>
          <w:sz w:val="22"/>
        </w:rPr>
        <w:t xml:space="preserve">2.4 </w:t>
      </w:r>
      <w:r>
        <w:rPr>
          <w:rFonts w:ascii="Times New Roman" w:hAnsi="Times New Roman"/>
          <w:b w:val="false"/>
          <w:color w:val="000000"/>
          <w:sz w:val="22"/>
          <w:u w:val="single"/>
        </w:rPr>
        <w:t>General</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(a) There shall be added to the Actual Award for purposes of determining the maximum payments to CFF under this Section 2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(b) The payments to CFF under this Section 2 shall be made within [***] following (i) [***], and (ii) in the case of [***], any payment that is received by Arcturus and/or its shareholders with respect to a Disposition Transaction.”</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0" w:after="160"/>
        <w:jc w:val="left"/>
        <w:rPr/>
      </w:pPr>
      <w:r>
        <w:rPr>
          <w:rFonts w:ascii="Times New Roman" w:hAnsi="Times New Roman"/>
          <w:b w:val="false"/>
          <w:color w:val="000000"/>
          <w:sz w:val="22"/>
          <w:u w:val="single"/>
        </w:rPr>
        <w:t>Amendment to Section 1 of the Agreement – Reports</w:t>
      </w:r>
      <w:r>
        <w:rPr>
          <w:rFonts w:ascii="Times New Roman" w:hAnsi="Times New Roman"/>
          <w:b w:val="false"/>
          <w:color w:val="000000"/>
          <w:sz w:val="22"/>
        </w:rPr>
        <w:t xml:space="preserve">. The second sentence of Section 1(c) of the Agreement is hereby amended and restated in its entirety to read as follows: “In addition, Arcturus shall prepare and deliver to CFF a closing report within [***] after completion of each of (i) [***], and (ii) [***].” </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0" w:after="160"/>
        <w:jc w:val="left"/>
        <w:rPr/>
      </w:pPr>
      <w:r>
        <w:rPr>
          <w:rFonts w:ascii="Times New Roman" w:hAnsi="Times New Roman"/>
          <w:b w:val="false"/>
          <w:color w:val="000000"/>
          <w:sz w:val="22"/>
          <w:u w:val="single"/>
        </w:rPr>
        <w:t>Amendment to Section 12 of the Agreement – Definitions</w:t>
      </w:r>
      <w:r>
        <w:rPr>
          <w:rFonts w:ascii="Times New Roman" w:hAnsi="Times New Roman"/>
          <w:b w:val="false"/>
          <w:color w:val="000000"/>
          <w:sz w:val="22"/>
        </w:rPr>
        <w:t>. The following definitions are hereby replaced or added as follows:</w:t>
      </w:r>
    </w:p>
    <w:p>
      <w:pPr>
        <w:pStyle w:val="TextBody"/>
        <w:bidi w:val="0"/>
        <w:spacing w:before="0" w:after="160"/>
        <w:jc w:val="left"/>
        <w:rPr>
          <w:color w:val="000000"/>
        </w:rPr>
      </w:pPr>
      <w:r>
        <w:rPr>
          <w:color w:val="000000"/>
        </w:rPr>
        <w:t>•</w:t>
      </w:r>
    </w:p>
    <w:p>
      <w:pPr>
        <w:pStyle w:val="TextBody"/>
        <w:bidi w:val="0"/>
        <w:spacing w:before="0" w:after="160"/>
        <w:jc w:val="left"/>
        <w:rPr>
          <w:color w:val="000000"/>
        </w:rPr>
      </w:pPr>
      <w:r>
        <w:rPr>
          <w:color w:val="000000"/>
        </w:rPr>
        <w:t>“</w:t>
      </w:r>
      <w:r>
        <w:rPr>
          <w:rFonts w:ascii="Times New Roman" w:hAnsi="Times New Roman"/>
          <w:b w:val="false"/>
          <w:color w:val="000000"/>
          <w:sz w:val="22"/>
        </w:rPr>
        <w:t>Disposition Transaction” means a Licensing Transaction and/or Change of Control Transaction, as the case may be.</w:t>
      </w:r>
    </w:p>
    <w:p>
      <w:pPr>
        <w:pStyle w:val="TextBody"/>
        <w:bidi w:val="0"/>
        <w:spacing w:before="0" w:after="160"/>
        <w:jc w:val="left"/>
        <w:rPr>
          <w:color w:val="000000"/>
        </w:rPr>
      </w:pPr>
      <w:r>
        <w:rPr>
          <w:color w:val="000000"/>
        </w:rPr>
        <w:t>•</w:t>
      </w:r>
    </w:p>
    <w:p>
      <w:pPr>
        <w:pStyle w:val="TextBody"/>
        <w:bidi w:val="0"/>
        <w:spacing w:before="0" w:after="160"/>
        <w:jc w:val="left"/>
        <w:rPr>
          <w:color w:val="000000"/>
        </w:rPr>
      </w:pPr>
      <w:r>
        <w:rPr>
          <w:color w:val="000000"/>
        </w:rPr>
        <w:t>“</w:t>
      </w:r>
      <w:r>
        <w:rPr>
          <w:rFonts w:ascii="Times New Roman" w:hAnsi="Times New Roman"/>
          <w:b w:val="false"/>
          <w:color w:val="000000"/>
          <w:sz w:val="22"/>
        </w:rPr>
        <w:t>Product” means a product developed by Arcturus with Arcturus’ LUNAR platform and controlled by Arcturus (i.e., owned by Arcturus or licensed by Arcturus to a third party). “Product” may include, without limitation, CF Product, Covered Product, Pulmonary Product and/or OTC Product, as the case may be. For avoidance of doubt, in Sections 1, 3, 4, 5 and 12(a) (with respect to the definitions of “Commercially Reasonable Efforts” and “Interruption”), “Product” means a Product that is a CF Product.</w:t>
      </w:r>
    </w:p>
    <w:p>
      <w:pPr>
        <w:pStyle w:val="TextBody"/>
        <w:bidi w:val="0"/>
        <w:spacing w:before="0" w:after="160"/>
        <w:jc w:val="left"/>
        <w:rPr>
          <w:color w:val="000000"/>
        </w:rPr>
      </w:pPr>
      <w:r>
        <w:rPr>
          <w:color w:val="000000"/>
        </w:rPr>
        <w:t>•</w:t>
      </w:r>
    </w:p>
    <w:p>
      <w:pPr>
        <w:pStyle w:val="TextBody"/>
        <w:bidi w:val="0"/>
        <w:spacing w:before="0" w:after="160"/>
        <w:jc w:val="left"/>
        <w:rPr>
          <w:color w:val="000000"/>
        </w:rPr>
      </w:pPr>
      <w:r>
        <w:rPr>
          <w:color w:val="000000"/>
        </w:rPr>
        <w:t>“</w:t>
      </w:r>
      <w:r>
        <w:rPr>
          <w:rFonts w:ascii="Times New Roman" w:hAnsi="Times New Roman"/>
          <w:b w:val="false"/>
          <w:color w:val="000000"/>
          <w:sz w:val="22"/>
        </w:rPr>
        <w:t>Royalty Threshold” means the [***], [***], [***] and/or [***], as the case may be.</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5.</w:t>
      </w:r>
    </w:p>
    <w:p>
      <w:pPr>
        <w:pStyle w:val="TextBody"/>
        <w:bidi w:val="0"/>
        <w:spacing w:before="0" w:after="160"/>
        <w:jc w:val="left"/>
        <w:rPr/>
      </w:pPr>
      <w:r>
        <w:rPr>
          <w:rFonts w:ascii="Times New Roman" w:hAnsi="Times New Roman"/>
          <w:b w:val="false"/>
          <w:color w:val="000000"/>
          <w:sz w:val="22"/>
          <w:u w:val="single"/>
        </w:rPr>
        <w:t>Interruption License Procedure</w:t>
      </w:r>
      <w:r>
        <w:rPr>
          <w:rFonts w:ascii="Times New Roman" w:hAnsi="Times New Roman"/>
          <w:b w:val="false"/>
          <w:color w:val="000000"/>
          <w:sz w:val="22"/>
        </w:rPr>
        <w:t xml:space="preserve">. CFF acknowledges that Arcturus has a significant interest in protecting the proprietary nature of its trade secret assets, including design and optimization technologies and formulation processes. Therefore, CFF will, within [***] of a grant of the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rFonts w:ascii="Times New Roman" w:hAnsi="Times New Roman"/>
          <w:b w:val="false"/>
          <w:color w:val="000000"/>
          <w:sz w:val="22"/>
        </w:rPr>
        <w:t>Interruption License from Arcturus, provide written notice to Arcturus of its intent to further develop the CF Product directly or indirectly. In the event that CFF does not, within [***] after a grant of the Interruption License from Arcturus, provide written notice to Arcturus certifying that CFF has determined to fund and to use commercially reasonable efforts to develop the CF Product, or has licensed the CF Product on an arms-length basis to a third party with sufficient resources to develop and commercialize the CF Product, then the Interruption License shall be deemed terminated; provided that if at the end of such [***] period the CFF is engaged in good faith negotiations with a third party regarding such a license, CFF may request an extension of this period, with Arcturus’ consent not to be unreasonably withheld.</w:t>
      </w:r>
      <w:r>
        <w:rPr>
          <w:color w:val="00000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6.</w:t>
      </w:r>
    </w:p>
    <w:p>
      <w:pPr>
        <w:pStyle w:val="TextBody"/>
        <w:bidi w:val="0"/>
        <w:spacing w:before="0" w:after="160"/>
        <w:jc w:val="left"/>
        <w:rPr/>
      </w:pPr>
      <w:r>
        <w:rPr>
          <w:rFonts w:ascii="Times New Roman" w:hAnsi="Times New Roman"/>
          <w:b w:val="false"/>
          <w:color w:val="000000"/>
          <w:sz w:val="22"/>
          <w:u w:val="single"/>
        </w:rPr>
        <w:t>Exhibits</w:t>
      </w:r>
      <w:r>
        <w:rPr>
          <w:rFonts w:ascii="Times New Roman" w:hAnsi="Times New Roman"/>
          <w:b w:val="false"/>
          <w:color w:val="000000"/>
          <w:sz w:val="22"/>
        </w:rPr>
        <w:t xml:space="preserve">. </w:t>
      </w:r>
      <w:r>
        <w:rPr>
          <w:rFonts w:ascii="Times New Roman" w:hAnsi="Times New Roman"/>
          <w:b w:val="false"/>
          <w:color w:val="000000"/>
          <w:sz w:val="22"/>
          <w:u w:val="single"/>
        </w:rPr>
        <w:t>Exhibit A-4</w:t>
      </w:r>
      <w:r>
        <w:rPr>
          <w:color w:val="000000"/>
        </w:rPr>
        <w:t xml:space="preserve"> </w:t>
      </w:r>
      <w:r>
        <w:rPr>
          <w:rFonts w:ascii="Times New Roman" w:hAnsi="Times New Roman"/>
          <w:b w:val="false"/>
          <w:color w:val="000000"/>
          <w:sz w:val="22"/>
        </w:rPr>
        <w:t xml:space="preserve">attached hereto is hereby added to </w:t>
      </w:r>
      <w:r>
        <w:rPr>
          <w:rFonts w:ascii="Times New Roman" w:hAnsi="Times New Roman"/>
          <w:b w:val="false"/>
          <w:color w:val="000000"/>
          <w:sz w:val="22"/>
          <w:u w:val="single"/>
        </w:rPr>
        <w:t>Exhibit A</w:t>
      </w:r>
      <w:r>
        <w:rPr>
          <w:color w:val="000000"/>
        </w:rPr>
        <w:t xml:space="preserve"> </w:t>
      </w:r>
      <w:r>
        <w:rPr>
          <w:rFonts w:ascii="Times New Roman" w:hAnsi="Times New Roman"/>
          <w:b w:val="false"/>
          <w:color w:val="000000"/>
          <w:sz w:val="22"/>
        </w:rPr>
        <w:t xml:space="preserve">of the Agreement and constitutes a portion of the Development Plan referenced in the Agreement. </w:t>
      </w:r>
      <w:r>
        <w:rPr>
          <w:rFonts w:ascii="Times New Roman" w:hAnsi="Times New Roman"/>
          <w:b w:val="false"/>
          <w:color w:val="000000"/>
          <w:sz w:val="22"/>
          <w:u w:val="single"/>
        </w:rPr>
        <w:t>Exhibit B-4</w:t>
      </w:r>
      <w:r>
        <w:rPr>
          <w:color w:val="000000"/>
        </w:rPr>
        <w:t xml:space="preserve"> </w:t>
      </w:r>
      <w:r>
        <w:rPr>
          <w:rFonts w:ascii="Times New Roman" w:hAnsi="Times New Roman"/>
          <w:b w:val="false"/>
          <w:color w:val="000000"/>
          <w:sz w:val="22"/>
        </w:rPr>
        <w:t xml:space="preserve">attached hereto is hereby added to </w:t>
      </w:r>
      <w:r>
        <w:rPr>
          <w:rFonts w:ascii="Times New Roman" w:hAnsi="Times New Roman"/>
          <w:b w:val="false"/>
          <w:color w:val="000000"/>
          <w:sz w:val="22"/>
          <w:u w:val="single"/>
        </w:rPr>
        <w:t>Exhibit B</w:t>
      </w:r>
      <w:r>
        <w:rPr>
          <w:color w:val="000000"/>
        </w:rPr>
        <w:t xml:space="preserve"> </w:t>
      </w:r>
      <w:r>
        <w:rPr>
          <w:rFonts w:ascii="Times New Roman" w:hAnsi="Times New Roman"/>
          <w:b w:val="false"/>
          <w:color w:val="000000"/>
          <w:sz w:val="22"/>
        </w:rPr>
        <w:t>of the Agreement, such that the milestone detailed therein shall be added to the master Payment Schedule of the Agreement.</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7.</w:t>
      </w:r>
    </w:p>
    <w:p>
      <w:pPr>
        <w:pStyle w:val="TextBody"/>
        <w:bidi w:val="0"/>
        <w:spacing w:before="0" w:after="160"/>
        <w:jc w:val="left"/>
        <w:rPr/>
      </w:pPr>
      <w:r>
        <w:rPr>
          <w:rFonts w:ascii="Times New Roman" w:hAnsi="Times New Roman"/>
          <w:b w:val="false"/>
          <w:color w:val="000000"/>
          <w:sz w:val="22"/>
          <w:u w:val="single"/>
        </w:rPr>
        <w:t>Continuing Effect</w:t>
      </w:r>
      <w:r>
        <w:rPr>
          <w:rFonts w:ascii="Times New Roman" w:hAnsi="Times New Roman"/>
          <w:b w:val="false"/>
          <w:color w:val="000000"/>
          <w:sz w:val="22"/>
        </w:rPr>
        <w:t>. Except as set forth in this Amendment No. 4, the Agreement shall remain in full force and effect.</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8.</w:t>
      </w:r>
    </w:p>
    <w:p>
      <w:pPr>
        <w:pStyle w:val="TextBody"/>
        <w:bidi w:val="0"/>
        <w:spacing w:before="0" w:after="160"/>
        <w:jc w:val="left"/>
        <w:rPr/>
      </w:pPr>
      <w:r>
        <w:rPr>
          <w:rFonts w:ascii="Times New Roman" w:hAnsi="Times New Roman"/>
          <w:b w:val="false"/>
          <w:color w:val="000000"/>
          <w:sz w:val="22"/>
          <w:u w:val="single"/>
        </w:rPr>
        <w:t>Counterparts</w:t>
      </w:r>
      <w:r>
        <w:rPr>
          <w:rFonts w:ascii="Times New Roman" w:hAnsi="Times New Roman"/>
          <w:b w:val="false"/>
          <w:color w:val="000000"/>
          <w:sz w:val="22"/>
        </w:rPr>
        <w:t>. This Amendment No. 4 may be executed in any number of counterparts, each of which shall be an original instrument and all of which, when taken together, shall constitute one and the same agreement.</w:t>
      </w:r>
    </w:p>
    <w:p>
      <w:pPr>
        <w:pStyle w:val="TextBody"/>
        <w:bidi w:val="0"/>
        <w:spacing w:before="0" w:after="160"/>
        <w:jc w:val="center"/>
        <w:rPr>
          <w:rFonts w:ascii="Times New Roman" w:hAnsi="Times New Roman"/>
          <w:b w:val="false"/>
          <w:color w:val="000000"/>
          <w:sz w:val="22"/>
        </w:rPr>
      </w:pPr>
      <w:r>
        <w:rPr>
          <w:rFonts w:ascii="Times New Roman" w:hAnsi="Times New Roman"/>
          <w:b w:val="false"/>
          <w:color w:val="000000"/>
          <w:sz w:val="22"/>
        </w:rPr>
        <w:t>[signature page follows]</w:t>
      </w:r>
    </w:p>
    <w:p>
      <w:pPr>
        <w:pStyle w:val="TextBody"/>
        <w:bidi w:val="0"/>
        <w:jc w:val="left"/>
        <w:rPr/>
      </w:pPr>
      <w:r>
        <w:rPr/>
        <w:t>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IN WITNESS WHEREOF, the undersigned have executed this Amendment No. 4 as of the Amendment No. 4 Effective Date.</w:t>
      </w:r>
    </w:p>
    <w:p>
      <w:pPr>
        <w:pStyle w:val="TextBody"/>
        <w:bidi w:val="0"/>
        <w:spacing w:before="0" w:after="160"/>
        <w:jc w:val="left"/>
        <w:rPr/>
      </w:pPr>
      <w:r>
        <w:rPr/>
        <w:t>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CYSTIC FIBROSIS FOUNDATION ARCTURUS THERAPEUTICS, INC.</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 xml:space="preserve">By: By: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 xml:space="preserve">Name: Name: </w:t>
      </w:r>
    </w:p>
    <w:p>
      <w:pPr>
        <w:pStyle w:val="TextBody"/>
        <w:bidi w:val="0"/>
        <w:spacing w:before="0" w:after="160"/>
        <w:jc w:val="left"/>
        <w:rPr>
          <w:rFonts w:ascii="Times New Roman" w:hAnsi="Times New Roman"/>
          <w:b w:val="false"/>
          <w:color w:val="000000"/>
          <w:sz w:val="22"/>
        </w:rPr>
      </w:pPr>
      <w:r>
        <w:rPr>
          <w:rFonts w:ascii="Times New Roman" w:hAnsi="Times New Roman"/>
          <w:b w:val="false"/>
          <w:color w:val="000000"/>
          <w:sz w:val="22"/>
        </w:rPr>
        <w:t xml:space="preserve">Title: Title: </w:t>
      </w:r>
    </w:p>
    <w:p>
      <w:pPr>
        <w:pStyle w:val="TextBody"/>
        <w:bidi w:val="0"/>
        <w:jc w:val="left"/>
        <w:rPr/>
      </w:pPr>
      <w:r>
        <w:rPr/>
        <w:t>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val="false"/>
          <w:color w:val="000000"/>
          <w:sz w:val="22"/>
          <w:u w:val="single"/>
        </w:rPr>
      </w:pPr>
      <w:r>
        <w:rPr>
          <w:rFonts w:ascii="Times New Roman" w:hAnsi="Times New Roman"/>
          <w:b w:val="false"/>
          <w:color w:val="000000"/>
          <w:sz w:val="22"/>
          <w:u w:val="single"/>
        </w:rPr>
        <w:t>Exhibit A-4</w:t>
      </w:r>
    </w:p>
    <w:p>
      <w:pPr>
        <w:pStyle w:val="TextBody"/>
        <w:bidi w:val="0"/>
        <w:spacing w:before="0" w:after="160"/>
        <w:jc w:val="center"/>
        <w:rPr>
          <w:rFonts w:ascii="Times New Roman" w:hAnsi="Times New Roman"/>
          <w:b w:val="false"/>
          <w:color w:val="000000"/>
          <w:sz w:val="22"/>
        </w:rPr>
      </w:pPr>
      <w:r>
        <w:rPr>
          <w:rFonts w:ascii="Times New Roman" w:hAnsi="Times New Roman"/>
          <w:b w:val="false"/>
          <w:color w:val="000000"/>
          <w:sz w:val="22"/>
        </w:rPr>
        <w:t>[***]</w:t>
      </w:r>
    </w:p>
    <w:p>
      <w:pPr>
        <w:pStyle w:val="TextBody"/>
        <w:bidi w:val="0"/>
        <w:spacing w:before="0" w:after="160"/>
        <w:jc w:val="left"/>
        <w:rPr>
          <w:rFonts w:ascii="Times New Roman" w:hAnsi="Times New Roman"/>
          <w:sz w:val="20"/>
        </w:rPr>
      </w:pPr>
      <w:r>
        <w:rPr>
          <w:rFonts w:ascii="Calibri;sans-serif" w:hAnsi="Calibri;sans-serif"/>
          <w:b w:val="false"/>
          <w:color w:val="000000"/>
          <w:sz w:val="18"/>
        </w:rPr>
        <w:t>IF " DOCVARIABLE "SWDocIDLocation" " = "4" " DOCPROPERTY "SWDocID" 508535180v.1" ""</w:t>
      </w:r>
      <w:r>
        <w:rPr>
          <w:rFonts w:ascii="Times New Roman" w:hAnsi="Times New Roman"/>
          <w:color w:val="000000"/>
          <w:sz w:val="20"/>
        </w:rPr>
        <w:t xml:space="preserve"> </w:t>
      </w:r>
    </w:p>
    <w:p>
      <w:pPr>
        <w:pStyle w:val="TextBody"/>
        <w:bidi w:val="0"/>
        <w:jc w:val="center"/>
        <w:rPr>
          <w:rFonts w:ascii="Calibri;sans-serif" w:hAnsi="Calibri;sans-serif"/>
          <w:b w:val="false"/>
          <w:color w:val="000000"/>
          <w:sz w:val="22"/>
        </w:rPr>
      </w:pPr>
      <w:r>
        <w:rPr>
          <w:rFonts w:ascii="Calibri;sans-serif" w:hAnsi="Calibri;sans-serif"/>
          <w:b w:val="false"/>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rct-ex31_1.htm"/>
      <w:bookmarkStart w:id="30" w:name="ksarctex31_1"/>
      <w:bookmarkEnd w:id="29"/>
      <w:bookmarkEnd w:id="30"/>
      <w:r>
        <w:rPr/>
        <w:t> </w:t>
      </w:r>
      <w:r>
        <w:br w:type="page"/>
      </w:r>
    </w:p>
    <w:p>
      <w:pPr>
        <w:pStyle w:val="TextBody"/>
        <w:bidi w:val="0"/>
        <w:jc w:val="right"/>
        <w:rPr>
          <w:rFonts w:ascii="Times New Roman" w:hAnsi="Times New Roman"/>
          <w:b/>
          <w:color w:val="000000"/>
          <w:sz w:val="20"/>
        </w:rPr>
      </w:pPr>
      <w:bookmarkStart w:id="31" w:name="exhibit_index"/>
      <w:bookmarkEnd w:id="31"/>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Joseph E. Payne,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Arcturus Therapeutics Holdings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rct-ex31_2.htm"/>
      <w:bookmarkStart w:id="33" w:name="ksarctex31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Andy Sassine,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Arcturus Therapeutics Holdings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206"/>
        <w:gridCol w:w="109"/>
        <w:gridCol w:w="406"/>
        <w:gridCol w:w="21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arct-ex32_1.htm"/>
      <w:bookmarkStart w:id="35" w:name="ksarctex32_1"/>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September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E. Payne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arct-ex32_2.htm"/>
      <w:bookmarkStart w:id="37" w:name="ksarctex32_2"/>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September 30,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206"/>
        <w:gridCol w:w="109"/>
        <w:gridCol w:w="406"/>
        <w:gridCol w:w="21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Andy Sassine</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0001566049/000119312519077140/d721306ds4.htm" TargetMode="External"/><Relationship Id="rId7" Type="http://schemas.openxmlformats.org/officeDocument/2006/relationships/hyperlink" Target="https://www.sec.gov/Archives/edgar/data/0001566049/000119312519077140/d721306ds4.htm" TargetMode="External"/><Relationship Id="rId8" Type="http://schemas.openxmlformats.org/officeDocument/2006/relationships/hyperlink" Target="https://www.sec.gov/Archives/edgar/data/0001768224/000119380520001470/e620104_ex3-1.htm" TargetMode="External"/><Relationship Id="rId9" Type="http://schemas.openxmlformats.org/officeDocument/2006/relationships/hyperlink" Target="https://www.sec.gov/Archives/edgar/data/0001768224/000119380520000569/e619613_ex3-2.htm" TargetMode="External"/><Relationship Id="rId10" Type="http://schemas.openxmlformats.org/officeDocument/2006/relationships/hyperlink" Target="https://www.sec.gov/Archives/edgar/data/1768224/000156459021009872/arct-ex41_391.htm" TargetMode="External"/><Relationship Id="rId11" Type="http://schemas.openxmlformats.org/officeDocument/2006/relationships/hyperlink" Target="https://www.sec.gov/Archives/edgar/data/1768224/000156459020011037/arct-ex101_364.htm" TargetMode="External"/><Relationship Id="rId12" Type="http://schemas.openxmlformats.org/officeDocument/2006/relationships/hyperlink" Target="https://www.sec.gov/Archives/edgar/data/0001768224/000119380520000940/e619825_ex4-3.htm" TargetMode="External"/><Relationship Id="rId13" Type="http://schemas.openxmlformats.org/officeDocument/2006/relationships/hyperlink" Target="https://www.sec.gov/Archives/edgar/data/0001566049/000156459018023735/arct-ex992_6.htm" TargetMode="External"/><Relationship Id="rId14" Type="http://schemas.openxmlformats.org/officeDocument/2006/relationships/hyperlink" Target="https://www.sec.gov/Archives/edgar/data/0001566049/000156459018013460/arct-ex48_879.htm" TargetMode="External"/><Relationship Id="rId15" Type="http://schemas.openxmlformats.org/officeDocument/2006/relationships/hyperlink" Target="https://www.sec.gov/Archives/edgar/data/0001566049/000156459018013460/arct-ex410_883.htm" TargetMode="External"/><Relationship Id="rId16" Type="http://schemas.openxmlformats.org/officeDocument/2006/relationships/hyperlink" Target="https://www.sec.gov/Archives/edgar/data/0001566049/000119312519176908/d721252dex102.htm" TargetMode="External"/><Relationship Id="rId17" Type="http://schemas.openxmlformats.org/officeDocument/2006/relationships/hyperlink" Target="https://www.sec.gov/Archives/edgar/data/0001566049/000156459018013460/arct-ex411_878.htm" TargetMode="External"/><Relationship Id="rId18" Type="http://schemas.openxmlformats.org/officeDocument/2006/relationships/hyperlink" Target="https://www.sec.gov/Archives/edgar/data/0001768224/000156459019032166/arct-ex1016_165.htm" TargetMode="External"/><Relationship Id="rId19" Type="http://schemas.openxmlformats.org/officeDocument/2006/relationships/hyperlink" Target="https://www.sec.gov/Archives/edgar/data/0001566049/000156459018013460/arct-ex412_1677.htm" TargetMode="External"/><Relationship Id="rId20" Type="http://schemas.openxmlformats.org/officeDocument/2006/relationships/hyperlink" Target="https://www.sec.gov/Archives/edgar/data/0001768224/000156459019032166/arct-ex1020_166.htm" TargetMode="External"/><Relationship Id="rId21" Type="http://schemas.openxmlformats.org/officeDocument/2006/relationships/hyperlink" Target="https://www.sec.gov/Archives/edgar/data/0001566049/000156459018016705/arct-ex414_7.htm" TargetMode="External"/><Relationship Id="rId22" Type="http://schemas.openxmlformats.org/officeDocument/2006/relationships/hyperlink" Target="https://www.sec.gov/Archives/edgar/data/0001566049/000156459018013460/arct-ex415_876.htm" TargetMode="External"/><Relationship Id="rId23" Type="http://schemas.openxmlformats.org/officeDocument/2006/relationships/hyperlink" Target="https://www.sec.gov/Archives/edgar/data/0001566049/000156459019008092/arct-ex1013_446.htm" TargetMode="External"/><Relationship Id="rId24" Type="http://schemas.openxmlformats.org/officeDocument/2006/relationships/hyperlink" Target="https://www.sec.gov/Archives/edgar/data/0001566049/000156459018013460/arct-ex46_882.htm" TargetMode="External"/><Relationship Id="rId25" Type="http://schemas.openxmlformats.org/officeDocument/2006/relationships/hyperlink" Target="https://www.sec.gov/Archives/edgar/data/0001768224/000156459020011037/arct-ex1023_426.htm" TargetMode="External"/><Relationship Id="rId26" Type="http://schemas.openxmlformats.org/officeDocument/2006/relationships/hyperlink" Target="https://www.sec.gov/Archives/edgar/data/0001768224/000156459020011037/arct-ex1024_365.htm" TargetMode="External"/><Relationship Id="rId27" Type="http://schemas.openxmlformats.org/officeDocument/2006/relationships/hyperlink" Target="https://www.sec.gov/Archives/edgar/data/0001768224/000119380520000940/e619825_ex4-3.htm" TargetMode="External"/><Relationship Id="rId28" Type="http://schemas.openxmlformats.org/officeDocument/2006/relationships/hyperlink" Target="https://www.sec.gov/Archives/edgar/data/1768224/000156459021009872/arct-ex1029_392.htm" TargetMode="External"/><Relationship Id="rId29" Type="http://schemas.openxmlformats.org/officeDocument/2006/relationships/hyperlink" Target="https://www.sec.gov/Archives/edgar/data/1768224/000156459021009872/arct-ex1030_393.htm" TargetMode="External"/><Relationship Id="rId30" Type="http://schemas.openxmlformats.org/officeDocument/2006/relationships/hyperlink" Target="https://www.sec.gov/Archives/edgar/data/1768224/000119380521000538/e620514_ex10-1.htm" TargetMode="External"/><Relationship Id="rId31" Type="http://schemas.openxmlformats.org/officeDocument/2006/relationships/hyperlink" Target="https://www.sec.gov/Archives/edgar/data/1768224/000156459021055372/arct-ex1035_75.htm" TargetMode="External"/><Relationship Id="rId32" Type="http://schemas.openxmlformats.org/officeDocument/2006/relationships/hyperlink" Target="https://www.sec.gov/Archives/edgar/data/0001768224/000119380521001468/e621018_ex4-1.htm" TargetMode="External"/><Relationship Id="rId33" Type="http://schemas.openxmlformats.org/officeDocument/2006/relationships/hyperlink" Target="https://www.sec.gov/Archives/edgar/data/1768224/000119380522001036/e621786_ex4-3.htm" TargetMode="External"/><Relationship Id="rId34" Type="http://schemas.openxmlformats.org/officeDocument/2006/relationships/hyperlink" Target="https://www.sec.gov/Archives/edgar/data/1768224/000119380522001036/e621786_ex4-3.htm" TargetMode="External"/><Relationship Id="rId35" Type="http://schemas.openxmlformats.org/officeDocument/2006/relationships/hyperlink" Target="https://www.sec.gov/Archives/edgar/data/1768224/000095017022023969/arct-ex10_36.htm" TargetMode="External"/><Relationship Id="rId36" Type="http://schemas.openxmlformats.org/officeDocument/2006/relationships/hyperlink" Target="https://www.sec.gov/Archives/edgar/data/1768224/000095017022023969/arct-ex10_36.htm" TargetMode="External"/><Relationship Id="rId37" Type="http://schemas.openxmlformats.org/officeDocument/2006/relationships/hyperlink" Target="https://www.sec.gov/Archives/edgar/data/1768224/000119380522001480/e617791_ex10-1.htm" TargetMode="External"/><Relationship Id="rId38" Type="http://schemas.openxmlformats.org/officeDocument/2006/relationships/hyperlink" Target="https://www.sec.gov/Archives/edgar/data/1768224/000095017022023969/arct-ex10_38.htm" TargetMode="External"/><Relationship Id="rId39" Type="http://schemas.openxmlformats.org/officeDocument/2006/relationships/hyperlink" Target="https://www.sec.gov/Archives/edgar/data/1768224/000095017023010380/arct-ex10_41.htm" TargetMode="External"/><Relationship Id="rId40" Type="http://schemas.openxmlformats.org/officeDocument/2006/relationships/hyperlink" Target="https://www.sec.gov/Archives/edgar/data/1768224/000095017023010380/arct-ex10_41.htm" TargetMode="External"/><Relationship Id="rId41" Type="http://schemas.openxmlformats.org/officeDocument/2006/relationships/hyperlink" Target="https://www.sec.gov/Archives/edgar/data/1768224/000095017023019773/arct-ex10_28.htm" TargetMode="External"/><Relationship Id="rId42" Type="http://schemas.openxmlformats.org/officeDocument/2006/relationships/hyperlink" Target="https://www.sec.gov/Archives/edgar/data/1768224/000095017023019773/arct-ex10_28.htm" TargetMode="External"/><Relationship Id="rId43" Type="http://schemas.openxmlformats.org/officeDocument/2006/relationships/hyperlink" Target="https://www.sec.gov/Archives/edgar/data/1768224/000095017023019773/arct-ex10_29.htm" TargetMode="External"/><Relationship Id="rId44" Type="http://schemas.openxmlformats.org/officeDocument/2006/relationships/hyperlink" Target="https://www.sec.gov/Archives/edgar/data/1768224/000095017023019773/arct-ex10_29.htm" TargetMode="External"/><Relationship Id="rId45" Type="http://schemas.openxmlformats.org/officeDocument/2006/relationships/hyperlink" Target="https://www.sec.gov/Archives/edgar/data/1768224/000095017023019773/arct-ex10_30.htm" TargetMode="External"/><Relationship Id="rId46" Type="http://schemas.openxmlformats.org/officeDocument/2006/relationships/hyperlink" Target="https://www.sec.gov/Archives/edgar/data/1768224/000095017023019773/arct-ex10_30.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22922</Words>
  <Characters>127792</Characters>
  <CharactersWithSpaces>151271</CharactersWithSpaces>
  <Paragraphs>4319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