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Arcturus Therapeutics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03969T109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03969T109</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Nikko Asset Management Americas,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1,690,962.00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1,926,084.00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1,926,084.00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Arcturus Therapeutics Holdings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10628 Science Center Drive, Suite 250, San Diego, California, 92121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Nikko Asset Management Americas,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605 Third Avenue, 38th Floor, New York, NY 10158</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USA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par value $0.001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03969T109</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820" w:type="dxa"/>
            <w:vAlign w:val="bottom"/>
          </w:tcPr>
          <w:p>
            <w:pPr>
              <w:spacing w:after="0"/>
              <w:rPr>
                <w:sz w:val="23"/>
                <w:szCs w:val="23"/>
                <w:color w:val="auto"/>
              </w:rPr>
            </w:pPr>
          </w:p>
        </w:tc>
        <w:tc>
          <w:tcPr>
            <w:tcW w:w="1032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please specify the type of institution:</w:t>
            </w:r>
          </w:p>
        </w:tc>
        <w:tc>
          <w:tcPr>
            <w:tcW w:w="0" w:type="dxa"/>
            <w:vAlign w:val="bottom"/>
          </w:tcPr>
          <w:p>
            <w:pPr>
              <w:spacing w:after="0"/>
              <w:rPr>
                <w:sz w:val="1"/>
                <w:szCs w:val="1"/>
                <w:color w:val="auto"/>
              </w:rPr>
            </w:pPr>
          </w:p>
        </w:tc>
      </w:tr>
      <w:tr>
        <w:trPr>
          <w:trHeight w:val="296"/>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(k)</w:t>
            </w:r>
          </w:p>
        </w:tc>
        <w:tc>
          <w:tcPr>
            <w:tcW w:w="1032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Group, in accordance with Rule 240.13d-1(b)(1)(ii)(K).</w:t>
            </w:r>
          </w:p>
        </w:tc>
        <w:tc>
          <w:tcPr>
            <w:tcW w:w="0" w:type="dxa"/>
            <w:vAlign w:val="bottom"/>
          </w:tcPr>
          <w:p>
            <w:pPr>
              <w:spacing w:after="0"/>
              <w:rPr>
                <w:sz w:val="1"/>
                <w:szCs w:val="1"/>
                <w:color w:val="auto"/>
              </w:rPr>
            </w:pPr>
          </w:p>
        </w:tc>
      </w:tr>
      <w:tr>
        <w:trPr>
          <w:trHeight w:val="594"/>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Item 4.</w:t>
            </w: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Ownership</w:t>
            </w:r>
          </w:p>
        </w:tc>
        <w:tc>
          <w:tcPr>
            <w:tcW w:w="0" w:type="dxa"/>
            <w:vAlign w:val="bottom"/>
          </w:tcPr>
          <w:p>
            <w:pPr>
              <w:spacing w:after="0"/>
              <w:rPr>
                <w:sz w:val="1"/>
                <w:szCs w:val="1"/>
                <w:color w:val="auto"/>
              </w:rPr>
            </w:pPr>
          </w:p>
        </w:tc>
      </w:tr>
      <w:tr>
        <w:trPr>
          <w:trHeight w:val="297"/>
        </w:trPr>
        <w:tc>
          <w:tcPr>
            <w:tcW w:w="8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(a)</w:t>
            </w: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Amount beneficially owned:</w:t>
            </w:r>
          </w:p>
        </w:tc>
        <w:tc>
          <w:tcPr>
            <w:tcW w:w="0" w:type="dxa"/>
            <w:vAlign w:val="bottom"/>
          </w:tcPr>
          <w:p>
            <w:pPr>
              <w:spacing w:after="0"/>
              <w:rPr>
                <w:sz w:val="1"/>
                <w:szCs w:val="1"/>
                <w:color w:val="auto"/>
              </w:rPr>
            </w:pPr>
          </w:p>
        </w:tc>
      </w:tr>
      <w:tr>
        <w:trPr>
          <w:trHeight w:val="243"/>
        </w:trPr>
        <w:tc>
          <w:tcPr>
            <w:tcW w:w="820" w:type="dxa"/>
            <w:vAlign w:val="bottom"/>
            <w:vMerge w:val="continue"/>
          </w:tcPr>
          <w:p>
            <w:pPr>
              <w:spacing w:after="0"/>
              <w:rPr>
                <w:sz w:val="21"/>
                <w:szCs w:val="21"/>
                <w:color w:val="auto"/>
              </w:rPr>
            </w:pPr>
          </w:p>
        </w:tc>
        <w:tc>
          <w:tcPr>
            <w:tcW w:w="1032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1,926,084</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8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(b)</w:t>
            </w: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Percent of class:</w:t>
            </w:r>
          </w:p>
        </w:tc>
        <w:tc>
          <w:tcPr>
            <w:tcW w:w="0" w:type="dxa"/>
            <w:vAlign w:val="bottom"/>
          </w:tcPr>
          <w:p>
            <w:pPr>
              <w:spacing w:after="0"/>
              <w:rPr>
                <w:sz w:val="1"/>
                <w:szCs w:val="1"/>
                <w:color w:val="auto"/>
              </w:rPr>
            </w:pPr>
          </w:p>
        </w:tc>
      </w:tr>
      <w:tr>
        <w:trPr>
          <w:trHeight w:val="243"/>
        </w:trPr>
        <w:tc>
          <w:tcPr>
            <w:tcW w:w="820" w:type="dxa"/>
            <w:vAlign w:val="bottom"/>
            <w:vMerge w:val="continue"/>
          </w:tcPr>
          <w:p>
            <w:pPr>
              <w:spacing w:after="0"/>
              <w:rPr>
                <w:sz w:val="21"/>
                <w:szCs w:val="21"/>
                <w:color w:val="auto"/>
              </w:rPr>
            </w:pPr>
          </w:p>
        </w:tc>
        <w:tc>
          <w:tcPr>
            <w:tcW w:w="1032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7.1 %</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(c)</w:t>
            </w: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Number of shares as to which the person has:</w:t>
            </w:r>
          </w:p>
        </w:tc>
        <w:tc>
          <w:tcPr>
            <w:tcW w:w="0" w:type="dxa"/>
            <w:vAlign w:val="bottom"/>
          </w:tcPr>
          <w:p>
            <w:pPr>
              <w:spacing w:after="0"/>
              <w:rPr>
                <w:sz w:val="1"/>
                <w:szCs w:val="1"/>
                <w:color w:val="auto"/>
              </w:rPr>
            </w:pPr>
          </w:p>
        </w:tc>
      </w:tr>
      <w:tr>
        <w:trPr>
          <w:trHeight w:val="297"/>
        </w:trPr>
        <w:tc>
          <w:tcPr>
            <w:tcW w:w="820" w:type="dxa"/>
            <w:vAlign w:val="bottom"/>
          </w:tcPr>
          <w:p>
            <w:pPr>
              <w:spacing w:after="0"/>
              <w:rPr>
                <w:sz w:val="24"/>
                <w:szCs w:val="24"/>
                <w:color w:val="auto"/>
              </w:rPr>
            </w:pP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 Sole power to vote or to direct the vote:</w:t>
            </w:r>
          </w:p>
        </w:tc>
        <w:tc>
          <w:tcPr>
            <w:tcW w:w="0" w:type="dxa"/>
            <w:vAlign w:val="bottom"/>
          </w:tcPr>
          <w:p>
            <w:pPr>
              <w:spacing w:after="0"/>
              <w:rPr>
                <w:sz w:val="1"/>
                <w:szCs w:val="1"/>
                <w:color w:val="auto"/>
              </w:rPr>
            </w:pPr>
          </w:p>
        </w:tc>
      </w:tr>
      <w:tr>
        <w:trPr>
          <w:trHeight w:val="486"/>
        </w:trPr>
        <w:tc>
          <w:tcPr>
            <w:tcW w:w="820" w:type="dxa"/>
            <w:vAlign w:val="bottom"/>
          </w:tcPr>
          <w:p>
            <w:pPr>
              <w:spacing w:after="0"/>
              <w:rPr>
                <w:sz w:val="24"/>
                <w:szCs w:val="24"/>
                <w:color w:val="auto"/>
              </w:rPr>
            </w:pP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540"/>
        </w:trPr>
        <w:tc>
          <w:tcPr>
            <w:tcW w:w="820" w:type="dxa"/>
            <w:vAlign w:val="bottom"/>
          </w:tcPr>
          <w:p>
            <w:pPr>
              <w:spacing w:after="0"/>
              <w:rPr>
                <w:sz w:val="24"/>
                <w:szCs w:val="24"/>
                <w:color w:val="auto"/>
              </w:rPr>
            </w:pP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tc>
        <w:tc>
          <w:tcPr>
            <w:tcW w:w="0" w:type="dxa"/>
            <w:vAlign w:val="bottom"/>
          </w:tcPr>
          <w:p>
            <w:pPr>
              <w:spacing w:after="0"/>
              <w:rPr>
                <w:sz w:val="1"/>
                <w:szCs w:val="1"/>
                <w:color w:val="auto"/>
              </w:rPr>
            </w:pPr>
          </w:p>
        </w:tc>
      </w:tr>
      <w:tr>
        <w:trPr>
          <w:trHeight w:val="486"/>
        </w:trPr>
        <w:tc>
          <w:tcPr>
            <w:tcW w:w="820" w:type="dxa"/>
            <w:vAlign w:val="bottom"/>
          </w:tcPr>
          <w:p>
            <w:pPr>
              <w:spacing w:after="0"/>
              <w:rPr>
                <w:sz w:val="24"/>
                <w:szCs w:val="24"/>
                <w:color w:val="auto"/>
              </w:rPr>
            </w:pP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1,690,962</w:t>
            </w:r>
          </w:p>
        </w:tc>
        <w:tc>
          <w:tcPr>
            <w:tcW w:w="0" w:type="dxa"/>
            <w:vAlign w:val="bottom"/>
          </w:tcPr>
          <w:p>
            <w:pPr>
              <w:spacing w:after="0"/>
              <w:rPr>
                <w:sz w:val="1"/>
                <w:szCs w:val="1"/>
                <w:color w:val="auto"/>
              </w:rPr>
            </w:pPr>
          </w:p>
        </w:tc>
      </w:tr>
      <w:tr>
        <w:trPr>
          <w:trHeight w:val="540"/>
        </w:trPr>
        <w:tc>
          <w:tcPr>
            <w:tcW w:w="820" w:type="dxa"/>
            <w:vAlign w:val="bottom"/>
          </w:tcPr>
          <w:p>
            <w:pPr>
              <w:spacing w:after="0"/>
              <w:rPr>
                <w:sz w:val="24"/>
                <w:szCs w:val="24"/>
                <w:color w:val="auto"/>
              </w:rPr>
            </w:pP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tc>
        <w:tc>
          <w:tcPr>
            <w:tcW w:w="0" w:type="dxa"/>
            <w:vAlign w:val="bottom"/>
          </w:tcPr>
          <w:p>
            <w:pPr>
              <w:spacing w:after="0"/>
              <w:rPr>
                <w:sz w:val="1"/>
                <w:szCs w:val="1"/>
                <w:color w:val="auto"/>
              </w:rPr>
            </w:pPr>
          </w:p>
        </w:tc>
      </w:tr>
      <w:tr>
        <w:trPr>
          <w:trHeight w:val="486"/>
        </w:trPr>
        <w:tc>
          <w:tcPr>
            <w:tcW w:w="820" w:type="dxa"/>
            <w:vAlign w:val="bottom"/>
          </w:tcPr>
          <w:p>
            <w:pPr>
              <w:spacing w:after="0"/>
              <w:rPr>
                <w:sz w:val="24"/>
                <w:szCs w:val="24"/>
                <w:color w:val="auto"/>
              </w:rPr>
            </w:pP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540"/>
        </w:trPr>
        <w:tc>
          <w:tcPr>
            <w:tcW w:w="820" w:type="dxa"/>
            <w:vAlign w:val="bottom"/>
          </w:tcPr>
          <w:p>
            <w:pPr>
              <w:spacing w:after="0"/>
              <w:rPr>
                <w:sz w:val="24"/>
                <w:szCs w:val="24"/>
                <w:color w:val="auto"/>
              </w:rPr>
            </w:pP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tc>
        <w:tc>
          <w:tcPr>
            <w:tcW w:w="0" w:type="dxa"/>
            <w:vAlign w:val="bottom"/>
          </w:tcPr>
          <w:p>
            <w:pPr>
              <w:spacing w:after="0"/>
              <w:rPr>
                <w:sz w:val="1"/>
                <w:szCs w:val="1"/>
                <w:color w:val="auto"/>
              </w:rPr>
            </w:pPr>
          </w:p>
        </w:tc>
      </w:tr>
      <w:tr>
        <w:trPr>
          <w:trHeight w:val="486"/>
        </w:trPr>
        <w:tc>
          <w:tcPr>
            <w:tcW w:w="820" w:type="dxa"/>
            <w:vAlign w:val="bottom"/>
          </w:tcPr>
          <w:p>
            <w:pPr>
              <w:spacing w:after="0"/>
              <w:rPr>
                <w:sz w:val="24"/>
                <w:szCs w:val="24"/>
                <w:color w:val="auto"/>
              </w:rPr>
            </w:pP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1,926,804</w:t>
            </w:r>
          </w:p>
        </w:tc>
        <w:tc>
          <w:tcPr>
            <w:tcW w:w="0" w:type="dxa"/>
            <w:vAlign w:val="bottom"/>
          </w:tcPr>
          <w:p>
            <w:pPr>
              <w:spacing w:after="0"/>
              <w:rPr>
                <w:sz w:val="1"/>
                <w:szCs w:val="1"/>
                <w:color w:val="auto"/>
              </w:rPr>
            </w:pPr>
          </w:p>
        </w:tc>
      </w:tr>
      <w:tr>
        <w:trPr>
          <w:trHeight w:val="540"/>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Item 6.</w:t>
            </w: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tc>
        <w:tc>
          <w:tcPr>
            <w:tcW w:w="0" w:type="dxa"/>
            <w:vAlign w:val="bottom"/>
          </w:tcPr>
          <w:p>
            <w:pPr>
              <w:spacing w:after="0"/>
              <w:rPr>
                <w:sz w:val="1"/>
                <w:szCs w:val="1"/>
                <w:color w:val="auto"/>
              </w:rPr>
            </w:pPr>
          </w:p>
        </w:tc>
      </w:tr>
      <w:tr>
        <w:trPr>
          <w:trHeight w:val="258"/>
        </w:trPr>
        <w:tc>
          <w:tcPr>
            <w:tcW w:w="820" w:type="dxa"/>
            <w:vAlign w:val="bottom"/>
          </w:tcPr>
          <w:p>
            <w:pPr>
              <w:spacing w:after="0"/>
              <w:rPr>
                <w:sz w:val="22"/>
                <w:szCs w:val="22"/>
                <w:color w:val="auto"/>
              </w:rPr>
            </w:pP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w w:val="98"/>
              </w:rPr>
              <w:t>proceeds from the sale of, such securities, a statement to that effect should be included in response to this item and, if</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w w:val="98"/>
              </w:rPr>
              <w:t>such interest relates to more than 5 percent of the class, such person should be identified. A listing of the shareholders</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of an investment company registered under the Investment Company Act of 1940 or the beneficiaries of employee</w:t>
            </w:r>
          </w:p>
        </w:tc>
        <w:tc>
          <w:tcPr>
            <w:tcW w:w="0" w:type="dxa"/>
            <w:vAlign w:val="bottom"/>
          </w:tcPr>
          <w:p>
            <w:pPr>
              <w:spacing w:after="0"/>
              <w:rPr>
                <w:sz w:val="1"/>
                <w:szCs w:val="1"/>
                <w:color w:val="auto"/>
              </w:rPr>
            </w:pPr>
          </w:p>
        </w:tc>
      </w:tr>
      <w:tr>
        <w:trPr>
          <w:trHeight w:val="282"/>
        </w:trPr>
        <w:tc>
          <w:tcPr>
            <w:tcW w:w="820" w:type="dxa"/>
            <w:vAlign w:val="bottom"/>
          </w:tcPr>
          <w:p>
            <w:pPr>
              <w:spacing w:after="0"/>
              <w:rPr>
                <w:sz w:val="24"/>
                <w:szCs w:val="24"/>
                <w:color w:val="auto"/>
              </w:rPr>
            </w:pP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benefit plan, pension fund or endowment fund is not required.</w:t>
            </w:r>
          </w:p>
        </w:tc>
        <w:tc>
          <w:tcPr>
            <w:tcW w:w="0" w:type="dxa"/>
            <w:vAlign w:val="bottom"/>
          </w:tcPr>
          <w:p>
            <w:pPr>
              <w:spacing w:after="0"/>
              <w:rPr>
                <w:sz w:val="1"/>
                <w:szCs w:val="1"/>
                <w:color w:val="auto"/>
              </w:rPr>
            </w:pPr>
          </w:p>
        </w:tc>
      </w:tr>
      <w:tr>
        <w:trPr>
          <w:trHeight w:val="729"/>
        </w:trPr>
        <w:tc>
          <w:tcPr>
            <w:tcW w:w="820" w:type="dxa"/>
            <w:vAlign w:val="bottom"/>
          </w:tcPr>
          <w:p>
            <w:pPr>
              <w:spacing w:after="0"/>
              <w:rPr>
                <w:sz w:val="24"/>
                <w:szCs w:val="24"/>
                <w:color w:val="auto"/>
              </w:rPr>
            </w:pP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See Exhibit A.</w:t>
            </w:r>
          </w:p>
        </w:tc>
        <w:tc>
          <w:tcPr>
            <w:tcW w:w="0" w:type="dxa"/>
            <w:vAlign w:val="bottom"/>
          </w:tcPr>
          <w:p>
            <w:pPr>
              <w:spacing w:after="0"/>
              <w:rPr>
                <w:sz w:val="1"/>
                <w:szCs w:val="1"/>
                <w:color w:val="auto"/>
              </w:rPr>
            </w:pPr>
          </w:p>
        </w:tc>
      </w:tr>
      <w:tr>
        <w:trPr>
          <w:trHeight w:val="258"/>
        </w:trPr>
        <w:tc>
          <w:tcPr>
            <w:tcW w:w="8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Item 7.</w:t>
            </w: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w:t>
            </w:r>
          </w:p>
        </w:tc>
        <w:tc>
          <w:tcPr>
            <w:tcW w:w="0" w:type="dxa"/>
            <w:vAlign w:val="bottom"/>
          </w:tcPr>
          <w:p>
            <w:pPr>
              <w:spacing w:after="0"/>
              <w:rPr>
                <w:sz w:val="1"/>
                <w:szCs w:val="1"/>
                <w:color w:val="auto"/>
              </w:rPr>
            </w:pPr>
          </w:p>
        </w:tc>
      </w:tr>
      <w:tr>
        <w:trPr>
          <w:trHeight w:val="161"/>
        </w:trPr>
        <w:tc>
          <w:tcPr>
            <w:tcW w:w="820" w:type="dxa"/>
            <w:vAlign w:val="bottom"/>
            <w:vMerge w:val="continue"/>
          </w:tcPr>
          <w:p>
            <w:pPr>
              <w:spacing w:after="0"/>
              <w:rPr>
                <w:sz w:val="13"/>
                <w:szCs w:val="13"/>
                <w:color w:val="auto"/>
              </w:rPr>
            </w:pPr>
          </w:p>
        </w:tc>
        <w:tc>
          <w:tcPr>
            <w:tcW w:w="1032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Holding Company or Control Person.</w:t>
            </w:r>
          </w:p>
        </w:tc>
        <w:tc>
          <w:tcPr>
            <w:tcW w:w="0" w:type="dxa"/>
            <w:vAlign w:val="bottom"/>
          </w:tcPr>
          <w:p>
            <w:pPr>
              <w:spacing w:after="0"/>
              <w:rPr>
                <w:sz w:val="1"/>
                <w:szCs w:val="1"/>
                <w:color w:val="auto"/>
              </w:rPr>
            </w:pPr>
          </w:p>
        </w:tc>
      </w:tr>
      <w:tr>
        <w:trPr>
          <w:trHeight w:val="121"/>
        </w:trPr>
        <w:tc>
          <w:tcPr>
            <w:tcW w:w="820" w:type="dxa"/>
            <w:vAlign w:val="bottom"/>
          </w:tcPr>
          <w:p>
            <w:pPr>
              <w:spacing w:after="0"/>
              <w:rPr>
                <w:sz w:val="10"/>
                <w:szCs w:val="10"/>
                <w:color w:val="auto"/>
              </w:rPr>
            </w:pPr>
          </w:p>
        </w:tc>
        <w:tc>
          <w:tcPr>
            <w:tcW w:w="103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820" w:type="dxa"/>
            <w:vAlign w:val="bottom"/>
          </w:tcPr>
          <w:p>
            <w:pPr>
              <w:spacing w:after="0"/>
              <w:rPr>
                <w:sz w:val="22"/>
                <w:szCs w:val="22"/>
                <w:color w:val="auto"/>
              </w:rPr>
            </w:pP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8"/>
              </w:rPr>
              <w:t>If a parent holding company has filed this schedule, pursuant to Rule 13d-1(b)(ii)(G), so indicate under Item 3(g) and</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attach an exhibit stating the identity and the Item 3 classification of the relevant subsidiary. If a parent holding</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company has filed this schedule pursuant to Rule 13d-1(c) or Rule 13d-1(d), attach an exhibit stating the</w:t>
            </w:r>
          </w:p>
        </w:tc>
        <w:tc>
          <w:tcPr>
            <w:tcW w:w="0" w:type="dxa"/>
            <w:vAlign w:val="bottom"/>
          </w:tcPr>
          <w:p>
            <w:pPr>
              <w:spacing w:after="0"/>
              <w:rPr>
                <w:sz w:val="1"/>
                <w:szCs w:val="1"/>
                <w:color w:val="auto"/>
              </w:rPr>
            </w:pPr>
          </w:p>
        </w:tc>
      </w:tr>
      <w:tr>
        <w:trPr>
          <w:trHeight w:val="282"/>
        </w:trPr>
        <w:tc>
          <w:tcPr>
            <w:tcW w:w="820" w:type="dxa"/>
            <w:vAlign w:val="bottom"/>
          </w:tcPr>
          <w:p>
            <w:pPr>
              <w:spacing w:after="0"/>
              <w:rPr>
                <w:sz w:val="24"/>
                <w:szCs w:val="24"/>
                <w:color w:val="auto"/>
              </w:rPr>
            </w:pP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identification of the relevant subsidiary.</w:t>
            </w:r>
          </w:p>
        </w:tc>
        <w:tc>
          <w:tcPr>
            <w:tcW w:w="0" w:type="dxa"/>
            <w:vAlign w:val="bottom"/>
          </w:tcPr>
          <w:p>
            <w:pPr>
              <w:spacing w:after="0"/>
              <w:rPr>
                <w:sz w:val="1"/>
                <w:szCs w:val="1"/>
                <w:color w:val="auto"/>
              </w:rPr>
            </w:pPr>
          </w:p>
        </w:tc>
      </w:tr>
      <w:tr>
        <w:trPr>
          <w:trHeight w:val="729"/>
        </w:trPr>
        <w:tc>
          <w:tcPr>
            <w:tcW w:w="820" w:type="dxa"/>
            <w:vAlign w:val="bottom"/>
          </w:tcPr>
          <w:p>
            <w:pPr>
              <w:spacing w:after="0"/>
              <w:rPr>
                <w:sz w:val="24"/>
                <w:szCs w:val="24"/>
                <w:color w:val="auto"/>
              </w:rPr>
            </w:pP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See Exhibit A.</w:t>
            </w:r>
          </w:p>
        </w:tc>
        <w:tc>
          <w:tcPr>
            <w:tcW w:w="0" w:type="dxa"/>
            <w:vAlign w:val="bottom"/>
          </w:tcPr>
          <w:p>
            <w:pPr>
              <w:spacing w:after="0"/>
              <w:rPr>
                <w:sz w:val="1"/>
                <w:szCs w:val="1"/>
                <w:color w:val="auto"/>
              </w:rPr>
            </w:pPr>
          </w:p>
        </w:tc>
      </w:tr>
      <w:tr>
        <w:trPr>
          <w:trHeight w:val="297"/>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Item 8.</w:t>
            </w: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tc>
        <w:tc>
          <w:tcPr>
            <w:tcW w:w="0" w:type="dxa"/>
            <w:vAlign w:val="bottom"/>
          </w:tcPr>
          <w:p>
            <w:pPr>
              <w:spacing w:after="0"/>
              <w:rPr>
                <w:sz w:val="1"/>
                <w:szCs w:val="1"/>
                <w:color w:val="auto"/>
              </w:rPr>
            </w:pPr>
          </w:p>
        </w:tc>
      </w:tr>
      <w:tr>
        <w:trPr>
          <w:trHeight w:val="297"/>
        </w:trPr>
        <w:tc>
          <w:tcPr>
            <w:tcW w:w="820" w:type="dxa"/>
            <w:vAlign w:val="bottom"/>
          </w:tcPr>
          <w:p>
            <w:pPr>
              <w:spacing w:after="0"/>
              <w:rPr>
                <w:sz w:val="24"/>
                <w:szCs w:val="24"/>
                <w:color w:val="auto"/>
              </w:rPr>
            </w:pP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Not Applicable</w:t>
            </w:r>
          </w:p>
        </w:tc>
        <w:tc>
          <w:tcPr>
            <w:tcW w:w="0" w:type="dxa"/>
            <w:vAlign w:val="bottom"/>
          </w:tcPr>
          <w:p>
            <w:pPr>
              <w:spacing w:after="0"/>
              <w:rPr>
                <w:sz w:val="1"/>
                <w:szCs w:val="1"/>
                <w:color w:val="auto"/>
              </w:rPr>
            </w:pPr>
          </w:p>
        </w:tc>
      </w:tr>
      <w:tr>
        <w:trPr>
          <w:trHeight w:val="297"/>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Item 9.</w:t>
            </w: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Notice of Dissolution of Group.</w:t>
            </w:r>
          </w:p>
        </w:tc>
        <w:tc>
          <w:tcPr>
            <w:tcW w:w="0" w:type="dxa"/>
            <w:vAlign w:val="bottom"/>
          </w:tcPr>
          <w:p>
            <w:pPr>
              <w:spacing w:after="0"/>
              <w:rPr>
                <w:sz w:val="1"/>
                <w:szCs w:val="1"/>
                <w:color w:val="auto"/>
              </w:rPr>
            </w:pPr>
          </w:p>
        </w:tc>
      </w:tr>
      <w:tr>
        <w:trPr>
          <w:trHeight w:val="297"/>
        </w:trPr>
        <w:tc>
          <w:tcPr>
            <w:tcW w:w="820" w:type="dxa"/>
            <w:vAlign w:val="bottom"/>
          </w:tcPr>
          <w:p>
            <w:pPr>
              <w:spacing w:after="0"/>
              <w:rPr>
                <w:sz w:val="24"/>
                <w:szCs w:val="24"/>
                <w:color w:val="auto"/>
              </w:rPr>
            </w:pP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Not Applicable</w:t>
            </w:r>
          </w:p>
        </w:tc>
        <w:tc>
          <w:tcPr>
            <w:tcW w:w="0" w:type="dxa"/>
            <w:vAlign w:val="bottom"/>
          </w:tcPr>
          <w:p>
            <w:pPr>
              <w:spacing w:after="0"/>
              <w:rPr>
                <w:sz w:val="1"/>
                <w:szCs w:val="1"/>
                <w:color w:val="auto"/>
              </w:rPr>
            </w:pPr>
          </w:p>
        </w:tc>
      </w:tr>
      <w:tr>
        <w:trPr>
          <w:trHeight w:val="567"/>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Item 10.</w:t>
            </w:r>
          </w:p>
        </w:tc>
        <w:tc>
          <w:tcPr>
            <w:tcW w:w="103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Certifications:</w:t>
            </w:r>
          </w:p>
        </w:tc>
        <w:tc>
          <w:tcPr>
            <w:tcW w:w="0" w:type="dxa"/>
            <w:vAlign w:val="bottom"/>
          </w:tcPr>
          <w:p>
            <w:pPr>
              <w:spacing w:after="0"/>
              <w:rPr>
                <w:sz w:val="1"/>
                <w:szCs w:val="1"/>
                <w:color w:val="auto"/>
              </w:rPr>
            </w:pPr>
          </w:p>
        </w:tc>
      </w:tr>
      <w:tr>
        <w:trPr>
          <w:trHeight w:val="258"/>
        </w:trPr>
        <w:tc>
          <w:tcPr>
            <w:tcW w:w="820" w:type="dxa"/>
            <w:vAlign w:val="bottom"/>
          </w:tcPr>
          <w:p>
            <w:pPr>
              <w:spacing w:after="0"/>
              <w:rPr>
                <w:sz w:val="22"/>
                <w:szCs w:val="22"/>
                <w:color w:val="auto"/>
              </w:rPr>
            </w:pPr>
          </w:p>
        </w:tc>
        <w:tc>
          <w:tcPr>
            <w:tcW w:w="103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8"/>
              </w:rPr>
              <w:t>By signing below I certify that, to the best of my knowledge and belief, the securities referred to above were acquired</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w w:val="99"/>
              </w:rPr>
              <w:t>and are held in the ordinary course of business and were not acquired and are not held for the purpose of or with the</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effect of changing or influencing the control of the issuer of the securities and were not acquired and are not held in</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connection with or as a participant in any transaction having that purpose or effect, other than activities solely in</w:t>
            </w:r>
          </w:p>
        </w:tc>
        <w:tc>
          <w:tcPr>
            <w:tcW w:w="0" w:type="dxa"/>
            <w:vAlign w:val="bottom"/>
          </w:tcPr>
          <w:p>
            <w:pPr>
              <w:spacing w:after="0"/>
              <w:rPr>
                <w:sz w:val="1"/>
                <w:szCs w:val="1"/>
                <w:color w:val="auto"/>
              </w:rPr>
            </w:pPr>
          </w:p>
        </w:tc>
      </w:tr>
      <w:tr>
        <w:trPr>
          <w:trHeight w:val="282"/>
        </w:trPr>
        <w:tc>
          <w:tcPr>
            <w:tcW w:w="820" w:type="dxa"/>
            <w:vAlign w:val="bottom"/>
          </w:tcPr>
          <w:p>
            <w:pPr>
              <w:spacing w:after="0"/>
              <w:rPr>
                <w:sz w:val="24"/>
                <w:szCs w:val="24"/>
                <w:color w:val="auto"/>
              </w:rPr>
            </w:pPr>
          </w:p>
        </w:tc>
        <w:tc>
          <w:tcPr>
            <w:tcW w:w="103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connection with a nomination under ?? 240.14a-11.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-9170670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140"/>
          </w:cols>
          <w:pgMar w:left="360" w:top="126" w:right="399" w:bottom="3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5"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2"/>
          <w:szCs w:val="22"/>
          <w:color w:val="auto"/>
        </w:rPr>
        <w:t>Nikko Asset Management Americas, Inc.</w:t>
      </w:r>
    </w:p>
    <w:p>
      <w:pPr>
        <w:spacing w:after="0" w:line="152" w:lineRule="exact"/>
        <w:rPr>
          <w:sz w:val="20"/>
          <w:szCs w:val="20"/>
          <w:color w:val="auto"/>
        </w:rPr>
      </w:pPr>
    </w:p>
    <w:p>
      <w:pPr>
        <w:ind w:left="4960"/>
        <w:spacing w:after="0"/>
        <w:tabs>
          <w:tab w:leader="none" w:pos="6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Gary L. Beckham</w:t>
      </w:r>
    </w:p>
    <w:p>
      <w:pPr>
        <w:spacing w:after="0" w:line="44"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color w:val="auto"/>
        </w:rPr>
        <w:t>Name/Title: Gary L. Beckham, Chief Compliance Officer</w:t>
      </w:r>
    </w:p>
    <w:p>
      <w:pPr>
        <w:spacing w:after="0" w:line="44" w:lineRule="exact"/>
        <w:rPr>
          <w:sz w:val="20"/>
          <w:szCs w:val="20"/>
          <w:color w:val="auto"/>
        </w:rPr>
      </w:pPr>
    </w:p>
    <w:p>
      <w:pPr>
        <w:ind w:left="4960"/>
        <w:spacing w:after="0"/>
        <w:tabs>
          <w:tab w:leader="none" w:pos="60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05/12/2025</w:t>
      </w:r>
    </w:p>
    <w:p>
      <w:pPr>
        <w:sectPr>
          <w:pgSz w:w="11900" w:h="16838" w:orient="portrait"/>
          <w:cols w:equalWidth="0" w:num="1">
            <w:col w:w="10920"/>
          </w:cols>
          <w:pgMar w:left="580" w:top="112" w:right="399" w:bottom="1440" w:gutter="0" w:footer="0" w:header="0"/>
        </w:sectPr>
      </w:pPr>
    </w:p>
    <w:bookmarkStart w:id="4" w:name="page5"/>
    <w:bookmarkEnd w:id="4"/>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A</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instructions in Items 6 and 7 of Schedule 13G, the security being reported on by Nikko Asset Management Americas, Inc., as subsidiary to the parent holding companies listed below, are owned, or may be deemed to be beneficially owned, by its parent holding companies.</w:t>
      </w:r>
    </w:p>
    <w:p>
      <w:pPr>
        <w:spacing w:after="0" w:line="162"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Sumitomo Mitsui Trust Group, Inc.</w:t>
      </w:r>
    </w:p>
    <w:p>
      <w:pPr>
        <w:spacing w:after="0" w:line="27" w:lineRule="exact"/>
        <w:rPr>
          <w:sz w:val="20"/>
          <w:szCs w:val="20"/>
          <w:color w:val="auto"/>
        </w:rPr>
      </w:pPr>
    </w:p>
    <w:p>
      <w:pPr>
        <w:ind w:left="1300" w:hanging="320"/>
        <w:spacing w:after="0"/>
        <w:tabs>
          <w:tab w:leader="none" w:pos="13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parent holding company or control person in accordance with §240.13d-1(b)(1)(ii)(G);</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non-U.S. institution in accordance with §240.13d-1(b)(1)(ii)(J).</w:t>
      </w:r>
    </w:p>
    <w:p>
      <w:pPr>
        <w:spacing w:after="0" w:line="20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Nikko Asset Management Co., Ltd.</w:t>
      </w:r>
    </w:p>
    <w:p>
      <w:pPr>
        <w:spacing w:after="0" w:line="2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investment adviser in accordance with §240.13d-1(b)(1)(ii)(E);</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non-U.S. institution in accordance with §240.13d-1(b)(1)(ii)(J).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800"/>
      </w:cols>
      <w:pgMar w:left="320" w:top="266" w:right="7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8"/>
    </w:lvl>
  </w:abstractNum>
  <w:abstractNum w:abstractNumId="4">
    <w:nsid w:val="46E87CCD"/>
    <w:multiLevelType w:val="hybridMultilevel"/>
    <w:lvl w:ilvl="0">
      <w:lvlJc w:val="left"/>
      <w:lvlText w:val="%1)"/>
      <w:numFmt w:val="decimal"/>
      <w:start w:val="1"/>
    </w:lvl>
    <w:lvl w:ilvl="1">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2025-05-12T13:12:36Z</dcterms:created>
  <dcterms:modified xsi:type="dcterms:W3CDTF">2025-05-12T13:12:36Z</dcterms:modified>
</cp:coreProperties>
</file>