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18944_8k-arct.htm"/>
      <w:bookmarkStart w:id="1" w:name="kse618944_8karct"/>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Washington, D.C. 20549</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 </w:t>
      </w:r>
      <w:bookmarkStart w:id="2" w:name="xdx_905_edei--DocumentType_c20230925__20"/>
      <w:bookmarkEnd w:id="2"/>
      <w:r>
        <w:rPr>
          <w:rFonts w:ascii="Times New Roman;Times;Serif" w:hAnsi="Times New Roman;Times;Serif"/>
          <w:b/>
          <w:i w:val="false"/>
          <w:caps w:val="false"/>
          <w:smallCaps w:val="false"/>
          <w:color w:val="212529"/>
          <w:sz w:val="20"/>
        </w:rPr>
        <w:t>8-K</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of the Securities Exchange Act of 1934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Date of Report (Date of earliest event reported): </w:t>
      </w:r>
      <w:bookmarkStart w:id="3" w:name="xdx_90A_edei--DocumentPeriodEndDate_c202"/>
      <w:bookmarkEnd w:id="3"/>
      <w:r>
        <w:rPr>
          <w:rFonts w:ascii="Times New Roman;Times;Serif" w:hAnsi="Times New Roman;Times;Serif"/>
          <w:b/>
          <w:i w:val="false"/>
          <w:caps w:val="false"/>
          <w:smallCaps w:val="false"/>
          <w:color w:val="212529"/>
          <w:sz w:val="20"/>
        </w:rPr>
        <w:t>September 25, 2023</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36"/>
        </w:rPr>
      </w:pPr>
      <w:bookmarkStart w:id="4" w:name="xdx_90D_edei--EntityRegistrantName_c2023"/>
      <w:bookmarkEnd w:id="4"/>
      <w:r>
        <w:rPr>
          <w:rFonts w:ascii="Times New Roman;Times;Serif" w:hAnsi="Times New Roman;Times;Serif"/>
          <w:b/>
          <w:i w:val="false"/>
          <w:caps w:val="false"/>
          <w:smallCaps w:val="false"/>
          <w:color w:val="212529"/>
          <w:sz w:val="36"/>
        </w:rPr>
        <w:t>ARCTURUS THERAPEUTICS HOLDINGS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(Exact name of registrant as specified in its charter)</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30925"/>
            <w:bookmarkEnd w:id="6"/>
            <w:r>
              <w:rPr>
                <w:rFonts w:ascii="Times New Roman;Times;Serif" w:hAnsi="Times New Roman;Times;Serif"/>
                <w:b/>
                <w:sz w:val="20"/>
              </w:rPr>
              <w:t>001-38942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32-0595345</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212529"/>
          <w:sz w:val="20"/>
        </w:rPr>
      </w:pPr>
      <w:bookmarkStart w:id="8" w:name="xdx_90C_edei--EntityAddressAddressLine1_"/>
      <w:bookmarkEnd w:id="8"/>
      <w:r>
        <w:rPr>
          <w:rFonts w:ascii="Times New Roman;Times;Serif" w:hAnsi="Times New Roman;Times;Serif"/>
          <w:b/>
          <w:i w:val="false"/>
          <w:caps w:val="false"/>
          <w:smallCaps w:val="false"/>
          <w:color w:val="212529"/>
          <w:sz w:val="20"/>
        </w:rPr>
        <w:t>10628 Science Center Drive, </w:t>
      </w:r>
      <w:bookmarkStart w:id="9" w:name="xdx_909_edei--EntityAddressAddressLine2_"/>
      <w:bookmarkEnd w:id="9"/>
      <w:r>
        <w:rPr>
          <w:rFonts w:ascii="Times New Roman;Times;Serif" w:hAnsi="Times New Roman;Times;Serif"/>
          <w:b/>
          <w:i w:val="false"/>
          <w:caps w:val="false"/>
          <w:smallCaps w:val="false"/>
          <w:color w:val="212529"/>
          <w:sz w:val="20"/>
        </w:rPr>
        <w:t>Suite 250</w:t>
      </w:r>
      <w:r>
        <w:rPr>
          <w:rFonts w:ascii="Times New Roman;Times;Serif" w:hAnsi="Times New Roman;Times;Serif"/>
          <w:b w:val="false"/>
          <w:i w:val="false"/>
          <w:caps w:val="false"/>
          <w:smallCaps w:val="false"/>
          <w:color w:val="212529"/>
          <w:sz w:val="20"/>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10" w:name="xdx_90C_edei--EntityAddressCityOrTown_c2"/>
      <w:bookmarkEnd w:id="10"/>
      <w:r>
        <w:rPr>
          <w:rFonts w:ascii="Times New Roman;Times;Serif" w:hAnsi="Times New Roman;Times;Serif"/>
          <w:b/>
          <w:i w:val="false"/>
          <w:caps w:val="false"/>
          <w:smallCaps w:val="false"/>
          <w:color w:val="212529"/>
          <w:sz w:val="20"/>
        </w:rPr>
        <w:t>San Diego, </w:t>
      </w:r>
      <w:bookmarkStart w:id="11" w:name="xdx_90C_edei--EntityAddressStateOrProvin"/>
      <w:bookmarkEnd w:id="11"/>
      <w:r>
        <w:rPr>
          <w:rFonts w:ascii="Times New Roman;Times;Serif" w:hAnsi="Times New Roman;Times;Serif"/>
          <w:b/>
          <w:i w:val="false"/>
          <w:caps w:val="false"/>
          <w:smallCaps w:val="false"/>
          <w:color w:val="212529"/>
          <w:sz w:val="20"/>
        </w:rPr>
        <w:t>California </w:t>
      </w:r>
      <w:bookmarkStart w:id="12" w:name="xdx_90B_edei--EntityAddressPostalZipCode"/>
      <w:bookmarkEnd w:id="12"/>
      <w:r>
        <w:rPr>
          <w:rFonts w:ascii="Times New Roman;Times;Serif" w:hAnsi="Times New Roman;Times;Serif"/>
          <w:b/>
          <w:i w:val="false"/>
          <w:caps w:val="false"/>
          <w:smallCaps w:val="false"/>
          <w:color w:val="212529"/>
          <w:sz w:val="20"/>
        </w:rPr>
        <w:t>92121</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(Address of principal executive offices)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Registrant’s telephone number, including area code: </w:t>
      </w:r>
      <w:bookmarkStart w:id="13" w:name="xdx_905_edei--CityAreaCode_c20230925__20"/>
      <w:bookmarkEnd w:id="13"/>
      <w:r>
        <w:rPr>
          <w:rFonts w:ascii="Times New Roman;Times;Serif" w:hAnsi="Times New Roman;Times;Serif"/>
          <w:b/>
          <w:i w:val="false"/>
          <w:caps w:val="false"/>
          <w:smallCaps w:val="false"/>
          <w:color w:val="212529"/>
          <w:sz w:val="20"/>
        </w:rPr>
        <w:t>(858) </w:t>
      </w:r>
      <w:bookmarkStart w:id="14" w:name="xdx_90C_edei--LocalPhoneNumber_c20230925"/>
      <w:bookmarkEnd w:id="14"/>
      <w:r>
        <w:rPr>
          <w:rFonts w:ascii="Times New Roman;Times;Serif" w:hAnsi="Times New Roman;Times;Serif"/>
          <w:b/>
          <w:i w:val="false"/>
          <w:caps w:val="false"/>
          <w:smallCaps w:val="false"/>
          <w:color w:val="212529"/>
          <w:sz w:val="20"/>
        </w:rPr>
        <w:t>900-2660</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(Former name or former address, if changed since last report)</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9_edei--SolicitingMaterial_c202309"/>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6_edei--PreCommencementIssuerTende"/>
            <w:bookmarkStart w:id="19" w:name="xdx_90F_edei--PreCommencementIssuerTende"/>
            <w:bookmarkEnd w:id="18"/>
            <w:bookmarkEnd w:id="19"/>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Securities registered pursuant to Section 12(b) of the Act:</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7515" w:type="dxa"/>
        <w:jc w:val="left"/>
        <w:tblInd w:w="0" w:type="dxa"/>
        <w:tblLayout w:type="fixed"/>
        <w:tblCellMar>
          <w:top w:w="0" w:type="dxa"/>
          <w:left w:w="0" w:type="dxa"/>
          <w:bottom w:w="28" w:type="dxa"/>
          <w:right w:w="0" w:type="dxa"/>
        </w:tblCellMar>
      </w:tblPr>
      <w:tblGrid>
        <w:gridCol w:w="3650"/>
        <w:gridCol w:w="60"/>
        <w:gridCol w:w="905"/>
        <w:gridCol w:w="60"/>
        <w:gridCol w:w="2840"/>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Symbol(s)</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3_edei--Security12bTitle_c20230925"/>
            <w:bookmarkEnd w:id="20"/>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9_edei--TradingSymbol_c20230925__2"/>
            <w:bookmarkEnd w:id="21"/>
            <w:r>
              <w:rPr>
                <w:rFonts w:ascii="Times New Roman;Times;Serif" w:hAnsi="Times New Roman;Times;Serif"/>
                <w:b/>
                <w:sz w:val="20"/>
              </w:rPr>
              <w:t>ARCT</w:t>
            </w:r>
          </w:p>
        </w:tc>
        <w:tc>
          <w:tcPr>
            <w:tcW w:w="60" w:type="dxa"/>
            <w:tcBorders/>
            <w:tcMar>
              <w:bottom w:w="0" w:type="dxa"/>
            </w:tcMar>
            <w:vAlign w:val="center"/>
          </w:tcPr>
          <w:p>
            <w:pPr>
              <w:pStyle w:val="TableContents"/>
              <w:bidi w:val="0"/>
              <w:spacing w:before="0" w:after="283"/>
              <w:jc w:val="left"/>
              <w:rPr/>
            </w:pPr>
            <w:r>
              <w:rPr/>
              <w:t> </w:t>
            </w:r>
          </w:p>
        </w:tc>
        <w:tc>
          <w:tcPr>
            <w:tcW w:w="284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2" w:name="xdx_904_edei--SecurityExchangeName_c2023"/>
            <w:bookmarkEnd w:id="22"/>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Emerging growth company </w:t>
      </w:r>
      <w:bookmarkStart w:id="23" w:name="xdx_90B_edei--EntityEmergingGrowthCompan"/>
      <w:bookmarkEnd w:id="23"/>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1.01 Entry Into a Material Definitive Agreement.</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2023, Arcturus Therapeutics, Inc. (“</w:t>
      </w:r>
      <w:r>
        <w:rPr>
          <w:rFonts w:ascii="Times New Roman;Times;Serif" w:hAnsi="Times New Roman;Times;Serif"/>
          <w:b w:val="false"/>
          <w:i w:val="false"/>
          <w:caps w:val="false"/>
          <w:smallCaps w:val="false"/>
          <w:sz w:val="20"/>
          <w:u w:val="single"/>
        </w:rPr>
        <w:t>Arcturus</w:t>
      </w:r>
      <w:r>
        <w:rPr>
          <w:rFonts w:ascii="Times New Roman;Times;Serif" w:hAnsi="Times New Roman;Times;Serif"/>
          <w:b w:val="false"/>
          <w:i w:val="false"/>
          <w:caps w:val="false"/>
          <w:smallCaps w:val="false"/>
          <w:sz w:val="20"/>
        </w:rPr>
        <w:t>”), a subsidiary of Arcturus Therapeutics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amendment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its Development Program Letter Agreement of May 16, 2017, as amended by Amendment No. 1 dated July 13, 2018, Amendment No. 2 dated July 30, 2019 and Amendment No. 3 dated December 21, 2021 (the “</w:t>
      </w:r>
      <w:r>
        <w:rPr>
          <w:rFonts w:ascii="Times New Roman;Times;Serif" w:hAnsi="Times New Roman;Times;Serif"/>
          <w:b w:val="false"/>
          <w:i w:val="false"/>
          <w:caps w:val="false"/>
          <w:smallCaps w:val="false"/>
          <w:sz w:val="20"/>
          <w:u w:val="single"/>
        </w:rPr>
        <w:t>Underlying Agreement</w:t>
      </w:r>
      <w:r>
        <w:rPr>
          <w:rFonts w:ascii="Times New Roman;Times;Serif" w:hAnsi="Times New Roman;Times;Serif"/>
          <w:b w:val="false"/>
          <w:i w:val="false"/>
          <w:caps w:val="false"/>
          <w:smallCaps w:val="false"/>
          <w:sz w:val="20"/>
        </w:rPr>
        <w:t>”) with the Cystic Fibrosis Foundation (“</w:t>
      </w:r>
      <w:r>
        <w:rPr>
          <w:rFonts w:ascii="Times New Roman;Times;Serif" w:hAnsi="Times New Roman;Times;Serif"/>
          <w:b w:val="false"/>
          <w:i w:val="false"/>
          <w:caps w:val="false"/>
          <w:smallCaps w:val="false"/>
          <w:sz w:val="20"/>
          <w:u w:val="single"/>
        </w:rPr>
        <w:t>CFF</w:t>
      </w:r>
      <w:r>
        <w:rPr>
          <w:rFonts w:ascii="Times New Roman;Times;Serif" w:hAnsi="Times New Roman;Times;Serif"/>
          <w:b w:val="false"/>
          <w:i w:val="false"/>
          <w:caps w:val="false"/>
          <w:smallCaps w:val="false"/>
          <w:sz w:val="20"/>
        </w:rPr>
        <w:t>”), pursuant to which Arcturus and CFF agreed to: (a) increase the Amount of Award (as defined in the Underlying Agreement) from CFF to advance LUNAR-CF by up to $9 million (for a total to date of up to approximately $25 million), and required Arcturus to provide $15 million in matching funds for remaining budgeted costs; (b) modify the existing rates and caps on royalties due to CFF under the Underlying Agreement, including the addition of an option for Arcturus to reduce the royalty rate through a one-time payment; (c) modify the calculation of payments from Arcturus to CFF in the event of certain dispositions or licensing of cystic fibrosis or other pulmonary assets or of a change of control of Arcturus; and (d) make corresponding changes to exhibits, definitions and other provisions of the Underlying Agreement consistent with the Amendment.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Amendment, a copy of which the Company intends to file with the Securities and Exchange Commission as an exhibit to its Quarterly Report on Form 10-Q for the quarter ending September 30, 2023.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2023, the Company issued a press release regarding the transactions described under Item 1.01 of this Current Report on Form 8-K. A copy of the press release is attached hereto as Exhibit 99.1 and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28" w:type="dxa"/>
          <w:right w:w="0" w:type="dxa"/>
        </w:tblCellMar>
      </w:tblPr>
      <w:tblGrid>
        <w:gridCol w:w="995"/>
        <w:gridCol w:w="60"/>
        <w:gridCol w:w="336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3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both"/>
              <w:rPr/>
            </w:pPr>
            <w:hyperlink w:anchor="e618944_ex99-1.htm">
              <w:r>
                <w:rPr>
                  <w:rStyle w:val="InternetLink"/>
                  <w:rFonts w:ascii="Times New Roman;Times;Serif" w:hAnsi="Times New Roman;Times;Serif"/>
                  <w:sz w:val="20"/>
                </w:rPr>
                <w:t>Press Release dated September 26, 2023.</w:t>
              </w:r>
            </w:hyperlink>
            <w:r>
              <w:rPr>
                <w:rFonts w:ascii="Times New Roman;Times;Serif" w:hAnsi="Times New Roman;Times;Serif"/>
                <w:sz w:val="20"/>
              </w:rPr>
              <w:t xml:space="preserve"> </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SIGNATURES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5244" w:type="dxa"/>
        <w:jc w:val="left"/>
        <w:tblInd w:w="0" w:type="dxa"/>
        <w:tblLayout w:type="fixed"/>
        <w:tblCellMar>
          <w:top w:w="0" w:type="dxa"/>
          <w:left w:w="0" w:type="dxa"/>
          <w:bottom w:w="0" w:type="dxa"/>
          <w:right w:w="0" w:type="dxa"/>
        </w:tblCellMar>
      </w:tblPr>
      <w:tblGrid>
        <w:gridCol w:w="2135"/>
        <w:gridCol w:w="677"/>
        <w:gridCol w:w="2432"/>
      </w:tblGrid>
      <w:tr>
        <w:trPr/>
        <w:tc>
          <w:tcPr>
            <w:tcW w:w="213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Arcturus Therapeutics Holdings Inc.</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26, 2023</w:t>
            </w:r>
          </w:p>
        </w:tc>
        <w:tc>
          <w:tcPr>
            <w:tcW w:w="3109"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213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E. Payne</w:t>
            </w:r>
          </w:p>
        </w:tc>
      </w:tr>
      <w:tr>
        <w:trPr/>
        <w:tc>
          <w:tcPr>
            <w:tcW w:w="213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jc w:val="left"/>
        <w:rPr/>
      </w:pPr>
      <w:bookmarkStart w:id="24" w:name="e618944_ex99-1.htm"/>
      <w:bookmarkStart w:id="25" w:name="kse618944_ex991"/>
      <w:bookmarkEnd w:id="24"/>
      <w:bookmarkEnd w:id="25"/>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Arcturus Therapeutics and Cystic Fibrosis Foundation Extend Agreement to Advance ARCT-032, an Investigational Messenger RNA (mRNA) Therapeutic to Treat Cystic Fibrosis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 Foundation Increases Financial Commitment to ~$25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DIEGO--(BUSINESS WIRE)--Sept. 26, 2023-- Arcturus Therapeutics Holdings Inc. (the “Company”, “Arcturus”, Nasdaq: ARCT), a global late-stage clinical messenger RNA medicines company focused on the development of infectious disease vaccines and opportunities within liver and respiratory rare diseases, announced today that Arcturus and the Cystic Fibrosis Foundation (CF Foundation) have extended their ongoing agreement. The CF Foundation agreed to increase its financial commitment to ~$25 million to advance ARCT-032, a novel messenger RNA (mRNA) therapeutic candidate formulated with Arcturus’ LUNAR® delivery technology. This agreement extends a prior research program, initiated in 2017, which has resulted in the advancement of ARCT-032 into ongoing clinical studies.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thrilled to extend our productive relationship with the Cystic Fibrosis Foundation, and we are grateful for their meaningful financial support,” said Pad Chivukula, Ph.D., Chief Scientific Officer of Arcturus. “ARCT-032 has the potential to express fully functional CFTR protein in the lung, thereby addressing the root cause of cystic fibrosis. The resources and valuable expertise provided by the CF Foundation will support the continued clinical development of ARCT-032, including the completion of a Phase 1b study that we plan to initiate imminently in adults living with cystic fibrosis.”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ARCT-032 is made up of mRNA that codes for CFTR, encapsulated by lipid nanoparticles utilizing LUNAR delivery technology that has been optimized for inhaled lung delivery. ARCT-032 is agnostic to the underlying mutations associated with the disease and has the potential to provide clinical benefits across a wide range of those living with CF, including those not served by currently approved CFTR modulators. The program has completed dosing in a Phase 1 study in healthy volunteers.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Cystic Fibrosis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Cystic fibrosis is a life-shortening disease with a worldwide distribution. Mutations in the cystic fibrosis transmembrane conductance regulator (CFTR) gene result in a reduction or absence of CFTR protein and/or function in the airways, causing insufficient chloride transport to maintain airway surface homeostasis. CF mucus is more difficult to clear, thus clogging the airways and leading to infection, inflammation, respiratory failure, or other life-threatening complications. Currently approved CFTR modulator therapies are designed to increase function of the CFTR channel to help reduce symptoms yet are ineffective in some people with CF because of their underlying mutations.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ARCT-032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ARCT-032 will utilize Arcturus' LUNAR® lipid-mediated aerosolized platform to deliver CFTR messenger RNA to the lungs. Expression of a functional copy of the CFTR mRNA in the lungs of people with CF has the potential to restore CFTR activity and mitigate the downstream effects that cause progressive lung disease. The ARCT-032 program is supported by preclinical data in rodents, ferrets and primates, as well as demonstrating restoration of expression and function in human bronchial epithelial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Arcturus Therapeutics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based in San Diego, California, Arcturus Therapeutics Holdings Inc. (Nasdaq: ARCT) is a global late-stage clinical mRNA medicines and vaccines company with enabling technologies: (i) LUNAR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lipid-mediated delivery, (ii) STARR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mRNA Technology (sa-mRNA) and (iii) mRNA drug substance along with drug product manufacturing expertise. The Company has ongoing collaborations with CSL Seqirus and Meiji Seika Pharma, and a joint venture with ARCALIS. Arcturus’ pipeline includes RNA therapeutic candidates to potentially treat ornithine transcarbamylase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(patents and patent applications issued in the U.S., Europe, Japan, China, and other countries). For more information, visit www.ArcturusRx.com. In addition, please connect with us on Twitter and LinkedIn.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 Looking Statements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expectations for or likelihood of success of any collaborations, the continued clinical development of ARCT-032, likelihood of success (including safety and efficacy) of ARCT-032, the planned initiation, design or completion of clinical trials (including the planned ARCT-032 Phase 1b study), the likelihood that preclinical data will be predictive of future clinical results, the likelihood that ARCT-032 will provide broad, or any, clinical benefit (including the ability of ARCT-032 to restore healthy CFTR protein), the ability to enroll, and timing for enrollment of, subjects in clinical trials, the timing and nature of any study results, the likelihood that a patent will issue from any patent application,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and Media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Neda Safarzadeh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Head of IR/PR/Marketing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 900-2682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IR@ArcturusRx.com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Kendall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 Tanzi, Ph.D.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914-0008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ctanzi@kendallir.com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1686</Words>
  <Characters>9739</Characters>
  <CharactersWithSpaces>11413</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