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12529"/>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Date of Report (Date of earliest event reported): August 31,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12529"/>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Delaware</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33-0595345</w:t>
            </w:r>
          </w:p>
        </w:tc>
      </w:tr>
      <w:tr>
        <w:trPr>
          <w:trHeight w:val="216"/>
        </w:trPr>
        <w:tc>
          <w:tcPr>
            <w:tcW w:w="268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(State or other jurisdiction</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(Commission</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 I.R.S. Employer</w:t>
            </w:r>
          </w:p>
        </w:tc>
      </w:tr>
      <w:tr>
        <w:trPr>
          <w:trHeight w:val="234"/>
        </w:trPr>
        <w:tc>
          <w:tcPr>
            <w:tcW w:w="26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of incorporation)</w:t>
            </w: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File Number)</w:t>
            </w:r>
          </w:p>
        </w:tc>
        <w:tc>
          <w:tcPr>
            <w:tcW w:w="2200" w:type="dxa"/>
            <w:vAlign w:val="bottom"/>
          </w:tcPr>
          <w:p>
            <w:pPr>
              <w:jc w:val="center"/>
              <w:ind w:left="6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680" w:type="dxa"/>
            <w:vAlign w:val="bottom"/>
          </w:tcPr>
          <w:p>
            <w:pPr>
              <w:spacing w:after="0"/>
              <w:rPr>
                <w:sz w:val="24"/>
                <w:szCs w:val="24"/>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212529"/>
                <w:w w:val="89"/>
              </w:rPr>
              <w:t>10628 Science Center Drive, Suite 250</w:t>
            </w:r>
          </w:p>
        </w:tc>
        <w:tc>
          <w:tcPr>
            <w:tcW w:w="220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380" w:type="dxa"/>
            <w:vAlign w:val="bottom"/>
          </w:tcPr>
          <w:p>
            <w:pPr>
              <w:jc w:val="center"/>
              <w:ind w:right="90"/>
              <w:spacing w:after="0"/>
              <w:rPr>
                <w:sz w:val="20"/>
                <w:szCs w:val="20"/>
                <w:color w:val="auto"/>
              </w:rPr>
            </w:pPr>
            <w:r>
              <w:rPr>
                <w:rFonts w:ascii="Arial" w:cs="Arial" w:eastAsia="Arial" w:hAnsi="Arial"/>
                <w:sz w:val="18"/>
                <w:szCs w:val="18"/>
                <w:b w:val="1"/>
                <w:bCs w:val="1"/>
                <w:color w:val="212529"/>
                <w:w w:val="91"/>
              </w:rPr>
              <w:t>San Diego, California 92121</w:t>
            </w:r>
          </w:p>
        </w:tc>
        <w:tc>
          <w:tcPr>
            <w:tcW w:w="22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380" w:type="dxa"/>
            <w:vAlign w:val="bottom"/>
          </w:tcPr>
          <w:p>
            <w:pPr>
              <w:jc w:val="center"/>
              <w:ind w:right="70"/>
              <w:spacing w:after="0"/>
              <w:rPr>
                <w:sz w:val="20"/>
                <w:szCs w:val="20"/>
                <w:color w:val="auto"/>
              </w:rPr>
            </w:pPr>
            <w:r>
              <w:rPr>
                <w:rFonts w:ascii="Arial" w:cs="Arial" w:eastAsia="Arial" w:hAnsi="Arial"/>
                <w:sz w:val="18"/>
                <w:szCs w:val="18"/>
                <w:b w:val="1"/>
                <w:bCs w:val="1"/>
                <w:color w:val="212529"/>
                <w:w w:val="88"/>
              </w:rPr>
              <w:t>(Address of principal executive offices)</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212529"/>
                <w:w w:val="97"/>
              </w:rPr>
              <w:t>Securities registered pursuant to Section 12(b) of the Act:</w:t>
            </w:r>
          </w:p>
        </w:tc>
        <w:tc>
          <w:tcPr>
            <w:tcW w:w="20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02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Trading</w:t>
            </w:r>
          </w:p>
        </w:tc>
        <w:tc>
          <w:tcPr>
            <w:tcW w:w="47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7"/>
              </w:rPr>
              <w:t>Symbol(s)</w:t>
            </w:r>
          </w:p>
        </w:tc>
        <w:tc>
          <w:tcPr>
            <w:tcW w:w="47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020" w:type="dxa"/>
            <w:vAlign w:val="bottom"/>
          </w:tcPr>
          <w:p>
            <w:pPr>
              <w:jc w:val="center"/>
              <w:ind w:right="450"/>
              <w:spacing w:after="0"/>
              <w:rPr>
                <w:sz w:val="20"/>
                <w:szCs w:val="20"/>
                <w:color w:val="auto"/>
              </w:rPr>
            </w:pPr>
            <w:r>
              <w:rPr>
                <w:rFonts w:ascii="Arial" w:cs="Arial" w:eastAsia="Arial" w:hAnsi="Arial"/>
                <w:sz w:val="18"/>
                <w:szCs w:val="18"/>
                <w:b w:val="1"/>
                <w:bCs w:val="1"/>
                <w:color w:val="auto"/>
              </w:rPr>
              <w:t>ARCT</w:t>
            </w:r>
          </w:p>
        </w:tc>
        <w:tc>
          <w:tcPr>
            <w:tcW w:w="4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2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12529"/>
        </w:rPr>
        <w:t xml:space="preserve">Emerging growth company </w:t>
      </w:r>
      <w:r>
        <w:rPr>
          <w:rFonts w:ascii="MS PGothic" w:cs="MS PGothic" w:eastAsia="MS PGothic" w:hAnsi="MS PGothic"/>
          <w:sz w:val="18"/>
          <w:szCs w:val="18"/>
          <w:color w:val="212529"/>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31, 2022, Arcturus Therapeutics Holdings Inc. (“Arcturus”) entered into a cost reimbursement contract (the “Contract”) with the Biomedical Advanced Research and Development Authority (“BARDA”) of the U.S. Department of Health and Human Services to support the development of a low-dose pandemic influenza candidate based on Arcturus’ proprietary self-amplifying messenger RNA-based vaccine platform.</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Contract is to support Arcturus’ non-clinical and pre-clinical development, early-stage clinical development through Phase 1, and associated drug product manufacturing, regulatory and quality-assurance activities over a period of three years. The Contract provides for reimbursement by BARDA of Arcturus’ permitted costs incorporated into the Contract, up to $63.2 million. The Contract does not include the purchase of any pandemic influenza vaccine that eventually may be developed. The Contract is terminable by BARDA at any time under specified circumstances, including for convenience.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“partnership” with Arcturus is part of BARDA’s ongoing efforts to bolster pandemic preparedness and response capabilities by investing in innovative medical counter-measures that can help prevent the medical consequences that result from outbreaks caused by pandemic influenza and emerging infectious diseases.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is only a summary of the material terms of the Contract, does not purport to be a complete description of the rights and obligations of the parties thereunder and is qualified in its entirety by reference to the Contract that will be filed as an exhibit to Arcturus’ Quarterly Report on Form 10-Q for the quarter ending September 30,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266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10100" w:type="dxa"/>
            <w:vAlign w:val="bottom"/>
            <w:gridSpan w:val="2"/>
          </w:tcPr>
          <w:p>
            <w:pPr>
              <w:spacing w:after="0"/>
              <w:rPr>
                <w:sz w:val="20"/>
                <w:szCs w:val="20"/>
                <w:color w:val="auto"/>
              </w:rPr>
            </w:pPr>
            <w:r>
              <w:rPr>
                <w:rFonts w:ascii="Arial" w:cs="Arial" w:eastAsia="Arial" w:hAnsi="Arial"/>
                <w:sz w:val="18"/>
                <w:szCs w:val="18"/>
                <w:color w:val="0000EE"/>
              </w:rPr>
              <w:t>Press Release dated August 31, 2022</w:t>
            </w:r>
          </w:p>
        </w:tc>
      </w:tr>
      <w:tr>
        <w:trPr>
          <w:trHeight w:val="20"/>
        </w:trPr>
        <w:tc>
          <w:tcPr>
            <w:tcW w:w="11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100" w:type="dxa"/>
            <w:vAlign w:val="bottom"/>
            <w:gridSpan w:val="2"/>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67"/>
        </w:trPr>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2022</w:t>
      </w:r>
    </w:p>
    <w:p>
      <w:pPr>
        <w:spacing w:after="0" w:line="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Announces $63.2 Million Award from the U.S. Government to Support Development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Self-amplifying mRNA Vaccine for Rapid Pandemic Influenza Response</w:t>
      </w:r>
    </w:p>
    <w:p>
      <w:pPr>
        <w:spacing w:after="0" w:line="211"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Arcturus will expand its current influenza vaccine program to include development of a pandemic influenza vaccine based on its proprietary self-amplifying mRNA platform with the support of the Biomedical Advanced Research and Development Authority.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$63.2 Million base award will fund development from the preclinical stage through Phase 1 over a three-year period.</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lower-dose, freeze-dried, pandemic influenza vaccine candidate will use Arcturus’ STARR™ self-amplifying mRNA vaccine platform technology which demonstrated favorable safety and efficacy against SARS-CoV-2 infection combined with a stable cold chain profile that may help support U.S. government pandemic preparedness goals.</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San Diego, California </w:t>
      </w:r>
      <w:r>
        <w:rPr>
          <w:rFonts w:ascii="Arial" w:cs="Arial" w:eastAsia="Arial" w:hAnsi="Arial"/>
          <w:sz w:val="16"/>
          <w:szCs w:val="16"/>
          <w:color w:val="auto"/>
        </w:rPr>
        <w:t>– Arcturus Therapeutics Holdings Inc. (the “Company”, “Arcturus”, Nasdaq: ARCT), a global, late-stage clinical messenger RNA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medicines company focused on the development of infectious disease vaccines and significant opportunities within liver and respiratory rare diseases, today announced that it has obtained an award for up to $63.2 million from the Biomedical Advanced Research and Development Authority (BARDA). The award </w:t>
      </w:r>
      <w:r>
        <w:rPr>
          <w:rFonts w:ascii="Arial" w:cs="Arial" w:eastAsia="Arial" w:hAnsi="Arial"/>
          <w:sz w:val="16"/>
          <w:szCs w:val="16"/>
          <w:color w:val="222222"/>
        </w:rPr>
        <w:t>provides $63.2 million over three years to support preclinical, manufacturing, nonclinical safety studies, along with</w:t>
      </w:r>
      <w:r>
        <w:rPr>
          <w:rFonts w:ascii="Arial" w:cs="Arial" w:eastAsia="Arial" w:hAnsi="Arial"/>
          <w:sz w:val="16"/>
          <w:szCs w:val="16"/>
          <w:color w:val="auto"/>
        </w:rPr>
        <w:t xml:space="preserve"> development and regulatory support for Arcturus’ </w:t>
      </w:r>
      <w:r>
        <w:rPr>
          <w:rFonts w:ascii="Arial" w:cs="Arial" w:eastAsia="Arial" w:hAnsi="Arial"/>
          <w:sz w:val="16"/>
          <w:szCs w:val="16"/>
          <w:color w:val="222222"/>
        </w:rPr>
        <w:t>self-amplifying mRNA vaccine platform technology for rapid pandemic influenza response through Phase 1 clinical studies.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are very pleased to have won this substantial award from the BARDA and look forward to working with the U.S. government to support the development of our proprietary </w:t>
      </w:r>
      <w:r>
        <w:rPr>
          <w:rFonts w:ascii="Arial" w:cs="Arial" w:eastAsia="Arial" w:hAnsi="Arial"/>
          <w:sz w:val="18"/>
          <w:szCs w:val="18"/>
          <w:color w:val="222222"/>
        </w:rPr>
        <w:t>self-amplifying mRNA vaccine technology for rapid pandemic influenza response. Arcturus’ next generation mRNA</w:t>
      </w:r>
      <w:r>
        <w:rPr>
          <w:rFonts w:ascii="Arial" w:cs="Arial" w:eastAsia="Arial" w:hAnsi="Arial"/>
          <w:sz w:val="18"/>
          <w:szCs w:val="18"/>
          <w:color w:val="auto"/>
        </w:rPr>
        <w:t xml:space="preserve"> </w:t>
      </w:r>
      <w:r>
        <w:rPr>
          <w:rFonts w:ascii="Arial" w:cs="Arial" w:eastAsia="Arial" w:hAnsi="Arial"/>
          <w:sz w:val="18"/>
          <w:szCs w:val="18"/>
          <w:color w:val="222222"/>
        </w:rPr>
        <w:t xml:space="preserve">platform has been </w:t>
      </w:r>
      <w:r>
        <w:rPr>
          <w:rFonts w:ascii="Arial" w:cs="Arial" w:eastAsia="Arial" w:hAnsi="Arial"/>
          <w:sz w:val="18"/>
          <w:szCs w:val="18"/>
          <w:color w:val="000000"/>
        </w:rPr>
        <w:t>administered to over 10,000 individuals globally demonstrating favorable safety, strong immunogenicity, and protection against SARS-COV-2 infection,” said Joseph Payne, President and CEO of Arcturus Therapeutics. “Our lyophilized vaccines have the potential to provide safe and effective protection against disease with the specific advantage of rapid scale-up, lower doses, and easier transport and storage. These are qualities that are essential to a rapid response against pandemic influenza and are consistent with strategic objectives of the U.S. government’s National Strategy for Pandemic Influenza.”</w:t>
      </w:r>
    </w:p>
    <w:p>
      <w:pPr>
        <w:spacing w:after="0" w:line="195" w:lineRule="exact"/>
        <w:rPr>
          <w:sz w:val="20"/>
          <w:szCs w:val="20"/>
          <w:color w:val="auto"/>
        </w:rPr>
      </w:pPr>
    </w:p>
    <w:p>
      <w:pPr>
        <w:ind w:right="700"/>
        <w:spacing w:after="0" w:line="263" w:lineRule="auto"/>
        <w:rPr>
          <w:sz w:val="20"/>
          <w:szCs w:val="20"/>
          <w:color w:val="auto"/>
        </w:rPr>
      </w:pPr>
      <w:r>
        <w:rPr>
          <w:rFonts w:ascii="Arial" w:cs="Arial" w:eastAsia="Arial" w:hAnsi="Arial"/>
          <w:sz w:val="18"/>
          <w:szCs w:val="18"/>
          <w:color w:val="auto"/>
        </w:rPr>
        <w:t>This project has been supported in whole or in part with federal funds from the Department of Health and Human Services, Office of the Assistant Secretary for Preparedness and Response; Biomedical Advanced Research and Development Authority (BARDA), under Contract Number: 75A50122C00007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U.S., Europe, Japan, China and other countries). Arcturus’ commitment to the development of novel RNA therapeutics has led to collaborations including, amongst others, Janssen Pharmaceuticals, Inc., part of the Janssen Pharmaceutical Companies of Johnson &amp; Johnson, Ultragenyx Pharmaceutical, Inc., and the Cystic Fibrosis Foundation. In addition, please connect with us on Twitter and LinkedIn. For more information visit www.ArcturusRx.com.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the expectations for or likelihood of success of any collaborations, the likelihood of success of the Company’s development and related efforts for an influenza vaccine candidate, the likelihood of the Company’s lyophilized vaccines to provide safe and effective protection against disease, the future activities under and fulfillment of the Company’s contract with BARDA, the ability of the Company’s influenza vaccine program to support U.S. government pandemic preparedness goals, the likelihood that a patent will issue from any patent application,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Acknowledgements</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2022-09-01T16:20:17Z</dcterms:created>
  <dcterms:modified xsi:type="dcterms:W3CDTF">2022-09-01T16:20:17Z</dcterms:modified>
</cp:coreProperties>
</file>