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Kurata Lance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u w:val="single" w:color="auto"/>
                  <w:color w:val="0000EE"/>
                </w:rPr>
                <w:t>Arcturus Therapeutics Holdings Inc.</w:t>
              </w:r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Legal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ARCTURUS THERAPEUTICS HOLDINGS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12/18/2020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64770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2" w:hanging="322"/>
        <w:spacing w:after="0"/>
        <w:tabs>
          <w:tab w:leader="none" w:pos="32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59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22" w:right="580"/>
        <w:spacing w:after="0" w:line="264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5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8" w:space="720"/>
            <w:col w:w="3142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99.29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12/18/2020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12/18/2030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25% of the shares underlying the option vest on the one year anniversary of the date of grant, with the remainder vesting in 36 successive equal monthly increments thereafter.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Lance Kurata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12/22/2020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20961" TargetMode="External"/><Relationship Id="rId14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2020-12-22T18:38:50Z</dcterms:created>
  <dcterms:modified xsi:type="dcterms:W3CDTF">2020-12-22T18:38:50Z</dcterms:modified>
</cp:coreProperties>
</file>