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August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August 11, 2017, announcing its financial results for the second quarter ended June 30, 2017.</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fifth bullet point under the heading “Second Quarter and Recent Corporate Updates” and the GAAP financial statements in this Form 6-K of the registrant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August 11, 2017, announcing its financial results for the second quarter ended June 30, 2017.</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0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Tomer Berkovitz</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Chief Financial Officer and Chief Operating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SECOND QUARTER 2017 FINANCIAL RESULTS AND PROVIDES CORPORATE UPDATE</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Tel Aviv, Israel – August 11, 2017 </w:t>
      </w:r>
      <w:r>
        <w:rPr>
          <w:rFonts w:ascii="Arial" w:cs="Arial" w:eastAsia="Arial" w:hAnsi="Arial"/>
          <w:sz w:val="18"/>
          <w:szCs w:val="18"/>
          <w:color w:val="auto"/>
        </w:rPr>
        <w:t>– Alcobra Ltd. (NasdaqGM: ADHD) today announced financial results for the three and six months ended June 30, 2017,</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provided a corporate update.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Corporate Updates:</w:t>
      </w:r>
    </w:p>
    <w:p>
      <w:pPr>
        <w:spacing w:after="0" w:line="27" w:lineRule="exact"/>
        <w:rPr>
          <w:sz w:val="20"/>
          <w:szCs w:val="20"/>
          <w:color w:val="auto"/>
        </w:rPr>
      </w:pPr>
    </w:p>
    <w:p>
      <w:pPr>
        <w:ind w:left="340" w:right="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June 23, 2017, Alcobra announced that it had established a Special Committee of the Board of Directors to explore and evaluate strategic alternatives focused on maximizing shareholder value.</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also announced that it had engaged Ladenburg Thalmann &amp; Co. Inc. to act as its strategic financial advisor for the process.</w:t>
      </w:r>
    </w:p>
    <w:p>
      <w:pPr>
        <w:spacing w:after="0" w:line="9"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part of the strategic process, the Company is also exploring the best path forward with its clinical assets, ADAIR (Abuse-Deterrent Amphetamine Immediate-Release) and MDX (Metadoxine Extended Release), including monetization and partnering.</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strategic alternatives process is progressing according to plan.</w:t>
      </w:r>
    </w:p>
    <w:p>
      <w:pPr>
        <w:spacing w:after="0" w:line="9" w:lineRule="exact"/>
        <w:rPr>
          <w:rFonts w:ascii="Arial" w:cs="Arial" w:eastAsia="Arial" w:hAnsi="Arial"/>
          <w:sz w:val="18"/>
          <w:szCs w:val="18"/>
          <w:color w:val="auto"/>
        </w:rPr>
      </w:pPr>
    </w:p>
    <w:p>
      <w:pPr>
        <w:ind w:left="340" w:right="8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Company has also taken significant action to streamline its operations in order to preserve capital, including a 65% reduction in force. As part of the recent reduction in force, Dr. Jonathan Rubin, the Company’s Chief Medical Officer, will be stepping down effective September 11, 2017.</w:t>
      </w:r>
    </w:p>
    <w:p>
      <w:pPr>
        <w:ind w:left="340" w:right="4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June 12, 2017, Alcobra announced that it has entered into a cooperation agreement with Brosh Capital Partners L.P. and certain of its affiliates in connection with, among other things, Alcobra's 2017 Annual General Meeting of Shareholders.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the agreement, Alcobra appointed two new directors, Mr. Amir Efrati and Mr. Yuval Yanai, to the Alcobra Board of Directors.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parties also agreed that the Company's upcoming Annual General Meeting (“AGM”) would be postponed until September 1, 2017, and, if needed, further postponed as long as Alcobra's strategic review process is ongoing and satisfactory to both parties.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parties have agreed that the AGM will be postponed until October 19, 2017, based on continued progress on the strategic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Ended June 30, 2017 Financial Results:</w:t>
      </w:r>
    </w:p>
    <w:p>
      <w:pPr>
        <w:spacing w:after="0" w:line="27" w:lineRule="exact"/>
        <w:rPr>
          <w:sz w:val="20"/>
          <w:szCs w:val="20"/>
          <w:color w:val="auto"/>
        </w:rPr>
      </w:pPr>
    </w:p>
    <w:p>
      <w:pPr>
        <w:ind w:left="340" w:right="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marketable securities, and deposits totaled $41.2 million at June 30, 2017 and compared with $45.3 million at March 31, 2017 and $50.2 million at December 31, 2016.</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second quarter of 2017 were $3.8 million, compared with $5.9 million in the second quarter of 2016.</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in the second quarter of 2017 were $1.4 million, compared with $4.2 million in the second quarter of 2016. The decline in R&amp;D expenses is mainly driven by the termination of the Phase III study in MDX for Adult ADHD.</w:t>
      </w:r>
    </w:p>
    <w:p>
      <w:pPr>
        <w:ind w:left="340" w:right="120" w:hanging="332"/>
        <w:spacing w:after="0" w:line="277"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and administrative (G&amp;A) expenses in the second quarter of 2017 were $2.1 million, compared with $1.4 million in the second quarter of 2016. G&amp;A expenses in the second quarter of 2017 include charges of $1.2 million associated with the reduction in force, expenses related to the strategic process, and legal fees in response to shareholder-activism, as well as $0.2 million in non-cash share-based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ind w:right="860"/>
        <w:spacing w:after="0" w:line="323"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new medications.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evaluating strategic opportunities, exploring the best path forward with clinical assets, continued decrease in operating expenses and timing of the company’s annual shareholders meeting.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2016,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4"/>
          </w:tcPr>
          <w:p>
            <w:pPr>
              <w:jc w:val="center"/>
              <w:ind w:left="5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8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86"/>
              </w:rPr>
              <w:t>June 30,</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June 30,</w:t>
            </w: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(unaudited)</w:t>
            </w: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4,182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1,402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5,918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5,766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Tax on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5,788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10,874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Unrealized gain on available-for-sale marketable securities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3,690</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5,783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Ordinary shares used in computing</w:t>
            </w: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27,562,795</w:t>
            </w:r>
          </w:p>
        </w:tc>
        <w:tc>
          <w:tcPr>
            <w:tcW w:w="1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27,562,795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27,562,795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27,562,517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100" w:type="dxa"/>
            <w:vAlign w:val="bottom"/>
            <w:gridSpan w:val="2"/>
          </w:tcPr>
          <w:p>
            <w:pPr>
              <w:jc w:val="right"/>
              <w:ind w:right="2160"/>
              <w:spacing w:after="0"/>
              <w:rPr>
                <w:sz w:val="20"/>
                <w:szCs w:val="20"/>
                <w:color w:val="auto"/>
              </w:rPr>
            </w:pPr>
            <w:r>
              <w:rPr>
                <w:rFonts w:ascii="Arial" w:cs="Arial" w:eastAsia="Arial" w:hAnsi="Arial"/>
                <w:sz w:val="18"/>
                <w:szCs w:val="18"/>
                <w:b w:val="1"/>
                <w:bCs w:val="1"/>
                <w:color w:val="auto"/>
              </w:rPr>
              <w:t>ASSETS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3,568</w:t>
            </w:r>
          </w:p>
        </w:tc>
        <w:tc>
          <w:tcPr>
            <w:tcW w:w="1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Trade payables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Ordinary shares</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(102,831)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42,351</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June 30,</w:t>
            </w:r>
          </w:p>
        </w:tc>
        <w:tc>
          <w:tcPr>
            <w:tcW w:w="10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(3,691)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(5,788)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(7,211)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Trade payables</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 in) marketable securities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call redemption of marketable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from short-term bank deposit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10,264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15,093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2019-12-07T19:23:53Z</dcterms:created>
  <dcterms:modified xsi:type="dcterms:W3CDTF">2019-12-07T19:23:53Z</dcterms:modified>
</cp:coreProperties>
</file>