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e618558_8k-arct.htm"/>
      <w:bookmarkStart w:id="1" w:name="kse618558_8karct"/>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30428__20"/>
      <w:bookmarkEnd w:id="2"/>
      <w:r>
        <w:rPr>
          <w:rFonts w:ascii="Times New Roman;Times;Serif" w:hAnsi="Times New Roman;Times;Serif"/>
          <w:b/>
          <w:i w:val="false"/>
          <w:caps w:val="false"/>
          <w:smallCaps w:val="false"/>
          <w:sz w:val="20"/>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April 28,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3"/>
      <w:bookmarkEnd w:id="4"/>
      <w:r>
        <w:rPr>
          <w:rFonts w:ascii="Times New Roman;Times;Serif" w:hAnsi="Times New Roman;Times;Serif"/>
          <w:b/>
          <w:i w:val="false"/>
          <w:caps w:val="false"/>
          <w:smallCaps w:val="false"/>
          <w:sz w:val="36"/>
        </w:rPr>
        <w:t>ARCTURUS THERAPEUTICS HOLDINGS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spacing w:before="0" w:after="0"/>
        <w:ind w:left="0" w:right="0" w:hanging="0"/>
        <w:jc w:val="center"/>
        <w:rPr>
          <w:caps w:val="false"/>
          <w:smallCaps w:val="false"/>
        </w:rPr>
      </w:pPr>
      <w:r>
        <w:rPr>
          <w:caps w:val="false"/>
          <w:smallCaps w:val="false"/>
        </w:rPr>
        <w:t> </w:t>
      </w:r>
    </w:p>
    <w:tbl>
      <w:tblPr>
        <w:tblW w:w="5100" w:type="dxa"/>
        <w:jc w:val="left"/>
        <w:tblInd w:w="0" w:type="dxa"/>
        <w:tblCellMar>
          <w:top w:w="0" w:type="dxa"/>
          <w:left w:w="0" w:type="dxa"/>
          <w:bottom w:w="0" w:type="dxa"/>
          <w:right w:w="0" w:type="dxa"/>
        </w:tblCellMar>
      </w:tblPr>
      <w:tblGrid>
        <w:gridCol w:w="2270"/>
        <w:gridCol w:w="60"/>
        <w:gridCol w:w="1145"/>
        <w:gridCol w:w="60"/>
        <w:gridCol w:w="1565"/>
      </w:tblGrid>
      <w:tr>
        <w:trPr/>
        <w:tc>
          <w:tcPr>
            <w:tcW w:w="2270" w:type="dxa"/>
            <w:tcBorders/>
            <w:shd w:fill="auto" w:val="clear"/>
            <w:vAlign w:val="center"/>
          </w:tcPr>
          <w:p>
            <w:pPr>
              <w:pStyle w:val="TableContents"/>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Delaware</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rFonts w:ascii="Times New Roman;Times;Serif" w:hAnsi="Times New Roman;Times;Serif"/>
                <w:b/>
                <w:sz w:val="20"/>
              </w:rPr>
            </w:pPr>
            <w:bookmarkStart w:id="6" w:name="xdx_904_edei--EntityFileNumber_c20230428"/>
            <w:bookmarkEnd w:id="6"/>
            <w:r>
              <w:rPr>
                <w:rFonts w:ascii="Times New Roman;Times;Serif" w:hAnsi="Times New Roman;Times;Serif"/>
                <w:b/>
                <w:sz w:val="20"/>
              </w:rPr>
              <w:t>001-38942</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32-0595345</w:t>
            </w:r>
          </w:p>
        </w:tc>
      </w:tr>
      <w:tr>
        <w:trPr/>
        <w:tc>
          <w:tcPr>
            <w:tcW w:w="2270"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10628 Science Center Drive, </w:t>
      </w:r>
      <w:bookmarkStart w:id="9" w:name="xdx_90C_edei--EntityAddressAddressLine2_"/>
      <w:bookmarkEnd w:id="9"/>
      <w:r>
        <w:rPr>
          <w:rFonts w:ascii="Times New Roman;Times;Serif" w:hAnsi="Times New Roman;Times;Serif"/>
          <w:b/>
          <w:i w:val="false"/>
          <w:caps w:val="false"/>
          <w:smallCaps w:val="false"/>
          <w:sz w:val="20"/>
        </w:rPr>
        <w:t>Suite 250</w:t>
      </w:r>
      <w:bookmarkStart w:id="10" w:name="xdx_909_edei--EntityAddressAddressLine3_"/>
      <w:bookmarkEnd w:id="10"/>
      <w:r>
        <w:rPr>
          <w:rFonts w:ascii="Times New Roman;Times;Serif" w:hAnsi="Times New Roman;Times;Serif"/>
          <w:b w:val="false"/>
          <w:i w:val="false"/>
          <w:caps w:val="false"/>
          <w:smallCaps w:val="false"/>
          <w:sz w:val="20"/>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1" w:name="xdx_907_edei--EntityAddressCityOrTown_c2"/>
      <w:bookmarkEnd w:id="11"/>
      <w:r>
        <w:rPr>
          <w:rFonts w:ascii="Times New Roman;Times;Serif" w:hAnsi="Times New Roman;Times;Serif"/>
          <w:b/>
          <w:i w:val="false"/>
          <w:caps w:val="false"/>
          <w:smallCaps w:val="false"/>
          <w:sz w:val="20"/>
        </w:rPr>
        <w:t xml:space="preserve">San Diego, </w:t>
      </w:r>
      <w:bookmarkStart w:id="12" w:name="xdx_90F_edei--EntityAddressStateOrProvin"/>
      <w:bookmarkEnd w:id="12"/>
      <w:r>
        <w:rPr>
          <w:rFonts w:ascii="Times New Roman;Times;Serif" w:hAnsi="Times New Roman;Times;Serif"/>
          <w:b/>
          <w:i w:val="false"/>
          <w:caps w:val="false"/>
          <w:smallCaps w:val="false"/>
          <w:sz w:val="20"/>
        </w:rPr>
        <w:t xml:space="preserve">California </w:t>
      </w:r>
      <w:bookmarkStart w:id="13" w:name="xdx_902_edei--EntityAddressPostalZipCode"/>
      <w:bookmarkEnd w:id="13"/>
      <w:r>
        <w:rPr>
          <w:rFonts w:ascii="Times New Roman;Times;Serif" w:hAnsi="Times New Roman;Times;Serif"/>
          <w:b/>
          <w:i w:val="false"/>
          <w:caps w:val="false"/>
          <w:smallCaps w:val="false"/>
          <w:sz w:val="20"/>
        </w:rPr>
        <w:t>92121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4" w:name="xdx_90A_edei--CityAreaCode_c20230428__20"/>
      <w:bookmarkEnd w:id="14"/>
      <w:r>
        <w:rPr>
          <w:rFonts w:ascii="Times New Roman;Times;Serif" w:hAnsi="Times New Roman;Times;Serif"/>
          <w:b/>
          <w:i w:val="false"/>
          <w:caps w:val="false"/>
          <w:smallCaps w:val="false"/>
          <w:sz w:val="20"/>
        </w:rPr>
        <w:t xml:space="preserve">(858) </w:t>
      </w:r>
      <w:bookmarkStart w:id="15" w:name="xdx_90B_edei--LocalPhoneNumber_c20230428"/>
      <w:bookmarkEnd w:id="15"/>
      <w:r>
        <w:rPr>
          <w:rFonts w:ascii="Times New Roman;Times;Serif" w:hAnsi="Times New Roman;Times;Serif"/>
          <w:b/>
          <w:i w:val="false"/>
          <w:caps w:val="false"/>
          <w:smallCaps w:val="false"/>
          <w:sz w:val="20"/>
        </w:rPr>
        <w:t>900-2660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9355" w:type="dxa"/>
        <w:jc w:val="left"/>
        <w:tblInd w:w="0" w:type="dxa"/>
        <w:tblCellMar>
          <w:top w:w="0" w:type="dxa"/>
          <w:left w:w="0" w:type="dxa"/>
          <w:bottom w:w="0" w:type="dxa"/>
          <w:right w:w="0" w:type="dxa"/>
        </w:tblCellMar>
      </w:tblPr>
      <w:tblGrid>
        <w:gridCol w:w="245"/>
        <w:gridCol w:w="9110"/>
      </w:tblGrid>
      <w:tr>
        <w:trPr/>
        <w:tc>
          <w:tcPr>
            <w:tcW w:w="245" w:type="dxa"/>
            <w:tcBorders/>
            <w:shd w:fill="auto" w:val="clear"/>
            <w:vAlign w:val="center"/>
          </w:tcPr>
          <w:p>
            <w:pPr>
              <w:pStyle w:val="TableContents"/>
              <w:spacing w:before="0" w:after="283"/>
              <w:rPr/>
            </w:pPr>
            <w:bookmarkStart w:id="16" w:name="xdx_90B_edei--WrittenCommunications_c202"/>
            <w:bookmarkEnd w:id="16"/>
            <w:r>
              <w:rPr/>
              <w:t>☐</w:t>
            </w:r>
          </w:p>
        </w:tc>
        <w:tc>
          <w:tcPr>
            <w:tcW w:w="91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r>
        <w:trPr/>
        <w:tc>
          <w:tcPr>
            <w:tcW w:w="245" w:type="dxa"/>
            <w:tcBorders/>
            <w:shd w:fill="auto" w:val="clear"/>
            <w:vAlign w:val="center"/>
          </w:tcPr>
          <w:p>
            <w:pPr>
              <w:pStyle w:val="TableContents"/>
              <w:spacing w:before="0" w:after="283"/>
              <w:rPr/>
            </w:pPr>
            <w:bookmarkStart w:id="17" w:name="xdx_90D_edei--SolicitingMaterial_c202304"/>
            <w:bookmarkEnd w:id="17"/>
            <w:r>
              <w:rPr/>
              <w:t>☐</w:t>
            </w:r>
          </w:p>
        </w:tc>
        <w:tc>
          <w:tcPr>
            <w:tcW w:w="91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r>
        <w:trPr/>
        <w:tc>
          <w:tcPr>
            <w:tcW w:w="245" w:type="dxa"/>
            <w:tcBorders/>
            <w:shd w:fill="auto" w:val="clear"/>
            <w:vAlign w:val="center"/>
          </w:tcPr>
          <w:p>
            <w:pPr>
              <w:pStyle w:val="TableContents"/>
              <w:spacing w:before="0" w:after="283"/>
              <w:rPr/>
            </w:pPr>
            <w:bookmarkStart w:id="18" w:name="xdx_90D_edei--PreCommencementTenderOffer"/>
            <w:bookmarkEnd w:id="18"/>
            <w:r>
              <w:rPr/>
              <w:t>☐</w:t>
            </w:r>
          </w:p>
        </w:tc>
        <w:tc>
          <w:tcPr>
            <w:tcW w:w="91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240.14d-2(b)) </w:t>
            </w:r>
          </w:p>
        </w:tc>
      </w:tr>
      <w:tr>
        <w:trPr/>
        <w:tc>
          <w:tcPr>
            <w:tcW w:w="245" w:type="dxa"/>
            <w:tcBorders/>
            <w:shd w:fill="auto" w:val="clear"/>
            <w:vAlign w:val="center"/>
          </w:tcPr>
          <w:p>
            <w:pPr>
              <w:pStyle w:val="TableContents"/>
              <w:spacing w:before="0" w:after="283"/>
              <w:rPr/>
            </w:pPr>
            <w:bookmarkStart w:id="19" w:name="xdx_906_edei--PreCommencementIssuerTende"/>
            <w:bookmarkEnd w:id="19"/>
            <w:r>
              <w:rPr/>
              <w:t>☐</w:t>
            </w:r>
          </w:p>
        </w:tc>
        <w:tc>
          <w:tcPr>
            <w:tcW w:w="91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305" w:type="dxa"/>
        <w:jc w:val="left"/>
        <w:tblInd w:w="0" w:type="dxa"/>
        <w:tblCellMar>
          <w:top w:w="0" w:type="dxa"/>
          <w:left w:w="0" w:type="dxa"/>
          <w:bottom w:w="28" w:type="dxa"/>
          <w:right w:w="0" w:type="dxa"/>
        </w:tblCellMar>
      </w:tblPr>
      <w:tblGrid>
        <w:gridCol w:w="3650"/>
        <w:gridCol w:w="60"/>
        <w:gridCol w:w="860"/>
        <w:gridCol w:w="60"/>
        <w:gridCol w:w="2675"/>
      </w:tblGrid>
      <w:tr>
        <w:trPr/>
        <w:tc>
          <w:tcPr>
            <w:tcW w:w="36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auto" w:val="clear"/>
            <w:tcMar>
              <w:bottom w:w="0" w:type="dxa"/>
            </w:tcMar>
            <w:vAlign w:val="center"/>
          </w:tcPr>
          <w:p>
            <w:pPr>
              <w:pStyle w:val="TableContents"/>
              <w:spacing w:before="0" w:after="283"/>
              <w:rPr/>
            </w:pPr>
            <w:r>
              <w:rPr/>
              <w:t> </w:t>
            </w:r>
          </w:p>
        </w:tc>
        <w:tc>
          <w:tcPr>
            <w:tcW w:w="860"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shd w:fill="auto" w:val="clear"/>
            <w:tcMar>
              <w:bottom w:w="0" w:type="dxa"/>
            </w:tcMar>
            <w:vAlign w:val="center"/>
          </w:tcPr>
          <w:p>
            <w:pPr>
              <w:pStyle w:val="TableContents"/>
              <w:spacing w:before="0" w:after="283"/>
              <w:rPr/>
            </w:pPr>
            <w:r>
              <w:rPr/>
              <w:t> </w:t>
            </w:r>
          </w:p>
        </w:tc>
        <w:tc>
          <w:tcPr>
            <w:tcW w:w="26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650" w:type="dxa"/>
            <w:tcBorders/>
            <w:shd w:fill="auto" w:val="clear"/>
            <w:tcMar>
              <w:bottom w:w="0" w:type="dxa"/>
            </w:tcMar>
            <w:vAlign w:val="center"/>
          </w:tcPr>
          <w:p>
            <w:pPr>
              <w:pStyle w:val="TableContents"/>
              <w:spacing w:before="0" w:after="283"/>
              <w:jc w:val="center"/>
              <w:rPr>
                <w:rFonts w:ascii="Times New Roman;Times;Serif" w:hAnsi="Times New Roman;Times;Serif"/>
                <w:b/>
                <w:sz w:val="20"/>
              </w:rPr>
            </w:pPr>
            <w:bookmarkStart w:id="20" w:name="xdx_909_edei--Security12bTitle_c20230428"/>
            <w:bookmarkEnd w:id="20"/>
            <w:r>
              <w:rPr>
                <w:rFonts w:ascii="Times New Roman;Times;Serif" w:hAnsi="Times New Roman;Times;Serif"/>
                <w:b/>
                <w:sz w:val="20"/>
              </w:rPr>
              <w:t>Common stock, par value $0.001 per share</w:t>
            </w:r>
          </w:p>
        </w:tc>
        <w:tc>
          <w:tcPr>
            <w:tcW w:w="60" w:type="dxa"/>
            <w:tcBorders/>
            <w:shd w:fill="auto" w:val="clear"/>
            <w:tcMar>
              <w:bottom w:w="0" w:type="dxa"/>
            </w:tcMar>
            <w:vAlign w:val="center"/>
          </w:tcPr>
          <w:p>
            <w:pPr>
              <w:pStyle w:val="TableContents"/>
              <w:spacing w:before="0" w:after="283"/>
              <w:rPr/>
            </w:pPr>
            <w:r>
              <w:rPr/>
              <w:t> </w:t>
            </w:r>
          </w:p>
        </w:tc>
        <w:tc>
          <w:tcPr>
            <w:tcW w:w="860" w:type="dxa"/>
            <w:tcBorders/>
            <w:shd w:fill="auto" w:val="clear"/>
            <w:tcMar>
              <w:bottom w:w="0" w:type="dxa"/>
            </w:tcMar>
            <w:vAlign w:val="center"/>
          </w:tcPr>
          <w:p>
            <w:pPr>
              <w:pStyle w:val="TableContents"/>
              <w:spacing w:before="0" w:after="283"/>
              <w:jc w:val="center"/>
              <w:rPr>
                <w:rFonts w:ascii="Times New Roman;Times;Serif" w:hAnsi="Times New Roman;Times;Serif"/>
                <w:b/>
                <w:sz w:val="20"/>
              </w:rPr>
            </w:pPr>
            <w:bookmarkStart w:id="21" w:name="xdx_903_edei--TradingSymbol_c20230428__2"/>
            <w:bookmarkEnd w:id="21"/>
            <w:r>
              <w:rPr>
                <w:rFonts w:ascii="Times New Roman;Times;Serif" w:hAnsi="Times New Roman;Times;Serif"/>
                <w:b/>
                <w:sz w:val="20"/>
              </w:rPr>
              <w:t>ARCT</w:t>
            </w:r>
          </w:p>
        </w:tc>
        <w:tc>
          <w:tcPr>
            <w:tcW w:w="60" w:type="dxa"/>
            <w:tcBorders/>
            <w:shd w:fill="auto" w:val="clear"/>
            <w:tcMar>
              <w:bottom w:w="0" w:type="dxa"/>
            </w:tcMar>
            <w:vAlign w:val="center"/>
          </w:tcPr>
          <w:p>
            <w:pPr>
              <w:pStyle w:val="TableContents"/>
              <w:spacing w:before="0" w:after="283"/>
              <w:rPr/>
            </w:pPr>
            <w:r>
              <w:rPr/>
              <w:t> </w:t>
            </w:r>
          </w:p>
        </w:tc>
        <w:tc>
          <w:tcPr>
            <w:tcW w:w="2675" w:type="dxa"/>
            <w:tcBorders/>
            <w:shd w:fill="auto" w:val="clear"/>
            <w:tcMar>
              <w:bottom w:w="0" w:type="dxa"/>
            </w:tcMar>
            <w:vAlign w:val="center"/>
          </w:tcPr>
          <w:p>
            <w:pPr>
              <w:pStyle w:val="TableContents"/>
              <w:spacing w:before="0" w:after="283"/>
              <w:jc w:val="center"/>
              <w:rPr>
                <w:rFonts w:ascii="Times New Roman;Times;Serif" w:hAnsi="Times New Roman;Times;Serif"/>
                <w:b/>
                <w:sz w:val="20"/>
              </w:rPr>
            </w:pPr>
            <w:bookmarkStart w:id="22" w:name="xdx_90E_edei--SecurityExchangeName_c2023"/>
            <w:bookmarkEnd w:id="22"/>
            <w:r>
              <w:rPr>
                <w:rFonts w:ascii="Times New Roman;Times;Serif" w:hAnsi="Times New Roman;Times;Serif"/>
                <w:b/>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3_edei--EntityEmergingGrowthCompan"/>
      <w:bookmarkEnd w:id="23"/>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2023, Meiji Seika Pharma Co., Ltd., a subsidiary of Meiji Holdings Co., Ltd. (“</w:t>
      </w:r>
      <w:r>
        <w:rPr>
          <w:rFonts w:ascii="Times New Roman;Times;Serif" w:hAnsi="Times New Roman;Times;Serif"/>
          <w:b w:val="false"/>
          <w:i w:val="false"/>
          <w:caps w:val="false"/>
          <w:smallCaps w:val="false"/>
          <w:sz w:val="20"/>
          <w:u w:val="single"/>
        </w:rPr>
        <w:t>Meiji</w:t>
      </w:r>
      <w:r>
        <w:rPr>
          <w:rFonts w:ascii="Times New Roman;Times;Serif" w:hAnsi="Times New Roman;Times;Serif"/>
          <w:b w:val="false"/>
          <w:i w:val="false"/>
          <w:caps w:val="false"/>
          <w:smallCaps w:val="false"/>
          <w:sz w:val="20"/>
        </w:rPr>
        <w:t>”) announced that it submitted a New Drug Application for ARCT-154 for primary immunization to prevent COVID-19 in adults (two doses of ARCT-154) in Japan.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April 11, 2023, Meiji entered into a distribution agreement with Seqirus, Inc. (“</w:t>
      </w:r>
      <w:r>
        <w:rPr>
          <w:rFonts w:ascii="Times New Roman;Times;Serif" w:hAnsi="Times New Roman;Times;Serif"/>
          <w:b w:val="false"/>
          <w:i w:val="false"/>
          <w:caps w:val="false"/>
          <w:smallCaps w:val="false"/>
          <w:sz w:val="20"/>
          <w:u w:val="single"/>
        </w:rPr>
        <w:t>CSL Seqirus</w:t>
      </w:r>
      <w:r>
        <w:rPr>
          <w:rFonts w:ascii="Times New Roman;Times;Serif" w:hAnsi="Times New Roman;Times;Serif"/>
          <w:b w:val="false"/>
          <w:i w:val="false"/>
          <w:caps w:val="false"/>
          <w:smallCaps w:val="false"/>
          <w:sz w:val="20"/>
        </w:rPr>
        <w:t>”), a part of CSL Limited, and one of the world’s leading influenza vaccine providers, for the distribution and sales of ARCT-154, Arcturus Therapeutics Holdings Inc.’s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Arcturus</w:t>
      </w:r>
      <w:r>
        <w:rPr>
          <w:rFonts w:ascii="Times New Roman;Times;Serif" w:hAnsi="Times New Roman;Times;Serif"/>
          <w:b w:val="false"/>
          <w:i w:val="false"/>
          <w:caps w:val="false"/>
          <w:smallCaps w:val="false"/>
          <w:sz w:val="20"/>
        </w:rPr>
        <w:t>”) self-amplifying mRNA vaccine candidate against COVID-19, in Japan.</w:t>
      </w:r>
    </w:p>
    <w:p>
      <w:pPr>
        <w:pStyle w:val="TextBody"/>
        <w:spacing w:before="0" w:after="0"/>
        <w:ind w:left="0" w:right="0" w:hanging="0"/>
        <w:rPr>
          <w:caps w:val="false"/>
          <w:smallCaps w:val="false"/>
        </w:rPr>
      </w:pPr>
      <w:r>
        <w:rPr>
          <w:caps w:val="false"/>
          <w:smallCaps w:val="false"/>
        </w:rPr>
        <w:t> </w:t>
      </w:r>
    </w:p>
    <w:p>
      <w:pPr>
        <w:pStyle w:val="TextBody"/>
        <w:spacing w:before="0" w:after="0"/>
        <w:ind w:left="432" w:right="432"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as previously announced, in November 2022, the Company entered into a Collaboration and License Agreement (the “</w:t>
      </w:r>
      <w:r>
        <w:rPr>
          <w:rFonts w:ascii="Times New Roman;Times;Serif" w:hAnsi="Times New Roman;Times;Serif"/>
          <w:b w:val="false"/>
          <w:i w:val="false"/>
          <w:caps w:val="false"/>
          <w:smallCaps w:val="false"/>
          <w:sz w:val="20"/>
          <w:u w:val="single"/>
        </w:rPr>
        <w:t>CSL Collaboration 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reement</w:t>
      </w:r>
      <w:r>
        <w:rPr>
          <w:rFonts w:ascii="Times New Roman;Times;Serif" w:hAnsi="Times New Roman;Times;Serif"/>
          <w:b w:val="false"/>
          <w:i w:val="false"/>
          <w:caps w:val="false"/>
          <w:smallCaps w:val="false"/>
          <w:sz w:val="20"/>
        </w:rPr>
        <w:t>”) with CSL Seqirus, for the global exclusive rights to research, develop, manufacture and commercialize Arcturus’ self-amplifying mRNA vaccines against COVID-19, influenza and three other respiratory infectious diseases with nonexclusive rights to pandemic pathogens. The CSL Collaboration Agreement became effective on December 8, 2022.</w:t>
      </w:r>
    </w:p>
    <w:p>
      <w:pPr>
        <w:pStyle w:val="TextBody"/>
        <w:spacing w:before="0" w:after="0"/>
        <w:ind w:left="432" w:right="432" w:hanging="0"/>
        <w:rPr>
          <w:caps w:val="false"/>
          <w:smallCaps w:val="false"/>
        </w:rPr>
      </w:pPr>
      <w:r>
        <w:rPr>
          <w:caps w:val="false"/>
          <w:smallCaps w:val="false"/>
        </w:rPr>
        <w:t> </w:t>
      </w:r>
    </w:p>
    <w:p>
      <w:pPr>
        <w:pStyle w:val="TextBody"/>
        <w:spacing w:before="0" w:after="0"/>
        <w:ind w:left="432" w:right="432"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Meiji’s press release is furnished herewith as Exhibit 99.1 and is incorporated herein by reference.</w:t>
      </w:r>
    </w:p>
    <w:p>
      <w:pPr>
        <w:pStyle w:val="TextBody"/>
        <w:spacing w:before="0" w:after="0"/>
        <w:ind w:left="432" w:right="432" w:hanging="0"/>
        <w:rPr>
          <w:caps w:val="false"/>
          <w:smallCaps w:val="false"/>
        </w:rPr>
      </w:pPr>
      <w:r>
        <w:rPr>
          <w:caps w:val="false"/>
          <w:smallCaps w:val="false"/>
        </w:rPr>
        <w:t> </w:t>
      </w:r>
    </w:p>
    <w:p>
      <w:pPr>
        <w:pStyle w:val="TextBody"/>
        <w:spacing w:before="0" w:after="0"/>
        <w:ind w:left="144" w:right="144"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7.01, including Exhibit 99.1, is furnished and shall not be deemed “filed” for purposes of Section 18 of the Securities Exchange Act of 1934, as amended (the “</w:t>
      </w:r>
      <w:r>
        <w:rPr>
          <w:rFonts w:ascii="Times New Roman;Times;Serif" w:hAnsi="Times New Roman;Times;Serif"/>
          <w:b w:val="false"/>
          <w:i w:val="false"/>
          <w:caps w:val="false"/>
          <w:smallCaps w:val="false"/>
          <w:sz w:val="20"/>
          <w:u w:val="single"/>
        </w:rPr>
        <w:t>Exchan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 Act</w:t>
      </w:r>
      <w:r>
        <w:rPr>
          <w:rFonts w:ascii="Times New Roman;Times;Serif" w:hAnsi="Times New Roman;Times;Serif"/>
          <w:b w:val="false"/>
          <w:i w:val="false"/>
          <w:caps w:val="false"/>
          <w:smallCaps w:val="false"/>
          <w:sz w:val="20"/>
        </w:rPr>
        <w:t>”), or otherwise subject to the liabilities of that Section. The information in this Item 7.01 shall not be deemed to be incorporated by reference into any filing of the Company under the Securities Act, or the Exchange Act, whether made before or after the date hereof, except as shall be expressly set forth by specific reference in such a filing.</w:t>
      </w:r>
    </w:p>
    <w:p>
      <w:pPr>
        <w:pStyle w:val="TextBody"/>
        <w:spacing w:before="0" w:after="0"/>
        <w:ind w:left="144" w:right="144"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Note Regarding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 xml:space="preserve">This Current Report on Form 8-K contains forward-looking statements that involve substantial risks and uncertainties for purposes of the safe harbor provided by the Private Securities Litigation Reform Act of 1995. Any statements, other than statements of historical fact included in this Current Report on Form 8-K, are forward-looking statements, including those regarding the collaboration with CSL </w:t>
      </w:r>
      <w:r>
        <w:rPr>
          <w:rFonts w:ascii="Times New Roman;Times;Serif" w:hAnsi="Times New Roman;Times;Serif"/>
          <w:b w:val="false"/>
          <w:i w:val="false"/>
          <w:caps w:val="false"/>
          <w:smallCaps w:val="false"/>
          <w:sz w:val="20"/>
        </w:rPr>
        <w:t xml:space="preserve">Seqirus, Meiji, </w:t>
      </w:r>
      <w:r>
        <w:rPr>
          <w:rFonts w:ascii="Times New Roman;Times;Serif" w:hAnsi="Times New Roman;Times;Serif"/>
          <w:b w:val="false"/>
          <w:i w:val="false"/>
          <w:caps w:val="false"/>
          <w:smallCaps w:val="false"/>
          <w:color w:val="212529"/>
          <w:sz w:val="20"/>
        </w:rPr>
        <w:t>or any collaborations, and the outcomes of clinical trials involving ARCT-154.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Securities and Exchange Commission (the “</w:t>
      </w:r>
      <w:r>
        <w:rPr>
          <w:rFonts w:ascii="Times New Roman;Times;Serif" w:hAnsi="Times New Roman;Times;Serif"/>
          <w:b w:val="false"/>
          <w:i w:val="false"/>
          <w:caps w:val="false"/>
          <w:smallCaps w:val="false"/>
          <w:color w:val="212529"/>
          <w:sz w:val="20"/>
          <w:u w:val="single"/>
        </w:rPr>
        <w:t>SEC</w:t>
      </w:r>
      <w:r>
        <w:rPr>
          <w:rFonts w:ascii="Times New Roman;Times;Serif" w:hAnsi="Times New Roman;Times;Serif"/>
          <w:b w:val="false"/>
          <w:i w:val="false"/>
          <w:caps w:val="false"/>
          <w:smallCaps w:val="false"/>
          <w:color w:val="212529"/>
          <w:sz w:val="20"/>
        </w:rPr>
        <w:t xml:space="preserve">”), which are available on the SEC’s website at </w:t>
      </w:r>
      <w:r>
        <w:rPr>
          <w:rFonts w:ascii="Times New Roman;Times;Serif" w:hAnsi="Times New Roman;Times;Serif"/>
          <w:b w:val="false"/>
          <w:i w:val="false"/>
          <w:caps w:val="false"/>
          <w:smallCaps w:val="false"/>
          <w:color w:val="212529"/>
          <w:sz w:val="20"/>
          <w:u w:val="single"/>
        </w:rPr>
        <w:t>www.sec.gov</w:t>
      </w:r>
      <w:r>
        <w:rPr>
          <w:rFonts w:ascii="Times New Roman;Times;Serif" w:hAnsi="Times New Roman;Times;Serif"/>
          <w:b w:val="false"/>
          <w:i w:val="false"/>
          <w:caps w:val="false"/>
          <w:smallCaps w:val="false"/>
          <w:color w:val="212529"/>
          <w:sz w:val="20"/>
        </w:rPr>
        <w:t>.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6205" w:type="dxa"/>
        <w:jc w:val="left"/>
        <w:tblInd w:w="0" w:type="dxa"/>
        <w:tblCellMar>
          <w:top w:w="0" w:type="dxa"/>
          <w:left w:w="0" w:type="dxa"/>
          <w:bottom w:w="0" w:type="dxa"/>
          <w:right w:w="0" w:type="dxa"/>
        </w:tblCellMar>
      </w:tblPr>
      <w:tblGrid>
        <w:gridCol w:w="995"/>
        <w:gridCol w:w="60"/>
        <w:gridCol w:w="5150"/>
      </w:tblGrid>
      <w:tr>
        <w:trPr/>
        <w:tc>
          <w:tcPr>
            <w:tcW w:w="99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Exhibit No.</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283"/>
              <w:rPr/>
            </w:pPr>
            <w:r>
              <w:rPr/>
              <w:t>99.1</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283"/>
              <w:rPr/>
            </w:pPr>
            <w:hyperlink w:anchor="e618558_ex99-1.htm">
              <w:r>
                <w:rPr>
                  <w:rStyle w:val="InternetLink"/>
                </w:rPr>
                <w:t>Press Release dated April 28, 2023</w:t>
              </w:r>
            </w:hyperlink>
          </w:p>
        </w:tc>
      </w:tr>
      <w:tr>
        <w:trPr/>
        <w:tc>
          <w:tcPr>
            <w:tcW w:w="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283"/>
              <w:rPr/>
            </w:pPr>
            <w:r>
              <w:rPr/>
              <w:t> </w:t>
            </w:r>
          </w:p>
        </w:tc>
      </w:tr>
      <w:tr>
        <w:trPr/>
        <w:tc>
          <w:tcPr>
            <w:tcW w:w="9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104</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Cover Page to this Current Report on Form 8-K in Inline XBRL</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right"/>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720"/>
        <w:rPr>
          <w:caps w:val="false"/>
          <w:smallCaps w:val="false"/>
        </w:rPr>
      </w:pPr>
      <w:r>
        <w:rPr>
          <w:caps w:val="false"/>
          <w:smallCaps w:val="false"/>
        </w:rPr>
        <w:t> </w:t>
      </w:r>
    </w:p>
    <w:tbl>
      <w:tblPr>
        <w:tblW w:w="4809" w:type="dxa"/>
        <w:jc w:val="left"/>
        <w:tblInd w:w="0" w:type="dxa"/>
        <w:tblCellMar>
          <w:top w:w="0" w:type="dxa"/>
          <w:left w:w="0" w:type="dxa"/>
          <w:bottom w:w="0" w:type="dxa"/>
          <w:right w:w="0" w:type="dxa"/>
        </w:tblCellMar>
      </w:tblPr>
      <w:tblGrid>
        <w:gridCol w:w="1700"/>
        <w:gridCol w:w="662"/>
        <w:gridCol w:w="72"/>
        <w:gridCol w:w="2375"/>
      </w:tblGrid>
      <w:tr>
        <w:trPr/>
        <w:tc>
          <w:tcPr>
            <w:tcW w:w="1700" w:type="dxa"/>
            <w:tcBorders/>
            <w:shd w:fill="auto" w:val="clear"/>
            <w:vAlign w:val="center"/>
          </w:tcPr>
          <w:p>
            <w:pPr>
              <w:pStyle w:val="TableContents"/>
              <w:spacing w:before="0" w:after="283"/>
              <w:rPr/>
            </w:pPr>
            <w:r>
              <w:rPr/>
              <w:t> </w:t>
            </w:r>
          </w:p>
        </w:tc>
        <w:tc>
          <w:tcPr>
            <w:tcW w:w="3109" w:type="dxa"/>
            <w:gridSpan w:val="3"/>
            <w:tcBorders/>
            <w:shd w:fill="auto" w:val="clear"/>
            <w:vAlign w:val="center"/>
          </w:tcPr>
          <w:p>
            <w:pPr>
              <w:pStyle w:val="TableContents"/>
              <w:spacing w:before="0" w:after="283"/>
              <w:rPr>
                <w:b/>
                <w:sz w:val="20"/>
              </w:rPr>
            </w:pPr>
            <w:r>
              <w:rPr>
                <w:b/>
                <w:sz w:val="20"/>
              </w:rPr>
              <w:t>Arcturus Therapeutics Holdings Inc.</w:t>
            </w:r>
          </w:p>
        </w:tc>
      </w:tr>
      <w:tr>
        <w:trPr/>
        <w:tc>
          <w:tcPr>
            <w:tcW w:w="1700" w:type="dxa"/>
            <w:tcBorders/>
            <w:shd w:fill="auto" w:val="clear"/>
            <w:vAlign w:val="center"/>
          </w:tcPr>
          <w:p>
            <w:pPr>
              <w:pStyle w:val="TableContents"/>
              <w:spacing w:before="0" w:after="283"/>
              <w:rPr>
                <w:sz w:val="20"/>
              </w:rPr>
            </w:pPr>
            <w:r>
              <w:rPr>
                <w:sz w:val="20"/>
              </w:rPr>
              <w:t>Date: April 28, 2023</w:t>
            </w:r>
          </w:p>
        </w:tc>
        <w:tc>
          <w:tcPr>
            <w:tcW w:w="3109" w:type="dxa"/>
            <w:gridSpan w:val="3"/>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pPr>
            <w:r>
              <w:rPr/>
              <w:t> </w:t>
            </w:r>
          </w:p>
        </w:tc>
        <w:tc>
          <w:tcPr>
            <w:tcW w:w="2447" w:type="dxa"/>
            <w:gridSpan w:val="2"/>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sz w:val="20"/>
              </w:rPr>
            </w:pPr>
            <w:r>
              <w:rPr>
                <w:sz w:val="20"/>
              </w:rPr>
              <w:t>By:</w:t>
            </w:r>
          </w:p>
        </w:tc>
        <w:tc>
          <w:tcPr>
            <w:tcW w:w="72"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pBdr>
                <w:bottom w:val="single" w:sz="6" w:space="1" w:color="000000"/>
              </w:pBd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E. Payne</w:t>
            </w:r>
          </w:p>
        </w:tc>
      </w:tr>
      <w:tr>
        <w:trPr/>
        <w:tc>
          <w:tcPr>
            <w:tcW w:w="1700"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sz w:val="20"/>
              </w:rPr>
            </w:pPr>
            <w:r>
              <w:rPr>
                <w:sz w:val="20"/>
              </w:rPr>
              <w:t>Name:</w:t>
            </w:r>
          </w:p>
        </w:tc>
        <w:tc>
          <w:tcPr>
            <w:tcW w:w="72"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283"/>
              <w:rPr>
                <w:sz w:val="20"/>
              </w:rPr>
            </w:pPr>
            <w:r>
              <w:rPr>
                <w:sz w:val="20"/>
              </w:rPr>
              <w:t>Joseph E. Payne</w:t>
            </w:r>
          </w:p>
        </w:tc>
      </w:tr>
      <w:tr>
        <w:trPr/>
        <w:tc>
          <w:tcPr>
            <w:tcW w:w="1700"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sz w:val="20"/>
              </w:rPr>
            </w:pPr>
            <w:r>
              <w:rPr>
                <w:sz w:val="20"/>
              </w:rPr>
              <w:t>Title:</w:t>
            </w:r>
          </w:p>
        </w:tc>
        <w:tc>
          <w:tcPr>
            <w:tcW w:w="72"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283"/>
              <w:rPr>
                <w:sz w:val="20"/>
              </w:rPr>
            </w:pPr>
            <w:r>
              <w:rPr>
                <w:sz w:val="20"/>
              </w:rPr>
              <w:t>Chief Executive Officer</w:t>
            </w:r>
          </w:p>
        </w:tc>
      </w:tr>
    </w:tbl>
    <w:p>
      <w:pPr>
        <w:pStyle w:val="TextBody"/>
        <w:spacing w:before="0" w:after="0"/>
        <w:ind w:left="0" w:right="0" w:firstLine="720"/>
        <w:rPr>
          <w:caps w:val="false"/>
          <w:smallCaps w:val="false"/>
        </w:rPr>
      </w:pPr>
      <w:r>
        <w:rPr>
          <w:caps w:val="false"/>
          <w:smallCaps w:val="false"/>
        </w:rPr>
        <w:t> </w:t>
      </w:r>
      <w:r>
        <w:br w:type="page"/>
      </w:r>
    </w:p>
    <w:p>
      <w:pPr>
        <w:pStyle w:val="TextBody"/>
        <w:rPr/>
      </w:pPr>
      <w:bookmarkStart w:id="24" w:name="e618558_ex99-1.htm"/>
      <w:bookmarkStart w:id="25" w:name="kse618558_ex991"/>
      <w:bookmarkEnd w:id="24"/>
      <w:bookmarkEnd w:id="25"/>
      <w:r>
        <w:rPr/>
        <w:t> </w:t>
      </w:r>
    </w:p>
    <w:p>
      <w:pPr>
        <w:pStyle w:val="TextBody"/>
        <w:rPr/>
      </w:pPr>
      <w:r>
        <w:rPr/>
        <w:t> </w:t>
      </w:r>
    </w:p>
    <w:tbl>
      <w:tblPr>
        <w:tblW w:w="3155" w:type="dxa"/>
        <w:jc w:val="left"/>
        <w:tblInd w:w="0" w:type="dxa"/>
        <w:tblCellMar>
          <w:top w:w="0" w:type="dxa"/>
          <w:left w:w="0" w:type="dxa"/>
          <w:bottom w:w="0" w:type="dxa"/>
          <w:right w:w="0" w:type="dxa"/>
        </w:tblCellMar>
      </w:tblPr>
      <w:tblGrid>
        <w:gridCol w:w="1725"/>
        <w:gridCol w:w="1430"/>
      </w:tblGrid>
      <w:tr>
        <w:trPr/>
        <w:tc>
          <w:tcPr>
            <w:tcW w:w="1725" w:type="dxa"/>
            <w:tcBorders/>
            <w:shd w:fill="auto" w:val="clear"/>
            <w:vAlign w:val="center"/>
          </w:tcPr>
          <w:p>
            <w:pPr>
              <w:pStyle w:val="TableContents"/>
              <w:spacing w:before="0" w:after="283"/>
              <w:rPr/>
            </w:pPr>
            <w:r>
              <w:rPr/>
              <w:t> </w:t>
            </w:r>
            <w:r>
              <w:rPr/>
              <w:drawing>
                <wp:inline distT="0" distB="0" distL="0" distR="0">
                  <wp:extent cx="10477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419100"/>
                          </a:xfrm>
                          <a:prstGeom prst="rect">
                            <a:avLst/>
                          </a:prstGeom>
                        </pic:spPr>
                      </pic:pic>
                    </a:graphicData>
                  </a:graphic>
                </wp:inline>
              </w:drawing>
            </w:r>
          </w:p>
        </w:tc>
        <w:tc>
          <w:tcPr>
            <w:tcW w:w="1430" w:type="dxa"/>
            <w:tcBorders/>
            <w:shd w:fill="auto" w:val="clear"/>
            <w:vAlign w:val="center"/>
          </w:tcPr>
          <w:p>
            <w:pPr>
              <w:pStyle w:val="TableContents"/>
              <w:spacing w:before="0" w:after="283"/>
              <w:jc w:val="right"/>
              <w:rPr/>
            </w:pPr>
            <w:r>
              <w:rPr/>
              <w:t>April 28, 2023</w:t>
            </w:r>
          </w:p>
        </w:tc>
      </w:tr>
    </w:tbl>
    <w:p>
      <w:pPr>
        <w:pStyle w:val="TextBody"/>
        <w:rPr/>
      </w:pPr>
      <w:r>
        <w:rPr/>
        <w:t> </w:t>
      </w:r>
      <w:r>
        <w:rPr>
          <w:highlight w:val="whit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Name of Company: Meiji Holdings Co., Ltd.</w:t>
      </w:r>
      <w:r>
        <w:rPr>
          <w:rFonts w:ascii="Times New Roman;Times;Serif" w:hAnsi="Times New Roman;Times;Serif"/>
          <w:b w:val="false"/>
          <w:i w:val="false"/>
          <w:caps w:val="false"/>
          <w:smallCaps w:val="false"/>
          <w:sz w:val="20"/>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highlight w:val="white"/>
        </w:rPr>
        <w:t>Name of Representative: Kazuo Kawamura, CEO, President and Representative Director</w:t>
      </w:r>
      <w:r>
        <w:rPr>
          <w:rFonts w:ascii="Times New Roman;Times;Serif" w:hAnsi="Times New Roman;Times;Serif"/>
          <w:b w:val="false"/>
          <w:i w:val="false"/>
          <w:caps w:val="false"/>
          <w:smallCaps w:val="false"/>
          <w:sz w:val="20"/>
        </w:rPr>
        <w:t> </w:t>
      </w:r>
    </w:p>
    <w:p>
      <w:pPr>
        <w:pStyle w:val="TextBody"/>
        <w:spacing w:before="0" w:after="0"/>
        <w:ind w:left="0" w:right="0" w:hanging="0"/>
        <w:jc w:val="right"/>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Code Number: 2269, Prime Market, Tokyo Stock Exchange</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Submitted New Drug Application to Manufacture and Market ARCT-154,</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 Generation mRNA Vaccine against COVID-19, in Japan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Meiji Holdings Co., Ltd. announces that its subsidiary, Meiji Seika Pharma Co., Ltd., submitted a New Drug Application to manufacture and market ARCT-154 for primary immunization to prevent COVID-19 in adults (two doses of ARCT-154) in Japan. ARCT-154, a next generation mRNA vaccine against COVID-19, was developed by Arcturus Therapeutics Inc</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in April, Meiji obtained exclusive rights to distribute ARCT-154 in Japan from CSL Seqirus.</w:t>
      </w:r>
      <w:r>
        <w:rPr>
          <w:rFonts w:ascii="Times New Roman;Times;Serif" w:hAnsi="Times New Roman;Times;Serif"/>
          <w:b w:val="false"/>
          <w:i w:val="false"/>
          <w:caps w:val="false"/>
          <w:smallCaps w:val="false"/>
          <w:position w:val="7"/>
          <w:sz w:val="16"/>
          <w:sz w:val="20"/>
        </w:rPr>
        <w:t>*2</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ARCT-154 uses next-generation mRNA technology which offers strong immune response, a favorable tolerability profile and the potential for extended duration of protection while using lower doses of mRNA compared to existing mRNA vaccines.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Meiji Seika Pharma submitted an NDA for primary immunization of ARCT-154 based on results of a Phase III clinical trial (NCT05012943) conducted in Vietnam involving more than 16,000 subjects. The trial evaluated safety, immunogenicity and efficacy of primary immunization of ARCT-154 and the results met its primary endpoint of prevention of COVID-19. Meiji Seika Pharma has been conducting a Phase III study in Japan since December 13, 2022, to evaluate the safety and immunogenicity of ARCT-154 as a booster against COVID-19, and completed enrollment in February 2023.</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an agreement with CSL Seqirus, Meiji Seika Pharma will be responsible for obtaining regulatory approval, and for distribution, sales and marketing of ARCT-154 in Japan.</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Meiji Seika Pharma is collaborating with ARCALIS, Inc.</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to establish an integrated mRNA vaccine manufacturing from drug substance to drug product in Japan. ARCALIS is building a manufacturing facility in Minami-soma City, Fukushima Prefecture.</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Meiji Seika Pharma is working to supply ARCT-154 in Japan as soon as possible following approval. If approved, ARCT-154 will become a new vaccination option against COVID-19. The impact on the consolidated financial results forecast for the fiscal year ending March 31, 2024, has not been determined at this time. We will closely examine the situation and disclose the impact as soon as it is recognized.</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Disclaimer: This English translation is prepared for the readers’ convenience. When there are any discrepancies between the original Japanese version and English translation version, the original Japanese version always prevails.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right"/>
        <w:rPr/>
      </w:pPr>
      <w:r>
        <w:rPr/>
        <w:t> </w:t>
      </w:r>
    </w:p>
    <w:p>
      <w:pPr>
        <w:pStyle w:val="TextBody"/>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81"/>
        <w:gridCol w:w="9886"/>
      </w:tblGrid>
      <w:tr>
        <w:trPr/>
        <w:tc>
          <w:tcPr>
            <w:tcW w:w="3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jc w:val="left"/>
              <w:rPr/>
            </w:pPr>
            <w:r>
              <w:rPr/>
              <w:t>*1:</w:t>
            </w:r>
          </w:p>
        </w:tc>
        <w:tc>
          <w:tcPr>
            <w:tcW w:w="9886" w:type="dxa"/>
            <w:tcBorders/>
            <w:shd w:fill="auto" w:val="clear"/>
            <w:vAlign w:val="center"/>
          </w:tcPr>
          <w:p>
            <w:pPr>
              <w:pStyle w:val="TableContents"/>
              <w:spacing w:before="0" w:after="283"/>
              <w:rPr/>
            </w:pPr>
            <w:r>
              <w:rPr/>
              <w:t>Arcturus Therapeutics Holdings Inc. founded in 2013, is a global late-stage clinical messenger RNA medicines company focused on the development of infectious disease vaccines and opportunities within liver and respiratory rare diseases. (</w:t>
            </w:r>
            <w:r>
              <w:rPr>
                <w:u w:val="single"/>
              </w:rPr>
              <w:t>https://arcturusrx.com/</w:t>
            </w:r>
            <w:r>
              <w:rPr/>
              <w:t>)</w:t>
            </w:r>
          </w:p>
        </w:tc>
      </w:tr>
    </w:tbl>
    <w:p>
      <w:pPr>
        <w:pStyle w:val="TextBody"/>
        <w:spacing w:before="0" w:after="0"/>
        <w:ind w:left="360" w:right="0" w:hanging="36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78"/>
        <w:gridCol w:w="9889"/>
      </w:tblGrid>
      <w:tr>
        <w:trPr/>
        <w:tc>
          <w:tcPr>
            <w:tcW w:w="3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jc w:val="left"/>
              <w:rPr/>
            </w:pPr>
            <w:r>
              <w:rPr/>
              <w:t>*2:</w:t>
            </w:r>
          </w:p>
        </w:tc>
        <w:tc>
          <w:tcPr>
            <w:tcW w:w="9889" w:type="dxa"/>
            <w:tcBorders/>
            <w:shd w:fill="auto" w:val="clear"/>
            <w:vAlign w:val="center"/>
          </w:tcPr>
          <w:p>
            <w:pPr>
              <w:pStyle w:val="TableContents"/>
              <w:spacing w:before="0" w:after="283"/>
              <w:rPr/>
            </w:pPr>
            <w:r>
              <w:rPr/>
              <w:t>CSL Seqirus, a subsidiary of CSL Limited, is one of the world's largest suppliers of influenza vaccines. The company has state-of-the-art manufacturing facilities in the U.S., U.K., and Australia. It also has excellent research and development capabilities. (</w:t>
            </w:r>
            <w:r>
              <w:rPr>
                <w:u w:val="single"/>
              </w:rPr>
              <w:t>https://www.cslseqirus.com/</w:t>
            </w:r>
            <w:r>
              <w:rPr/>
              <w:t>)</w:t>
            </w:r>
          </w:p>
        </w:tc>
      </w:tr>
    </w:tbl>
    <w:p>
      <w:pPr>
        <w:pStyle w:val="TextBody"/>
        <w:spacing w:before="0" w:after="0"/>
        <w:ind w:left="357" w:right="0" w:hanging="357"/>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74"/>
        <w:gridCol w:w="9893"/>
      </w:tblGrid>
      <w:tr>
        <w:trPr/>
        <w:tc>
          <w:tcPr>
            <w:tcW w:w="3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jc w:val="left"/>
              <w:rPr/>
            </w:pPr>
            <w:r>
              <w:rPr/>
              <w:t>*3:</w:t>
            </w:r>
          </w:p>
        </w:tc>
        <w:tc>
          <w:tcPr>
            <w:tcW w:w="9893" w:type="dxa"/>
            <w:tcBorders/>
            <w:shd w:fill="auto" w:val="clear"/>
            <w:vAlign w:val="center"/>
          </w:tcPr>
          <w:p>
            <w:pPr>
              <w:pStyle w:val="TableContents"/>
              <w:spacing w:before="0" w:after="283"/>
              <w:rPr/>
            </w:pPr>
            <w:r>
              <w:rPr/>
              <w:t>ARCALIS, Inc. is a joint venture company between Axcelead Inc. and Arcturus Therapeutics Inc., which owns a group of world-class drug-discovery and healthcare platform companies. The company provides drug discovery support, as well as a contract development and manufacturing business (CDMO business), for mRNA medicines and vaccines. (</w:t>
            </w:r>
            <w:r>
              <w:rPr>
                <w:u w:val="single"/>
              </w:rPr>
              <w:t>https://corp.arcalis.co.jp/en</w:t>
            </w:r>
            <w:r>
              <w:rPr/>
              <w:t>)</w:t>
            </w:r>
          </w:p>
        </w:tc>
      </w:tr>
    </w:tbl>
    <w:p>
      <w:pPr>
        <w:pStyle w:val="TextBody"/>
        <w:spacing w:before="0" w:after="0"/>
        <w:ind w:left="357" w:right="0" w:hanging="357"/>
        <w:jc w:val="lef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0" w:right="0" w:hanging="0"/>
        <w:jc w:val="center"/>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1410</Words>
  <CharactersWithSpaces>9536</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