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left="560" w:right="2320"/>
        <w:spacing w:after="0" w:line="243" w:lineRule="auto"/>
        <w:rPr>
          <w:sz w:val="20"/>
          <w:szCs w:val="20"/>
          <w:color w:val="auto"/>
        </w:rPr>
      </w:pPr>
      <w:r>
        <w:rPr>
          <w:rFonts w:ascii="Arial" w:cs="Arial" w:eastAsia="Arial" w:hAnsi="Arial"/>
          <w:sz w:val="22"/>
          <w:szCs w:val="22"/>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215265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ARCTURUS THERAPEUTICS HOLDINGS INC.</w:t>
      </w:r>
    </w:p>
    <w:p>
      <w:pPr>
        <w:spacing w:after="0" w:line="3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347"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780" w:right="180" w:hanging="576"/>
        <w:spacing w:after="0" w:line="308" w:lineRule="auto"/>
        <w:tabs>
          <w:tab w:leader="none" w:pos="7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-3088640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-2642870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-2059940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-1614170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-1167765</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306705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721"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-584835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306705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486410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529590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448"/>
          </w:cols>
          <w:pgMar w:left="101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205740</wp:posOffset>
            </wp:positionV>
            <wp:extent cx="2049780"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978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San Diego, California 92121</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are pleased to invite you to attend the annual meeting of stockholders of Arcturus Therapeutics Holdings Inc. to be held on October 25, 2019 at 8:00 a.m. local time, at our offices at 10240 Science Center Drive, Suite 100, San Diego, California, 92121.</w:t>
      </w:r>
    </w:p>
    <w:p>
      <w:pPr>
        <w:spacing w:after="0" w:line="170" w:lineRule="exact"/>
        <w:rPr>
          <w:sz w:val="20"/>
          <w:szCs w:val="20"/>
          <w:color w:val="auto"/>
        </w:rPr>
      </w:pPr>
    </w:p>
    <w:p>
      <w:pPr>
        <w:ind w:left="200" w:right="1020"/>
        <w:spacing w:after="0" w:line="277" w:lineRule="auto"/>
        <w:rPr>
          <w:sz w:val="20"/>
          <w:szCs w:val="20"/>
          <w:color w:val="auto"/>
        </w:rPr>
      </w:pPr>
      <w:r>
        <w:rPr>
          <w:rFonts w:ascii="Arial" w:cs="Arial" w:eastAsia="Arial" w:hAnsi="Arial"/>
          <w:sz w:val="18"/>
          <w:szCs w:val="18"/>
          <w:color w:val="auto"/>
        </w:rPr>
        <w:t>Details regarding how to attend the annual meeting and the business to be conducted at the annual meeting are more fully described in the accompanying notice of annual meeting of stockholders and proxy statement.</w:t>
      </w:r>
    </w:p>
    <w:p>
      <w:pPr>
        <w:spacing w:after="0" w:line="17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Your vote is important. Regardless of whether you plan to attend the annual meeting, it is important that your shares be represented and voted at the annual meeting, and we hope you will vote as soon as possible. You may vote by proxy over the Internet or by telephone, or by mail by following the instructions on the proxy card or voting instruction card. Voting over the Internet or by telephone, written proxy or voting instruction card will ensure your representation at the annual meeting regardless of whether you attend the annual meeting.</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Thank you for your ongoing support of, and continued interest in, Arcturus.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3320" w:type="dxa"/>
            <w:vAlign w:val="bottom"/>
          </w:tcPr>
          <w:p>
            <w:pPr>
              <w:jc w:val="center"/>
              <w:ind w:right="1610"/>
              <w:spacing w:after="0"/>
              <w:rPr>
                <w:sz w:val="20"/>
                <w:szCs w:val="20"/>
                <w:color w:val="auto"/>
              </w:rPr>
            </w:pPr>
            <w:r>
              <w:rPr>
                <w:rFonts w:ascii="Arial" w:cs="Arial" w:eastAsia="Arial" w:hAnsi="Arial"/>
                <w:sz w:val="18"/>
                <w:szCs w:val="18"/>
                <w:color w:val="auto"/>
                <w:w w:val="90"/>
              </w:rPr>
              <w:t>/s/ Dr. Peter Farrell</w:t>
            </w:r>
          </w:p>
        </w:tc>
        <w:tc>
          <w:tcPr>
            <w:tcW w:w="4440" w:type="dxa"/>
            <w:vAlign w:val="bottom"/>
          </w:tcPr>
          <w:p>
            <w:pPr>
              <w:jc w:val="center"/>
              <w:ind w:left="1590"/>
              <w:spacing w:after="0"/>
              <w:rPr>
                <w:sz w:val="20"/>
                <w:szCs w:val="20"/>
                <w:color w:val="auto"/>
              </w:rPr>
            </w:pPr>
            <w:r>
              <w:rPr>
                <w:rFonts w:ascii="Arial" w:cs="Arial" w:eastAsia="Arial" w:hAnsi="Arial"/>
                <w:sz w:val="18"/>
                <w:szCs w:val="18"/>
                <w:color w:val="auto"/>
                <w:w w:val="87"/>
              </w:rPr>
              <w:t>/s/ Joseph E. Payne</w:t>
            </w:r>
          </w:p>
        </w:tc>
      </w:tr>
      <w:tr>
        <w:trPr>
          <w:trHeight w:val="418"/>
        </w:trPr>
        <w:tc>
          <w:tcPr>
            <w:tcW w:w="3320" w:type="dxa"/>
            <w:vAlign w:val="bottom"/>
          </w:tcPr>
          <w:p>
            <w:pPr>
              <w:jc w:val="center"/>
              <w:ind w:right="1590"/>
              <w:spacing w:after="0"/>
              <w:rPr>
                <w:sz w:val="20"/>
                <w:szCs w:val="20"/>
                <w:color w:val="auto"/>
              </w:rPr>
            </w:pPr>
            <w:r>
              <w:rPr>
                <w:rFonts w:ascii="Arial" w:cs="Arial" w:eastAsia="Arial" w:hAnsi="Arial"/>
                <w:sz w:val="18"/>
                <w:szCs w:val="18"/>
                <w:color w:val="auto"/>
                <w:w w:val="90"/>
              </w:rPr>
              <w:t>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Joseph E. Payne</w:t>
            </w:r>
          </w:p>
        </w:tc>
      </w:tr>
      <w:tr>
        <w:trPr>
          <w:trHeight w:val="230"/>
        </w:trPr>
        <w:tc>
          <w:tcPr>
            <w:tcW w:w="3320" w:type="dxa"/>
            <w:vAlign w:val="bottom"/>
          </w:tcPr>
          <w:p>
            <w:pPr>
              <w:jc w:val="center"/>
              <w:ind w:right="1590"/>
              <w:spacing w:after="0"/>
              <w:rPr>
                <w:sz w:val="20"/>
                <w:szCs w:val="20"/>
                <w:color w:val="auto"/>
              </w:rPr>
            </w:pPr>
            <w:r>
              <w:rPr>
                <w:rFonts w:ascii="Arial" w:cs="Arial" w:eastAsia="Arial" w:hAnsi="Arial"/>
                <w:sz w:val="18"/>
                <w:szCs w:val="18"/>
                <w:color w:val="auto"/>
                <w:w w:val="90"/>
              </w:rPr>
              <w:t>Chairman of the Board</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205740</wp:posOffset>
            </wp:positionV>
            <wp:extent cx="2049780" cy="69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978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0" w:type="dxa"/>
            <w:vAlign w:val="bottom"/>
          </w:tcPr>
          <w:p>
            <w:pPr>
              <w:jc w:val="center"/>
              <w:ind w:right="213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14"/>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0" w:type="dxa"/>
            <w:vAlign w:val="bottom"/>
          </w:tcPr>
          <w:p>
            <w:pPr>
              <w:jc w:val="center"/>
              <w:ind w:right="2130"/>
              <w:spacing w:after="0"/>
              <w:rPr>
                <w:sz w:val="20"/>
                <w:szCs w:val="20"/>
                <w:color w:val="auto"/>
              </w:rPr>
            </w:pPr>
            <w:r>
              <w:rPr>
                <w:rFonts w:ascii="Arial" w:cs="Arial" w:eastAsia="Arial" w:hAnsi="Arial"/>
                <w:sz w:val="18"/>
                <w:szCs w:val="18"/>
                <w:b w:val="1"/>
                <w:bCs w:val="1"/>
                <w:color w:val="auto"/>
                <w:w w:val="89"/>
              </w:rPr>
              <w:t>10628 Science Center Drive, Suite 250</w:t>
            </w:r>
          </w:p>
        </w:tc>
      </w:tr>
      <w:tr>
        <w:trPr>
          <w:trHeight w:val="234"/>
        </w:trPr>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0"/>
              </w:rPr>
              <w:t>San Diego, California 92121</w:t>
            </w:r>
          </w:p>
        </w:tc>
      </w:tr>
      <w:tr>
        <w:trPr>
          <w:trHeight w:val="432"/>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0" w:type="dxa"/>
            <w:vAlign w:val="bottom"/>
          </w:tcPr>
          <w:p>
            <w:pPr>
              <w:jc w:val="center"/>
              <w:ind w:right="2130"/>
              <w:spacing w:after="0"/>
              <w:rPr>
                <w:sz w:val="20"/>
                <w:szCs w:val="20"/>
                <w:color w:val="auto"/>
              </w:rPr>
            </w:pPr>
            <w:r>
              <w:rPr>
                <w:rFonts w:ascii="Arial" w:cs="Arial" w:eastAsia="Arial" w:hAnsi="Arial"/>
                <w:sz w:val="18"/>
                <w:szCs w:val="18"/>
                <w:b w:val="1"/>
                <w:bCs w:val="1"/>
                <w:color w:val="auto"/>
              </w:rPr>
              <w:t>NOTICE OF ANNUAL MEETING OF STOCKHOLDERS</w:t>
            </w:r>
          </w:p>
        </w:tc>
      </w:tr>
      <w:tr>
        <w:trPr>
          <w:trHeight w:val="459"/>
        </w:trPr>
        <w:tc>
          <w:tcPr>
            <w:tcW w:w="174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rPr>
              <w:t>8:00 a.m. local time, on October 25, 2019.</w:t>
            </w:r>
          </w:p>
        </w:tc>
      </w:tr>
      <w:tr>
        <w:trPr>
          <w:trHeight w:val="324"/>
        </w:trPr>
        <w:tc>
          <w:tcPr>
            <w:tcW w:w="174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rPr>
              <w:t>The Company’s offices at 10240 Science Center Drive, Suite 100, San Diego, California, 92121.</w:t>
            </w:r>
          </w:p>
        </w:tc>
      </w:tr>
      <w:tr>
        <w:trPr>
          <w:trHeight w:val="310"/>
        </w:trPr>
        <w:tc>
          <w:tcPr>
            <w:tcW w:w="174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480" w:type="dxa"/>
            <w:vAlign w:val="bottom"/>
          </w:tcPr>
          <w:p>
            <w:pPr>
              <w:ind w:left="240"/>
              <w:spacing w:after="0"/>
              <w:rPr>
                <w:sz w:val="20"/>
                <w:szCs w:val="20"/>
                <w:color w:val="auto"/>
              </w:rPr>
            </w:pPr>
            <w:r>
              <w:rPr>
                <w:rFonts w:ascii="Arial" w:cs="Arial" w:eastAsia="Arial" w:hAnsi="Arial"/>
                <w:sz w:val="18"/>
                <w:szCs w:val="18"/>
                <w:color w:val="auto"/>
                <w:w w:val="99"/>
              </w:rPr>
              <w:t>(1)</w:t>
            </w:r>
          </w:p>
        </w:tc>
        <w:tc>
          <w:tcPr>
            <w:tcW w:w="8800" w:type="dxa"/>
            <w:vAlign w:val="bottom"/>
          </w:tcPr>
          <w:p>
            <w:pPr>
              <w:ind w:left="20"/>
              <w:spacing w:after="0"/>
              <w:rPr>
                <w:sz w:val="20"/>
                <w:szCs w:val="20"/>
                <w:color w:val="auto"/>
              </w:rPr>
            </w:pPr>
            <w:r>
              <w:rPr>
                <w:rFonts w:ascii="Arial" w:cs="Arial" w:eastAsia="Arial" w:hAnsi="Arial"/>
                <w:sz w:val="18"/>
                <w:szCs w:val="18"/>
                <w:color w:val="auto"/>
                <w:w w:val="92"/>
              </w:rPr>
              <w:t>To elect Dr. Peter Farrell, Joseph E. Payne, Andy Sassine, James Barlow, Dr. Edward W. Holmes, Dr. Magda Marquet</w:t>
            </w:r>
          </w:p>
        </w:tc>
      </w:tr>
      <w:tr>
        <w:trPr>
          <w:trHeight w:val="230"/>
        </w:trPr>
        <w:tc>
          <w:tcPr>
            <w:tcW w:w="1740" w:type="dxa"/>
            <w:vAlign w:val="bottom"/>
          </w:tcPr>
          <w:p>
            <w:pPr>
              <w:spacing w:after="0"/>
              <w:rPr>
                <w:sz w:val="20"/>
                <w:szCs w:val="20"/>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and Karah Parschauer to the Board of Directors to serve until our next annual meeting of stockholders.</w:t>
            </w:r>
          </w:p>
        </w:tc>
      </w:tr>
      <w:tr>
        <w:trPr>
          <w:trHeight w:val="338"/>
        </w:trPr>
        <w:tc>
          <w:tcPr>
            <w:tcW w:w="17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w w:val="99"/>
              </w:rPr>
              <w:t>(2)</w:t>
            </w:r>
          </w:p>
        </w:tc>
        <w:tc>
          <w:tcPr>
            <w:tcW w:w="8800" w:type="dxa"/>
            <w:vAlign w:val="bottom"/>
          </w:tcPr>
          <w:p>
            <w:pPr>
              <w:ind w:left="20"/>
              <w:spacing w:after="0"/>
              <w:rPr>
                <w:sz w:val="20"/>
                <w:szCs w:val="20"/>
                <w:color w:val="auto"/>
              </w:rPr>
            </w:pPr>
            <w:r>
              <w:rPr>
                <w:rFonts w:ascii="Arial" w:cs="Arial" w:eastAsia="Arial" w:hAnsi="Arial"/>
                <w:sz w:val="18"/>
                <w:szCs w:val="18"/>
                <w:color w:val="auto"/>
              </w:rPr>
              <w:t>To approve our 2019 Omnibus Equity Incentive Plan, inclusive of previous grants made thereunder.</w:t>
            </w:r>
          </w:p>
        </w:tc>
      </w:tr>
      <w:tr>
        <w:trPr>
          <w:trHeight w:val="338"/>
        </w:trPr>
        <w:tc>
          <w:tcPr>
            <w:tcW w:w="17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w w:val="99"/>
              </w:rPr>
              <w:t>(3)</w:t>
            </w:r>
          </w:p>
        </w:tc>
        <w:tc>
          <w:tcPr>
            <w:tcW w:w="8800" w:type="dxa"/>
            <w:vAlign w:val="bottom"/>
          </w:tcPr>
          <w:p>
            <w:pPr>
              <w:ind w:left="20"/>
              <w:spacing w:after="0"/>
              <w:rPr>
                <w:sz w:val="20"/>
                <w:szCs w:val="20"/>
                <w:color w:val="auto"/>
              </w:rPr>
            </w:pPr>
            <w:r>
              <w:rPr>
                <w:rFonts w:ascii="Arial" w:cs="Arial" w:eastAsia="Arial" w:hAnsi="Arial"/>
                <w:sz w:val="18"/>
                <w:szCs w:val="18"/>
                <w:color w:val="auto"/>
              </w:rPr>
              <w:t>To approve, by non-binding advisory vote, the resolution approving named executive officer compensation.</w:t>
            </w:r>
          </w:p>
        </w:tc>
      </w:tr>
      <w:tr>
        <w:trPr>
          <w:trHeight w:val="323"/>
        </w:trPr>
        <w:tc>
          <w:tcPr>
            <w:tcW w:w="17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w w:val="99"/>
              </w:rPr>
              <w:t>(4)</w:t>
            </w:r>
          </w:p>
        </w:tc>
        <w:tc>
          <w:tcPr>
            <w:tcW w:w="8800" w:type="dxa"/>
            <w:vAlign w:val="bottom"/>
          </w:tcPr>
          <w:p>
            <w:pPr>
              <w:ind w:left="20"/>
              <w:spacing w:after="0"/>
              <w:rPr>
                <w:sz w:val="20"/>
                <w:szCs w:val="20"/>
                <w:color w:val="auto"/>
              </w:rPr>
            </w:pPr>
            <w:r>
              <w:rPr>
                <w:rFonts w:ascii="Arial" w:cs="Arial" w:eastAsia="Arial" w:hAnsi="Arial"/>
                <w:sz w:val="18"/>
                <w:szCs w:val="18"/>
                <w:color w:val="auto"/>
                <w:w w:val="93"/>
              </w:rPr>
              <w:t>To approve, by non-binding advisory vote, the frequency of future non-binding advisory votes on resolutions approving</w:t>
            </w:r>
          </w:p>
        </w:tc>
      </w:tr>
      <w:tr>
        <w:trPr>
          <w:trHeight w:val="230"/>
        </w:trPr>
        <w:tc>
          <w:tcPr>
            <w:tcW w:w="1740" w:type="dxa"/>
            <w:vAlign w:val="bottom"/>
          </w:tcPr>
          <w:p>
            <w:pPr>
              <w:spacing w:after="0"/>
              <w:rPr>
                <w:sz w:val="20"/>
                <w:szCs w:val="20"/>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future named executive officer compensation.</w:t>
            </w:r>
          </w:p>
        </w:tc>
      </w:tr>
      <w:tr>
        <w:trPr>
          <w:trHeight w:val="323"/>
        </w:trPr>
        <w:tc>
          <w:tcPr>
            <w:tcW w:w="17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w w:val="99"/>
              </w:rPr>
              <w:t>(5)</w:t>
            </w:r>
          </w:p>
        </w:tc>
        <w:tc>
          <w:tcPr>
            <w:tcW w:w="8800" w:type="dxa"/>
            <w:vAlign w:val="bottom"/>
          </w:tcPr>
          <w:p>
            <w:pPr>
              <w:ind w:left="20"/>
              <w:spacing w:after="0"/>
              <w:rPr>
                <w:sz w:val="20"/>
                <w:szCs w:val="20"/>
                <w:color w:val="auto"/>
              </w:rPr>
            </w:pPr>
            <w:r>
              <w:rPr>
                <w:rFonts w:ascii="Arial" w:cs="Arial" w:eastAsia="Arial" w:hAnsi="Arial"/>
                <w:sz w:val="18"/>
                <w:szCs w:val="18"/>
                <w:color w:val="auto"/>
                <w:w w:val="92"/>
              </w:rPr>
              <w:t>To ratify the appointment of Ernst &amp; Young LLP as our independent registered public accounting firm for the fiscal year</w:t>
            </w:r>
          </w:p>
        </w:tc>
      </w:tr>
      <w:tr>
        <w:trPr>
          <w:trHeight w:val="230"/>
        </w:trPr>
        <w:tc>
          <w:tcPr>
            <w:tcW w:w="1740" w:type="dxa"/>
            <w:vAlign w:val="bottom"/>
          </w:tcPr>
          <w:p>
            <w:pPr>
              <w:spacing w:after="0"/>
              <w:rPr>
                <w:sz w:val="20"/>
                <w:szCs w:val="20"/>
                <w:color w:val="auto"/>
              </w:rPr>
            </w:pPr>
          </w:p>
        </w:tc>
        <w:tc>
          <w:tcPr>
            <w:tcW w:w="9280" w:type="dxa"/>
            <w:vAlign w:val="bottom"/>
            <w:gridSpan w:val="2"/>
          </w:tcPr>
          <w:p>
            <w:pPr>
              <w:ind w:left="420"/>
              <w:spacing w:after="0"/>
              <w:rPr>
                <w:sz w:val="20"/>
                <w:szCs w:val="20"/>
                <w:color w:val="auto"/>
              </w:rPr>
            </w:pPr>
            <w:r>
              <w:rPr>
                <w:rFonts w:ascii="Arial" w:cs="Arial" w:eastAsia="Arial" w:hAnsi="Arial"/>
                <w:sz w:val="18"/>
                <w:szCs w:val="18"/>
                <w:color w:val="auto"/>
              </w:rPr>
              <w:t>ending December 31, 2019.</w:t>
            </w:r>
          </w:p>
        </w:tc>
      </w:tr>
      <w:tr>
        <w:trPr>
          <w:trHeight w:val="338"/>
        </w:trPr>
        <w:tc>
          <w:tcPr>
            <w:tcW w:w="17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w w:val="99"/>
              </w:rPr>
              <w:t>(6)</w:t>
            </w:r>
          </w:p>
        </w:tc>
        <w:tc>
          <w:tcPr>
            <w:tcW w:w="8800" w:type="dxa"/>
            <w:vAlign w:val="bottom"/>
          </w:tcPr>
          <w:p>
            <w:pPr>
              <w:ind w:left="20"/>
              <w:spacing w:after="0"/>
              <w:rPr>
                <w:sz w:val="20"/>
                <w:szCs w:val="20"/>
                <w:color w:val="auto"/>
              </w:rPr>
            </w:pPr>
            <w:r>
              <w:rPr>
                <w:rFonts w:ascii="Arial" w:cs="Arial" w:eastAsia="Arial" w:hAnsi="Arial"/>
                <w:sz w:val="18"/>
                <w:szCs w:val="18"/>
                <w:color w:val="auto"/>
              </w:rPr>
              <w:t>To transact other business that may properly come before the annual meeting.</w:t>
            </w:r>
          </w:p>
        </w:tc>
      </w:tr>
      <w:tr>
        <w:trPr>
          <w:trHeight w:val="319"/>
        </w:trPr>
        <w:tc>
          <w:tcPr>
            <w:tcW w:w="1740" w:type="dxa"/>
            <w:vAlign w:val="bottom"/>
          </w:tcPr>
          <w:p>
            <w:pPr>
              <w:spacing w:after="0"/>
              <w:rPr>
                <w:sz w:val="20"/>
                <w:szCs w:val="20"/>
                <w:color w:val="auto"/>
              </w:rPr>
            </w:pPr>
            <w:r>
              <w:rPr>
                <w:rFonts w:ascii="Arial" w:cs="Arial" w:eastAsia="Arial" w:hAnsi="Arial"/>
                <w:sz w:val="18"/>
                <w:szCs w:val="18"/>
                <w:b w:val="1"/>
                <w:bCs w:val="1"/>
                <w:color w:val="auto"/>
              </w:rPr>
              <w:t>Adjournments and</w:t>
            </w: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2"/>
              </w:rPr>
              <w:t>Any action on the items of business described above may be considered at the annual meeting at the time and on the date</w:t>
            </w:r>
          </w:p>
        </w:tc>
      </w:tr>
      <w:tr>
        <w:trPr>
          <w:trHeight w:val="234"/>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Postponements</w:t>
            </w: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rPr>
              <w:t>specified above or at any time and date to which the annual meeting may be properly adjourned or postponed.</w:t>
            </w:r>
          </w:p>
        </w:tc>
      </w:tr>
      <w:tr>
        <w:trPr>
          <w:trHeight w:val="310"/>
        </w:trPr>
        <w:tc>
          <w:tcPr>
            <w:tcW w:w="17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0"/>
              </w:rPr>
              <w:t>September 18, 2019. Only stockholders of record of our common stock as of September 18, 2019 are entitled to notice of and</w:t>
            </w:r>
          </w:p>
        </w:tc>
      </w:tr>
      <w:tr>
        <w:trPr>
          <w:trHeight w:val="230"/>
        </w:trPr>
        <w:tc>
          <w:tcPr>
            <w:tcW w:w="1740" w:type="dxa"/>
            <w:vAlign w:val="bottom"/>
          </w:tcPr>
          <w:p>
            <w:pPr>
              <w:spacing w:after="0"/>
              <w:rPr>
                <w:sz w:val="20"/>
                <w:szCs w:val="20"/>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rPr>
              <w:t>to vote at the annual meeting.</w:t>
            </w:r>
          </w:p>
        </w:tc>
      </w:tr>
      <w:tr>
        <w:trPr>
          <w:trHeight w:val="310"/>
        </w:trPr>
        <w:tc>
          <w:tcPr>
            <w:tcW w:w="174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7"/>
              </w:rPr>
              <w:t>You are invited to attend the annual meeting if you are a stockholder of record or a beneficial owner of shares of our</w:t>
            </w:r>
          </w:p>
        </w:tc>
      </w:tr>
      <w:tr>
        <w:trPr>
          <w:trHeight w:val="216"/>
        </w:trPr>
        <w:tc>
          <w:tcPr>
            <w:tcW w:w="1740" w:type="dxa"/>
            <w:vAlign w:val="bottom"/>
          </w:tcPr>
          <w:p>
            <w:pPr>
              <w:spacing w:after="0"/>
              <w:rPr>
                <w:sz w:val="18"/>
                <w:szCs w:val="18"/>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9"/>
              </w:rPr>
              <w:t>common stock, in each case, as of September 18, 2019. If you are a stockholder of record, you must present valid</w:t>
            </w:r>
          </w:p>
        </w:tc>
      </w:tr>
      <w:tr>
        <w:trPr>
          <w:trHeight w:val="216"/>
        </w:trPr>
        <w:tc>
          <w:tcPr>
            <w:tcW w:w="1740" w:type="dxa"/>
            <w:vAlign w:val="bottom"/>
          </w:tcPr>
          <w:p>
            <w:pPr>
              <w:spacing w:after="0"/>
              <w:rPr>
                <w:sz w:val="18"/>
                <w:szCs w:val="18"/>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3"/>
              </w:rPr>
              <w:t>government-issued photo identification (e.g., driver’s license or passport) for admission to the annual meeting. If you are a</w:t>
            </w:r>
          </w:p>
        </w:tc>
      </w:tr>
      <w:tr>
        <w:trPr>
          <w:trHeight w:val="216"/>
        </w:trPr>
        <w:tc>
          <w:tcPr>
            <w:tcW w:w="1740" w:type="dxa"/>
            <w:vAlign w:val="bottom"/>
          </w:tcPr>
          <w:p>
            <w:pPr>
              <w:spacing w:after="0"/>
              <w:rPr>
                <w:sz w:val="18"/>
                <w:szCs w:val="18"/>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1"/>
              </w:rPr>
              <w:t>beneficial owner of shares of our common stock, you must provide proof of such ownership as of September 18, 2019 (e.g.,</w:t>
            </w:r>
          </w:p>
        </w:tc>
      </w:tr>
      <w:tr>
        <w:trPr>
          <w:trHeight w:val="216"/>
        </w:trPr>
        <w:tc>
          <w:tcPr>
            <w:tcW w:w="1740" w:type="dxa"/>
            <w:vAlign w:val="bottom"/>
          </w:tcPr>
          <w:p>
            <w:pPr>
              <w:spacing w:after="0"/>
              <w:rPr>
                <w:sz w:val="18"/>
                <w:szCs w:val="18"/>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w w:val="92"/>
              </w:rPr>
              <w:t>your most recent account statement reflecting your stock ownership as of September 18, 2019) and you must present valid</w:t>
            </w:r>
          </w:p>
        </w:tc>
      </w:tr>
      <w:tr>
        <w:trPr>
          <w:trHeight w:val="230"/>
        </w:trPr>
        <w:tc>
          <w:tcPr>
            <w:tcW w:w="1740" w:type="dxa"/>
            <w:vAlign w:val="bottom"/>
          </w:tcPr>
          <w:p>
            <w:pPr>
              <w:spacing w:after="0"/>
              <w:rPr>
                <w:sz w:val="20"/>
                <w:szCs w:val="20"/>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rPr>
              <w:t>government-issued photo identification for admission to the annual meeting.</w:t>
            </w:r>
          </w:p>
        </w:tc>
      </w:tr>
      <w:tr>
        <w:trPr>
          <w:trHeight w:val="310"/>
        </w:trPr>
        <w:tc>
          <w:tcPr>
            <w:tcW w:w="17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28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 xml:space="preserve">Your vote is very important. </w:t>
            </w:r>
            <w:r>
              <w:rPr>
                <w:rFonts w:ascii="Arial" w:cs="Arial" w:eastAsia="Arial" w:hAnsi="Arial"/>
                <w:sz w:val="18"/>
                <w:szCs w:val="18"/>
                <w:color w:val="auto"/>
                <w:w w:val="99"/>
              </w:rPr>
              <w:t>You may vote by proxy over the Internet or by telephone, or by mail by following the</w:t>
            </w:r>
          </w:p>
        </w:tc>
      </w:tr>
      <w:tr>
        <w:trPr>
          <w:trHeight w:val="230"/>
        </w:trPr>
        <w:tc>
          <w:tcPr>
            <w:tcW w:w="1740" w:type="dxa"/>
            <w:vAlign w:val="bottom"/>
          </w:tcPr>
          <w:p>
            <w:pPr>
              <w:spacing w:after="0"/>
              <w:rPr>
                <w:sz w:val="20"/>
                <w:szCs w:val="20"/>
                <w:color w:val="auto"/>
              </w:rPr>
            </w:pPr>
          </w:p>
        </w:tc>
        <w:tc>
          <w:tcPr>
            <w:tcW w:w="9280" w:type="dxa"/>
            <w:vAlign w:val="bottom"/>
            <w:gridSpan w:val="2"/>
          </w:tcPr>
          <w:p>
            <w:pPr>
              <w:ind w:left="240"/>
              <w:spacing w:after="0"/>
              <w:rPr>
                <w:sz w:val="20"/>
                <w:szCs w:val="20"/>
                <w:color w:val="auto"/>
              </w:rPr>
            </w:pPr>
            <w:r>
              <w:rPr>
                <w:rFonts w:ascii="Arial" w:cs="Arial" w:eastAsia="Arial" w:hAnsi="Arial"/>
                <w:sz w:val="18"/>
                <w:szCs w:val="18"/>
                <w:color w:val="auto"/>
              </w:rPr>
              <w:t>instructions on the proxy card or voting instruction card.</w:t>
            </w:r>
          </w:p>
        </w:tc>
      </w:tr>
    </w:tbl>
    <w:p>
      <w:pPr>
        <w:spacing w:after="0" w:line="107" w:lineRule="exact"/>
        <w:rPr>
          <w:sz w:val="20"/>
          <w:szCs w:val="20"/>
          <w:color w:val="auto"/>
        </w:rPr>
      </w:pPr>
    </w:p>
    <w:p>
      <w:pPr>
        <w:ind w:left="2180" w:right="320"/>
        <w:spacing w:after="0" w:line="308" w:lineRule="auto"/>
        <w:rPr>
          <w:sz w:val="20"/>
          <w:szCs w:val="20"/>
          <w:color w:val="auto"/>
        </w:rPr>
      </w:pPr>
      <w:r>
        <w:rPr>
          <w:rFonts w:ascii="Arial" w:cs="Arial" w:eastAsia="Arial" w:hAnsi="Arial"/>
          <w:sz w:val="17"/>
          <w:szCs w:val="17"/>
          <w:color w:val="auto"/>
        </w:rPr>
        <w:t xml:space="preserve">For specific instructions on how to vote your shares, please refer to the section entitled </w:t>
      </w:r>
      <w:r>
        <w:rPr>
          <w:rFonts w:ascii="Arial" w:cs="Arial" w:eastAsia="Arial" w:hAnsi="Arial"/>
          <w:sz w:val="17"/>
          <w:szCs w:val="17"/>
          <w:i w:val="1"/>
          <w:iCs w:val="1"/>
          <w:color w:val="auto"/>
        </w:rPr>
        <w:t>Questions and Answers About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Proxy Materials and Annual Meeting </w:t>
      </w:r>
      <w:r>
        <w:rPr>
          <w:rFonts w:ascii="Arial" w:cs="Arial" w:eastAsia="Arial" w:hAnsi="Arial"/>
          <w:sz w:val="17"/>
          <w:szCs w:val="17"/>
          <w:color w:val="auto"/>
        </w:rPr>
        <w:t>beginning on page 1 of the accompanying proxy statement.</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 Peter Farrell</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0600" w:type="dxa"/>
            <w:vAlign w:val="bottom"/>
            <w:gridSpan w:val="16"/>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PROXY MATERIALS AND ANNUAL MEETING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00" w:type="dxa"/>
            <w:vAlign w:val="bottom"/>
            <w:gridSpan w:val="16"/>
            <w:vMerge w:val="continue"/>
          </w:tcPr>
          <w:p>
            <w:pPr>
              <w:spacing w:after="0"/>
              <w:rPr>
                <w:sz w:val="13"/>
                <w:szCs w:val="13"/>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8"/>
        </w:trPr>
        <w:tc>
          <w:tcPr>
            <w:tcW w:w="7200" w:type="dxa"/>
            <w:vAlign w:val="bottom"/>
            <w:tcBorders>
              <w:top w:val="single" w:sz="8" w:color="0000EE"/>
            </w:tcBorders>
            <w:gridSpan w:val="1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OF DIRECTORS AND CORPORATE GOVERNANCE</w:t>
              </w:r>
            </w:hyperlink>
          </w:p>
        </w:tc>
        <w:tc>
          <w:tcPr>
            <w:tcW w:w="340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4760" w:type="dxa"/>
            <w:vAlign w:val="bottom"/>
            <w:tcBorders>
              <w:top w:val="single" w:sz="8" w:color="0000EE"/>
            </w:tcBorders>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PROPOSAL NUMBER 1: ELECTION OF DIRECTORS</w:t>
              </w:r>
            </w:hyperlink>
          </w:p>
        </w:tc>
        <w:tc>
          <w:tcPr>
            <w:tcW w:w="58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PROPOSAL NUMBER 2: APPROVAL OF 2019 OMNIBUS EQUITY INCENTIVE PLAN AND RATIFICATION OF GRANTS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THEREUNDER</w:t>
              </w:r>
            </w:hyperlink>
          </w:p>
        </w:tc>
        <w:tc>
          <w:tcPr>
            <w:tcW w:w="11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PROPOSAL NUMBER 3: APPROVAL OF THE SAY ON PAY PROPOSAL</w:t>
              </w:r>
            </w:hyperlink>
          </w:p>
        </w:tc>
        <w:tc>
          <w:tcPr>
            <w:tcW w:w="500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60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PROPOSAL NUMBER 4: APPROVAL OF THE SAY WHEN ON PAY PROPOSAL</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90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PROPOSAL NUMBER 5: RATIFICATION OF APPOINTMENT OF INDEPENDENT REGISTERED PUBLIC ACCOUNTING FIRM</w:t>
              </w:r>
            </w:hyperlink>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30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REPORT OF THE AUDIT COMMITTEE</w:t>
              </w:r>
            </w:hyperlink>
          </w:p>
        </w:tc>
        <w:tc>
          <w:tcPr>
            <w:tcW w:w="752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9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EXECUTIVE OFFICERS</w:t>
              </w:r>
            </w:hyperlink>
          </w:p>
        </w:tc>
        <w:tc>
          <w:tcPr>
            <w:tcW w:w="87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60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6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RELATED PERSON TRANSACTIONS</w:t>
              </w:r>
            </w:hyperlink>
          </w:p>
        </w:tc>
        <w:tc>
          <w:tcPr>
            <w:tcW w:w="764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9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SECURITY OWNERSHIP</w:t>
              </w:r>
            </w:hyperlink>
          </w:p>
        </w:tc>
        <w:tc>
          <w:tcPr>
            <w:tcW w:w="86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060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PROPOSALS OF STOCKHOLDERS FOR 2020 ANNUAL MEETING</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2019 Annual Meeting of Stockholders to be held on October 25, 2019</w:t>
      </w:r>
    </w:p>
    <w:p>
      <w:pPr>
        <w:spacing w:after="0" w:line="211" w:lineRule="exact"/>
        <w:rPr>
          <w:sz w:val="20"/>
          <w:szCs w:val="20"/>
          <w:color w:val="auto"/>
        </w:rPr>
      </w:pPr>
    </w:p>
    <w:p>
      <w:pPr>
        <w:jc w:val="both"/>
        <w:ind w:left="200" w:right="460"/>
        <w:spacing w:after="0" w:line="264"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QUESTIONS AND ANSWERS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2019 annual meeting of stockholders of Arcturus Therapeutics Holdings Inc., a Delaware corporation, and any postponements or adjournments thereof. The annual meeting will be held on October 25, 2019 at 8:00 a.m. local time, at our offices at 10240 Science Center Drive, Suite 100, San Diego, California, 92121.</w:t>
      </w:r>
    </w:p>
    <w:p>
      <w:pPr>
        <w:spacing w:after="0" w:line="187"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Stockholders are invited to attend the annual meeting and are requested to vote on the items of business described in this proxy statement. The proxy statement is being mailed on or about September 30, 2019 to all stockholders entitled to vote at the annual meeting.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are being asked to vote on five proposals:</w:t>
      </w:r>
    </w:p>
    <w:p>
      <w:pPr>
        <w:spacing w:after="0" w:line="131" w:lineRule="exact"/>
        <w:rPr>
          <w:sz w:val="20"/>
          <w:szCs w:val="20"/>
          <w:color w:val="auto"/>
        </w:rPr>
      </w:pPr>
    </w:p>
    <w:p>
      <w:pPr>
        <w:ind w:left="1180" w:right="2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Dr. Peter Farrell, Joseph E. Payne, Andy Sassine, James Barlow, Dr. Edward W. Holmes, Dr. Magda Marquet and Karah Parschauer to the Board of Directors to serve until our next annual meeting of stockholders;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our 2019 Omnibus Equity Incentive Plan, inclusive of previous grants made thereunder;</w:t>
      </w:r>
    </w:p>
    <w:p>
      <w:pPr>
        <w:spacing w:after="0" w:line="130"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by non-binding advisory vote, of the resolution approving named executive officer compensation (the “Say on Pay Proposal”);</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by non-binding advisory vote, of the frequency of future non-binding advisory votes on resolutions approving future named executive officer compensation (“Say When on Pay Proposal”);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(“E&amp;Y”) as our independent registered public accounting firm for our fiscal year ending December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if other matters are properly brought before the annual meeting?</w:t>
      </w:r>
    </w:p>
    <w:p>
      <w:pPr>
        <w:spacing w:after="0" w:line="12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or Karah Parschauer is not available as a candidate for director, the persons named as proxy holders will vote your proxy for such other candidate as may be nominated by our Board of Directors.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27" w:lineRule="exact"/>
        <w:rPr>
          <w:sz w:val="20"/>
          <w:szCs w:val="20"/>
          <w:color w:val="auto"/>
        </w:rPr>
      </w:pPr>
    </w:p>
    <w:p>
      <w:pPr>
        <w:ind w:left="1180" w:right="180" w:hanging="436"/>
        <w:spacing w:after="0" w:line="282"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Dr. Peter Farrell, Joseph E. Payne, Andy Sassine, James Barlow, Dr. Edward W. Holmes, Dr. Magda Marquet and Karah Parschauer to the Board of Directors;</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our 2019 Omnibus Equity Incentive Plan, inclusive of previous grants made thereunder;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Say on Pay Proposal;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three years as the preferred frequency of the Say When on Pay Proposal; and</w:t>
      </w:r>
    </w:p>
    <w:p>
      <w:pPr>
        <w:spacing w:after="0" w:line="130" w:lineRule="exact"/>
        <w:rPr>
          <w:rFonts w:ascii="Arial" w:cs="Arial" w:eastAsia="Arial" w:hAnsi="Arial"/>
          <w:sz w:val="18"/>
          <w:szCs w:val="18"/>
          <w:color w:val="auto"/>
        </w:rPr>
      </w:pPr>
    </w:p>
    <w:p>
      <w:pPr>
        <w:ind w:left="1180" w:right="660" w:hanging="436"/>
        <w:spacing w:after="0" w:line="282"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E&amp;Y as our independent registered public accounting firm for our fiscal year ending December 31,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may vote at the annual meeting?</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Only stockholders of record as of the close of business on September 18, 2019, the record date, are entitled to vote at the annual meeting. As of the record date, there were 14,275,293 shares of our common stock issued and outstanding, held by 42 holders of record. We do not have cumulative voting rights for the election of directors.</w:t>
      </w:r>
    </w:p>
    <w:p>
      <w:pPr>
        <w:spacing w:after="0" w:line="18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at the close of business on the record date for the annual meeting, your shares were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directly in your name with our transfer agent, Continental Stock Transfer &amp; Trust Company, then you are a stockholder of record. As a stockholder of record, you have the right to grant your voting proxy directly to the individuals listed on the proxy card or to vote in person at the annual meeting.</w:t>
      </w:r>
    </w:p>
    <w:p>
      <w:pPr>
        <w:spacing w:after="0" w:line="18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i w:val="1"/>
          <w:iCs w:val="1"/>
          <w:color w:val="auto"/>
        </w:rPr>
        <w:t>Beneficial Owner: Shares Registered in the Name of a Broker, Bank, or Other Nominee</w:t>
      </w:r>
      <w:r>
        <w:rPr>
          <w:rFonts w:ascii="Arial" w:cs="Arial" w:eastAsia="Arial" w:hAnsi="Arial"/>
          <w:sz w:val="17"/>
          <w:szCs w:val="17"/>
          <w:color w:val="auto"/>
        </w:rPr>
        <w:t>. If, at the close of business on the record date for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your shares were held, not in your name, but rather in an account at a brokerage firm, bank, or other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in person at the annual meeting unless you obtain a valid proxy from your broker, bank or other nominee.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vote my shares?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are a stockholder of record, you may vote in one of the following ways:</w:t>
      </w:r>
    </w:p>
    <w:p>
      <w:pPr>
        <w:spacing w:after="0" w:line="127" w:lineRule="exact"/>
        <w:rPr>
          <w:sz w:val="20"/>
          <w:szCs w:val="20"/>
          <w:color w:val="auto"/>
        </w:rPr>
      </w:pPr>
    </w:p>
    <w:p>
      <w:pPr>
        <w:ind w:left="1180" w:right="80" w:hanging="436"/>
        <w:spacing w:after="0" w:line="282"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plan to attend the annual meeting, you may vote by delivering your completed proxy card in person or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submitting a ballot, which will be provided at the annual meeting.</w:t>
      </w:r>
    </w:p>
    <w:p>
      <w:pPr>
        <w:spacing w:after="0" w:line="67" w:lineRule="exact"/>
        <w:rPr>
          <w:rFonts w:ascii="Arial" w:cs="Arial" w:eastAsia="Arial" w:hAnsi="Arial"/>
          <w:sz w:val="18"/>
          <w:szCs w:val="18"/>
          <w:color w:val="auto"/>
        </w:rPr>
      </w:pPr>
    </w:p>
    <w:p>
      <w:pPr>
        <w:ind w:left="1180" w:right="580" w:hanging="436"/>
        <w:spacing w:after="0" w:line="347"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Complete, sign and date the proxy card that accompanies this proxy statement and return it promptly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postage-prepaid envelope provided. Your completed, signed and dated proxy card must be received prior to the annual meeting.</w:t>
      </w:r>
    </w:p>
    <w:p>
      <w:pPr>
        <w:spacing w:after="0" w:line="21" w:lineRule="exact"/>
        <w:rPr>
          <w:rFonts w:ascii="Arial" w:cs="Arial" w:eastAsia="Arial" w:hAnsi="Arial"/>
          <w:sz w:val="16"/>
          <w:szCs w:val="16"/>
          <w:color w:val="auto"/>
        </w:rPr>
      </w:pPr>
    </w:p>
    <w:p>
      <w:pPr>
        <w:ind w:left="1180" w:hanging="436"/>
        <w:spacing w:after="0" w:line="314"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You may vote by telephone</w:t>
      </w:r>
      <w:r>
        <w:rPr>
          <w:rFonts w:ascii="Arial" w:cs="Arial" w:eastAsia="Arial" w:hAnsi="Arial"/>
          <w:sz w:val="16"/>
          <w:szCs w:val="16"/>
          <w:color w:val="auto"/>
        </w:rPr>
        <w:t>. To vote over the telephone, dial toll-free +1 (866) 894-0536 using a touch-tone telephone and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instructions (have your proxy card in hand when you call). You will be asked to provide the company number and control number from your proxy card. Telephone voting is available 24 hours a day, 7 days a week, until 11:59 p.m., Eastern time, on October 24, 2019.</w:t>
      </w:r>
    </w:p>
    <w:p>
      <w:pPr>
        <w:spacing w:after="0" w:line="47" w:lineRule="exact"/>
        <w:rPr>
          <w:rFonts w:ascii="Arial" w:cs="Arial" w:eastAsia="Arial" w:hAnsi="Arial"/>
          <w:sz w:val="16"/>
          <w:szCs w:val="16"/>
          <w:color w:val="auto"/>
        </w:rPr>
      </w:pPr>
    </w:p>
    <w:p>
      <w:pPr>
        <w:jc w:val="both"/>
        <w:ind w:left="1180" w:right="240" w:hanging="436"/>
        <w:spacing w:after="0" w:line="28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You may vote via the Internet</w:t>
      </w:r>
      <w:r>
        <w:rPr>
          <w:rFonts w:ascii="Arial" w:cs="Arial" w:eastAsia="Arial" w:hAnsi="Arial"/>
          <w:sz w:val="17"/>
          <w:szCs w:val="17"/>
          <w:color w:val="auto"/>
        </w:rPr>
        <w:t>. To vote via the Internet, go to www.cstproxyvote.com to complete an electronic proxy card (have your</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hand when you visit the website). You will be asked to provide the company number and control number from your proxy card. Internet voting is available 24 hours a day, 7 days a week, until 11:59 p.m., Eastern time, on October 24,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Beneficial Owner: Shares Registered in the Name of a Broker, Bank or Other Nominee</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 xml:space="preserve">Beneficial owners of shares should generally be able to vote by returning the voting instruction card, by telephone or via the Internet. However, the availability of telephone or Internet voting will depend on the voting process of your broker, bank, or other nominee. </w:t>
      </w:r>
      <w:r>
        <w:rPr>
          <w:rFonts w:ascii="Arial" w:cs="Arial" w:eastAsia="Arial" w:hAnsi="Arial"/>
          <w:sz w:val="18"/>
          <w:szCs w:val="18"/>
          <w:b w:val="1"/>
          <w:bCs w:val="1"/>
          <w:color w:val="auto"/>
        </w:rPr>
        <w:t>As discussed above, if you are a</w:t>
      </w:r>
      <w:r>
        <w:rPr>
          <w:rFonts w:ascii="Arial" w:cs="Arial" w:eastAsia="Arial" w:hAnsi="Arial"/>
          <w:sz w:val="18"/>
          <w:szCs w:val="18"/>
          <w:color w:val="auto"/>
        </w:rPr>
        <w:t xml:space="preserve"> </w:t>
      </w:r>
      <w:r>
        <w:rPr>
          <w:rFonts w:ascii="Arial" w:cs="Arial" w:eastAsia="Arial" w:hAnsi="Arial"/>
          <w:sz w:val="18"/>
          <w:szCs w:val="18"/>
          <w:b w:val="1"/>
          <w:bCs w:val="1"/>
          <w:color w:val="auto"/>
        </w:rPr>
        <w:t>beneficial owner, you may not vote your shares in person at the annual meeting unless you obtain a legal proxy from your broker, bank or other nominee.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are a stockholder of record, you can change your vote or revoke your proxy at any time before the annual meeting by:</w:t>
      </w:r>
    </w:p>
    <w:p>
      <w:pPr>
        <w:spacing w:after="0" w:line="131"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telephone (until the applicable deadline for each method as set forth above);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a written notice of revocation to our corporate secretary at Arcturus Therapeutics Holdings Inc., 10628 Science Center Drive, Suite 250, San Diego, California 92121, Attn: Corporate Secretary; or</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Attendance at the annual meeting will not cause your previously granted proxy to be revoked unless you specifically so request.</w:t>
      </w:r>
    </w:p>
    <w:p>
      <w:pPr>
        <w:spacing w:after="0" w:line="62"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i w:val="1"/>
          <w:iCs w:val="1"/>
          <w:color w:val="auto"/>
        </w:rPr>
        <w:t>Beneficial Owner: Shares Registered in the Name of a Broker, Bank or Other Nominee</w:t>
      </w:r>
      <w:r>
        <w:rPr>
          <w:rFonts w:ascii="Arial" w:cs="Arial" w:eastAsia="Arial" w:hAnsi="Arial"/>
          <w:sz w:val="17"/>
          <w:szCs w:val="17"/>
          <w:color w:val="auto"/>
        </w:rPr>
        <w:t>. If you are the beneficial owner of your shares, you must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the broker, bank or other nominee holding your shares and follow their instructions to change your vote or revoke your proxy.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Proxies are solicited by, and on behalf of, our Board of Directors. Joseph E. Payne, our President and Chief Executive Officer, and Dr. Peter Farrell, our Chairman, have been designated as proxies for the annual meeting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and, if any other matters are properly brought before the annual meeting, the shares will be voted in accordance with the proxies’ judgment.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On each matter to be voted upon at the annual meeting, each stockholder will be entitled to one vote for each share of our common stock held by them on the record date.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our bylaws and Delaware law. Holders of at least 33 and 1/3 percent (33.33%) of the voting power of our outstanding common stock entitled to vote at the annual meeting must be present in person or represented by proxy for us to hold and transact business at the annual meeting. On the record date, there were 14,275,293 shares outstanding and entitled to vote. Thus, the holders of at least 4,758,431 shares must be present in person or represented by proxy at the annual meeting to have a quorum.</w:t>
      </w:r>
    </w:p>
    <w:p>
      <w:pPr>
        <w:spacing w:after="0" w:line="188"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or represented by proxy at the annual meeting and entitled to vote thereat.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matters are considered “routine” and “non-routine”?</w:t>
      </w:r>
    </w:p>
    <w:p>
      <w:pPr>
        <w:spacing w:after="0" w:line="12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ratification of the appointment of E&amp;Y as our independent registered public accounting firm for our fiscal year ending December 31, 2019 (Proposal No. 5) is considered routine under applicable rules. Each of (i) the election of our directors (Proposal No. 1), (ii) the approval of our 2019 Omnibus Equity Incentive Plan (Proposal No. 2), (iii) the approval of the Say on Pay Proposal (Proposal No. 3), and (iv) the approval of the Say When on Pay Proposal (Proposal No. 4) is considered “non-routine” under applicable rules.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21"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in person or represented by proxy and entitled to vote at the annual meeting (Proposal Nos. 2, 3, 4 and 5). However, because the outcome of Proposal No. 1 (election of directors) will be determined by a plurality vote, abstentions will have no impact on the outcome of such proposal as long as a quorum exists.</w:t>
      </w:r>
    </w:p>
    <w:p>
      <w:pPr>
        <w:spacing w:after="0" w:line="17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121"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i w:val="1"/>
          <w:iCs w:val="1"/>
          <w:color w:val="auto"/>
        </w:rPr>
        <w:t xml:space="preserve">Proposal No. 1: Election of Dr. Peter Farrell, Joseph E. Payne, Andy Sassine, James Barlow, Dr. Edward W. Holmes, Dr. Magda Marquet and Karah Parschauer to the Board of Directors. </w:t>
      </w:r>
      <w:r>
        <w:rPr>
          <w:rFonts w:ascii="Arial" w:cs="Arial" w:eastAsia="Arial" w:hAnsi="Arial"/>
          <w:sz w:val="16"/>
          <w:szCs w:val="16"/>
          <w:color w:val="auto"/>
        </w:rPr>
        <w:t>The election of each of Dr. Peter Farrell, Joseph E. Payne, Andy Sassine, James Barlow, Dr. Edward W. Holmes,</w:t>
      </w:r>
      <w:r>
        <w:rPr>
          <w:rFonts w:ascii="Arial" w:cs="Arial" w:eastAsia="Arial" w:hAnsi="Arial"/>
          <w:sz w:val="16"/>
          <w:szCs w:val="16"/>
          <w:i w:val="1"/>
          <w:iCs w:val="1"/>
          <w:color w:val="auto"/>
        </w:rPr>
        <w:t xml:space="preserve"> </w:t>
      </w:r>
      <w:r>
        <w:rPr>
          <w:rFonts w:ascii="Arial" w:cs="Arial" w:eastAsia="Arial" w:hAnsi="Arial"/>
          <w:sz w:val="16"/>
          <w:szCs w:val="16"/>
          <w:color w:val="auto"/>
        </w:rPr>
        <w:t>Dr. Magda Marquet and Karah Parschauer to the Board of Directors requires a plurality of the votes cast by the holders of shares present in person or represented by proxy at the annual meeting and entitled to vote on the election of a director. This means that if each of Dr. Peter Farrell, Joseph E. Payne, Andy Sassine, James Barlow, Dr. Edward W. Holmes, Dr. Magda Marquet and Karah Parschauer receives one or more votes, he or she will be elected as a director. You may vote “FOR” or “WITHHOLD” for Dr. Peter Farrell, Joseph E. Payne, Andy Sassine, James Barlow, Dr. Edward W. Holmes, Dr. Magda Marquet and Karah Parschauer. Because the outcome of this proposal will be determined by a plurality vote, shares voted “WITHHOLD” will not prevent each of Dr. Peter Farrell, Joseph E. Payne, Andy Sassine, James Barlow, Dr. Edward W. Holmes, Dr. Magda Marquet and Karah Parschauer from being elected as a director. Shares voted “WITHHOLD” will count towards the quorum requirement for the annual meeting.</w:t>
      </w:r>
    </w:p>
    <w:p>
      <w:pPr>
        <w:spacing w:after="0" w:line="167"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i w:val="1"/>
          <w:iCs w:val="1"/>
          <w:color w:val="auto"/>
        </w:rPr>
        <w:t xml:space="preserve">Proposal No. 2: Approval of 2019 Omnibus Equity Incentive Plan, inclusive of previous grants made thereunder. </w:t>
      </w:r>
      <w:r>
        <w:rPr>
          <w:rFonts w:ascii="Arial" w:cs="Arial" w:eastAsia="Arial" w:hAnsi="Arial"/>
          <w:sz w:val="16"/>
          <w:szCs w:val="16"/>
          <w:color w:val="auto"/>
        </w:rPr>
        <w:t>The approval of our 2019 Omnibus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Plan, inclusive of previous grants made thereunder,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54"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Proposal No. 3: Approval, on an advisory basis, of the Say on Pay Proposal. </w:t>
      </w:r>
      <w:r>
        <w:rPr>
          <w:rFonts w:ascii="Arial" w:cs="Arial" w:eastAsia="Arial" w:hAnsi="Arial"/>
          <w:sz w:val="18"/>
          <w:szCs w:val="18"/>
          <w:color w:val="auto"/>
        </w:rPr>
        <w:t>The approval, on an advisory basis, of the Say on Pay Proposal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i w:val="1"/>
          <w:iCs w:val="1"/>
          <w:color w:val="auto"/>
        </w:rPr>
        <w:t xml:space="preserve">Proposal No. 4: Approval, on an advisory basis, of the Say When on Pay Proposal. </w:t>
      </w:r>
      <w:r>
        <w:rPr>
          <w:rFonts w:ascii="Arial" w:cs="Arial" w:eastAsia="Arial" w:hAnsi="Arial"/>
          <w:sz w:val="18"/>
          <w:szCs w:val="18"/>
          <w:color w:val="auto"/>
        </w:rPr>
        <w:t>The approval, on an advisory basis, of the Say on When on Pay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requires the affirmative vote of a majority of the shares present in person or represented by proxy at the annual meeting and entitled to vote thereon to be approved. You may vote for the frequency of the Say When on Pay Proposal as “ONE YEAR,” “TWO YEARS,” “THREE YEARS,” or you may vote “ABSTAIN” on this proposal. Abstentions will count towards the quorum requirement for the annual meeting and will have the same effect as a vote against the proposal.</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Proposal No. 5: Ratification of Appointment of E&amp;Y. </w:t>
      </w:r>
      <w:r>
        <w:rPr>
          <w:rFonts w:ascii="Arial" w:cs="Arial" w:eastAsia="Arial" w:hAnsi="Arial"/>
          <w:sz w:val="18"/>
          <w:szCs w:val="18"/>
          <w:color w:val="auto"/>
        </w:rPr>
        <w:t>The ratification of the appointment of E&amp;Y requires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representative of Continental Stock Transfer and Trust Company will tabulate the votes and may act as inspector of elections.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121"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 not provide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your shares will be voted:</w:t>
      </w:r>
    </w:p>
    <w:p>
      <w:pPr>
        <w:spacing w:after="0" w:line="72" w:lineRule="exact"/>
        <w:rPr>
          <w:sz w:val="20"/>
          <w:szCs w:val="20"/>
          <w:color w:val="auto"/>
        </w:rPr>
      </w:pPr>
    </w:p>
    <w:p>
      <w:pPr>
        <w:ind w:left="1180" w:right="200" w:hanging="436"/>
        <w:spacing w:after="0" w:line="282"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Dr. Peter Farrell, Joseph E. Payne, Andy Sassine, James Barlow, Dr. Edward W. Holmes, Dr. Magda Marquet and Karah Parschauer to the Board of Directors;</w:t>
      </w:r>
    </w:p>
    <w:p>
      <w:pPr>
        <w:spacing w:after="0" w:line="67"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our 2019 Omnibus Equity Incentive Plan, inclusive of previous grants made thereunder;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Say on Pay Proposal;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three years as the preferred frequency of the Say When on Pay Proposal; and</w:t>
      </w:r>
    </w:p>
    <w:p>
      <w:pPr>
        <w:spacing w:after="0" w:line="130" w:lineRule="exact"/>
        <w:rPr>
          <w:rFonts w:ascii="Arial" w:cs="Arial" w:eastAsia="Arial" w:hAnsi="Arial"/>
          <w:sz w:val="18"/>
          <w:szCs w:val="18"/>
          <w:color w:val="auto"/>
        </w:rPr>
      </w:pPr>
    </w:p>
    <w:p>
      <w:pPr>
        <w:ind w:left="1180" w:right="680" w:hanging="436"/>
        <w:spacing w:after="0" w:line="282"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E&amp;Y as our independent registered public accounting firm for our fiscal year ending December 31, 2019.</w:t>
      </w:r>
    </w:p>
    <w:p>
      <w:pPr>
        <w:spacing w:after="0" w:line="16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7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i w:val="1"/>
          <w:iCs w:val="1"/>
          <w:color w:val="auto"/>
        </w:rPr>
        <w:t>Beneficial Owner: Shares Registered in the Name of a Broker, Bank or Other Nominee</w:t>
      </w:r>
      <w:r>
        <w:rPr>
          <w:rFonts w:ascii="Arial" w:cs="Arial" w:eastAsia="Arial" w:hAnsi="Arial"/>
          <w:sz w:val="16"/>
          <w:szCs w:val="16"/>
          <w:color w:val="auto"/>
        </w:rPr>
        <w:t>. Brokers, banks and other nominees holding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 street name for customers are generally required to vote such shares in the manner directed by their customers. In the absence of timely directions, your broker, bank or other nominee will have discretion to vote your shares on our sole “routine” matter—Proposal No. 5 relating to ratifying the appointment of E&amp;Y. Absent direction from you, however, your broker, bank or other nominee will not have the discretion to vote on Proposal No. 1 relating to the election of directors, Proposal No. 2 relating to approval of our 2019 Omnibus Equity Incentive Plan, Proposal No. 3 relating to approval, on an advisory basis, of the Say on Pay Proposal, or Proposal No. 4 relating to approval, on an advisory basis, of the Say When on Pay Proposal.</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contact Arcturus’ transfer agent?</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You may contact our transfer agent by writing Continental Stock Transfer &amp;Trust Company, 1 State Street, 30</w:t>
      </w:r>
      <w:r>
        <w:rPr>
          <w:rFonts w:ascii="Arial" w:cs="Arial" w:eastAsia="Arial" w:hAnsi="Arial"/>
          <w:sz w:val="15"/>
          <w:szCs w:val="15"/>
          <w:color w:val="auto"/>
        </w:rPr>
        <w:t>th</w:t>
      </w:r>
      <w:r>
        <w:rPr>
          <w:rFonts w:ascii="Arial" w:cs="Arial" w:eastAsia="Arial" w:hAnsi="Arial"/>
          <w:sz w:val="18"/>
          <w:szCs w:val="18"/>
          <w:color w:val="auto"/>
        </w:rPr>
        <w:t xml:space="preserve"> Floor, New York, NY 10014. You may also contact our transfer agent via email at cstmail@continentalstock.com or by telephone at (212) 509-4000.</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attend the annual meeting?</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were a stockholder of record at the close of business on the record date, you must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valid government-issued photo identification (e.g., driver’s license or passport) for admission to the annual meeting.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6" w:lineRule="auto"/>
        <w:rPr>
          <w:sz w:val="20"/>
          <w:szCs w:val="20"/>
          <w:color w:val="auto"/>
        </w:rPr>
      </w:pPr>
      <w:r>
        <w:rPr>
          <w:rFonts w:ascii="Arial" w:cs="Arial" w:eastAsia="Arial" w:hAnsi="Arial"/>
          <w:sz w:val="17"/>
          <w:szCs w:val="17"/>
          <w:i w:val="1"/>
          <w:iCs w:val="1"/>
          <w:color w:val="auto"/>
        </w:rPr>
        <w:t>Beneficial Owners: Shares Registered in the Name of a Broker, Bank or Other Nominee</w:t>
      </w:r>
      <w:r>
        <w:rPr>
          <w:rFonts w:ascii="Arial" w:cs="Arial" w:eastAsia="Arial" w:hAnsi="Arial"/>
          <w:sz w:val="17"/>
          <w:szCs w:val="17"/>
          <w:color w:val="auto"/>
        </w:rPr>
        <w:t>. If you were a beneficial owner at the close of business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record date, you may not vote your shares in person at the annual meeting unless you obtain a “legal proxy” from your broker, bank or other nominee who is the stockholder of record with respect to your shares. You may still attend the annual meeting even if you do not have a legal proxy. For admission to the annual meeting, you must provide proof of beneficial ownership as of the record date (e.g., your most recent account statement reflecting your stock ownership as of the record date) and you must present valid government-issued photo identification.</w:t>
      </w:r>
    </w:p>
    <w:p>
      <w:pPr>
        <w:spacing w:after="0" w:line="17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Please allow ample time for check-in. Please note that cameras, recording equipment, large bags, briefcases and/or packages will not be permitted in the annual meeting.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 the annual meeting be webcast?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expect to webcast the annual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89"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If you choose to access the proxy materials and/or vote over the Internet, you are responsible for any Internet access charges you may incur. If you choose to vote by telephone, you are responsible for any telephone charges you may incur.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does it mean if I receive more than one set of printed materials?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If you receive more than one set of printed materials, your shares may be registered in more than one name and/or are registered in different accounts.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follow the voting instructions on each set of printed materials to ensure that all of your shares are voted.</w:t>
      </w:r>
    </w:p>
    <w:p>
      <w:pPr>
        <w:spacing w:after="0" w:line="315" w:lineRule="exact"/>
        <w:rPr>
          <w:sz w:val="20"/>
          <w:szCs w:val="20"/>
          <w:color w:val="auto"/>
        </w:rPr>
      </w:pPr>
    </w:p>
    <w:p>
      <w:pPr>
        <w:ind w:left="200" w:right="36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printed copy of the proxy materials. How may I obtain an additional copy of the proxy materials?</w:t>
      </w:r>
    </w:p>
    <w:p>
      <w:pPr>
        <w:spacing w:after="0" w:line="5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from our corporate secretary for ten days prior to the meeting for any purpose germane to the meeting, between the hours of 9:00 a.m. and 4:30 p.m., Pacific time, at our corporate headquarters located at 10628 Science Center Drive, Suite 250, San Diego, California 92121.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Please see the section entitled “Proposals of Stockholders for 2020 Annual Meeting” in this proxy statement for more information regarding the deadlines for the submission of stockholder proposals for our 2020 annual meeting.</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the Board</w:t>
      </w:r>
    </w:p>
    <w:p>
      <w:pPr>
        <w:spacing w:after="0" w:line="121"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color w:val="auto"/>
        </w:rPr>
        <w:t>Our Board of Directors is currently composed of seven members. Four of the seven directors that currently comprise our Board of Directors are “independent directors” within the meaning of such term as set forth in the listing standards of the Nasdaq Stock Market, LLC (“Nasdaq”).</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names, ages, and certain other information for our directors. All information is as of September 30,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3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7500" w:type="dxa"/>
            <w:vAlign w:val="bottom"/>
          </w:tcPr>
          <w:p>
            <w:pPr>
              <w:ind w:left="3420"/>
              <w:spacing w:after="0"/>
              <w:rPr>
                <w:sz w:val="20"/>
                <w:szCs w:val="20"/>
                <w:color w:val="auto"/>
              </w:rPr>
            </w:pPr>
            <w:r>
              <w:rPr>
                <w:rFonts w:ascii="Arial" w:cs="Arial" w:eastAsia="Arial" w:hAnsi="Arial"/>
                <w:sz w:val="14"/>
                <w:szCs w:val="14"/>
                <w:b w:val="1"/>
                <w:bCs w:val="1"/>
                <w:color w:val="auto"/>
              </w:rPr>
              <w:t>Position(s)</w:t>
            </w:r>
          </w:p>
        </w:tc>
      </w:tr>
      <w:tr>
        <w:trPr>
          <w:trHeight w:val="217"/>
        </w:trPr>
        <w:tc>
          <w:tcPr>
            <w:tcW w:w="2760" w:type="dxa"/>
            <w:vAlign w:val="bottom"/>
            <w:gridSpan w:val="2"/>
          </w:tcPr>
          <w:p>
            <w:pPr>
              <w:spacing w:after="0"/>
              <w:rPr>
                <w:sz w:val="20"/>
                <w:szCs w:val="20"/>
                <w:color w:val="auto"/>
              </w:rPr>
            </w:pPr>
            <w:r>
              <w:rPr>
                <w:rFonts w:ascii="Arial" w:cs="Arial" w:eastAsia="Arial" w:hAnsi="Arial"/>
                <w:sz w:val="18"/>
                <w:szCs w:val="18"/>
                <w:color w:val="auto"/>
              </w:rPr>
              <w:t>Dr. Peter Farrell</w:t>
            </w:r>
            <w:r>
              <w:rPr>
                <w:rFonts w:ascii="Arial" w:cs="Arial" w:eastAsia="Arial" w:hAnsi="Arial"/>
                <w:sz w:val="15"/>
                <w:szCs w:val="15"/>
                <w:color w:val="auto"/>
              </w:rPr>
              <w:t>(1)(2)(3)(4)(5)</w:t>
            </w:r>
          </w:p>
        </w:tc>
        <w:tc>
          <w:tcPr>
            <w:tcW w:w="44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76</w:t>
            </w:r>
          </w:p>
        </w:tc>
        <w:tc>
          <w:tcPr>
            <w:tcW w:w="100" w:type="dxa"/>
            <w:vAlign w:val="bottom"/>
          </w:tcPr>
          <w:p>
            <w:pPr>
              <w:spacing w:after="0"/>
              <w:rPr>
                <w:sz w:val="18"/>
                <w:szCs w:val="18"/>
                <w:color w:val="auto"/>
              </w:rPr>
            </w:pPr>
          </w:p>
        </w:tc>
        <w:tc>
          <w:tcPr>
            <w:tcW w:w="7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w:t>
            </w:r>
          </w:p>
        </w:tc>
      </w:tr>
      <w:tr>
        <w:trPr>
          <w:trHeight w:val="310"/>
        </w:trPr>
        <w:tc>
          <w:tcPr>
            <w:tcW w:w="2760" w:type="dxa"/>
            <w:vAlign w:val="bottom"/>
            <w:gridSpan w:val="2"/>
          </w:tcPr>
          <w:p>
            <w:pPr>
              <w:spacing w:after="0"/>
              <w:rPr>
                <w:sz w:val="20"/>
                <w:szCs w:val="20"/>
                <w:color w:val="auto"/>
              </w:rPr>
            </w:pPr>
            <w:r>
              <w:rPr>
                <w:rFonts w:ascii="Arial" w:cs="Arial" w:eastAsia="Arial" w:hAnsi="Arial"/>
                <w:sz w:val="18"/>
                <w:szCs w:val="18"/>
                <w:color w:val="auto"/>
              </w:rPr>
              <w:t>Joseph E. Payne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Andy Sassine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(1)(2)(3)(4)(5)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Dr. Edward W. Holmes</w:t>
            </w:r>
            <w:r>
              <w:rPr>
                <w:rFonts w:ascii="Arial" w:cs="Arial" w:eastAsia="Arial" w:hAnsi="Arial"/>
                <w:sz w:val="15"/>
                <w:szCs w:val="15"/>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Dr. Magda Marquet</w:t>
            </w:r>
            <w:r>
              <w:rPr>
                <w:rFonts w:ascii="Arial" w:cs="Arial" w:eastAsia="Arial" w:hAnsi="Arial"/>
                <w:sz w:val="15"/>
                <w:szCs w:val="15"/>
                <w:color w:val="auto"/>
              </w:rPr>
              <w:t>(1)(2)(3)(4)(5)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Karah Parschauer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200" w:right="180"/>
        <w:spacing w:after="0" w:line="291" w:lineRule="auto"/>
        <w:rPr>
          <w:sz w:val="20"/>
          <w:szCs w:val="20"/>
          <w:color w:val="auto"/>
        </w:rPr>
      </w:pPr>
      <w:r>
        <w:rPr>
          <w:rFonts w:ascii="Arial" w:cs="Arial" w:eastAsia="Arial" w:hAnsi="Arial"/>
          <w:sz w:val="16"/>
          <w:szCs w:val="16"/>
          <w:b w:val="1"/>
          <w:bCs w:val="1"/>
          <w:color w:val="auto"/>
        </w:rPr>
        <w:t xml:space="preserve">Dr. Peter Farrell </w:t>
      </w:r>
      <w:r>
        <w:rPr>
          <w:rFonts w:ascii="Arial" w:cs="Arial" w:eastAsia="Arial" w:hAnsi="Arial"/>
          <w:sz w:val="16"/>
          <w:szCs w:val="16"/>
          <w:color w:val="auto"/>
        </w:rPr>
        <w:t>is the founder, former long-term CEO and current Chairman of ResMed Inc. (NYSE:RMD). Dr. Farrell has been Chairman and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Dr. Farrell is the Chairman of our Nominating and Corporate Governance Committee and a member of our Audit and Compensation Committees.</w:t>
      </w:r>
    </w:p>
    <w:p>
      <w:pPr>
        <w:spacing w:after="0" w:line="23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Dr. Farrell is nominated for re-election on our Board of Directors because of his significant experience as an executive and director of a number of companies in the healthcare sector.</w:t>
      </w:r>
    </w:p>
    <w:p>
      <w:pPr>
        <w:spacing w:after="0" w:line="166" w:lineRule="exact"/>
        <w:rPr>
          <w:sz w:val="20"/>
          <w:szCs w:val="20"/>
          <w:color w:val="auto"/>
        </w:rPr>
      </w:pPr>
    </w:p>
    <w:p>
      <w:pPr>
        <w:ind w:left="200" w:right="160"/>
        <w:spacing w:after="0" w:line="295" w:lineRule="auto"/>
        <w:rPr>
          <w:sz w:val="20"/>
          <w:szCs w:val="20"/>
          <w:color w:val="auto"/>
        </w:rPr>
      </w:pPr>
      <w:r>
        <w:rPr>
          <w:rFonts w:ascii="Arial" w:cs="Arial" w:eastAsia="Arial" w:hAnsi="Arial"/>
          <w:sz w:val="16"/>
          <w:szCs w:val="16"/>
          <w:b w:val="1"/>
          <w:bCs w:val="1"/>
          <w:color w:val="auto"/>
        </w:rPr>
        <w:t xml:space="preserve">Joseph E. Payne </w:t>
      </w:r>
      <w:r>
        <w:rPr>
          <w:rFonts w:ascii="Arial" w:cs="Arial" w:eastAsia="Arial" w:hAnsi="Arial"/>
          <w:sz w:val="16"/>
          <w:szCs w:val="16"/>
          <w:color w:val="auto"/>
        </w:rPr>
        <w:t>is our President and Chief Executive Officer. Mr. Payne served on our predecessor’s board since March 2013. He brings with him 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w:t>
      </w:r>
    </w:p>
    <w:p>
      <w:pPr>
        <w:spacing w:after="0" w:line="160"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Mr. Payne is nominated for re-election on our Board of Directors because of his position as our President and Chief Executive Officer and his significant experience in the pharmaceutical sector. As a member of our executive team, Mr. Payne serves a vital function in the link between management and our Board of Directors, enabling the Board of Directors to perform its oversight function with the benefits of management’s perspective on the business.</w:t>
      </w:r>
    </w:p>
    <w:p>
      <w:pPr>
        <w:spacing w:after="0" w:line="143"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b w:val="1"/>
          <w:bCs w:val="1"/>
          <w:color w:val="auto"/>
        </w:rPr>
        <w:t xml:space="preserve">Andy Sassine </w:t>
      </w:r>
      <w:r>
        <w:rPr>
          <w:rFonts w:ascii="Arial" w:cs="Arial" w:eastAsia="Arial" w:hAnsi="Arial"/>
          <w:sz w:val="16"/>
          <w:szCs w:val="16"/>
          <w:color w:val="auto"/>
        </w:rPr>
        <w:t>is our Chief Financial Officer and has been since January 2019. Mr. Sassine served as one of our directors until June 2019, was reelected</w:t>
      </w:r>
      <w:r>
        <w:rPr>
          <w:rFonts w:ascii="Arial" w:cs="Arial" w:eastAsia="Arial" w:hAnsi="Arial"/>
          <w:sz w:val="16"/>
          <w:szCs w:val="16"/>
          <w:b w:val="1"/>
          <w:bCs w:val="1"/>
          <w:color w:val="auto"/>
        </w:rPr>
        <w:t xml:space="preserve"> </w:t>
      </w:r>
      <w:r>
        <w:rPr>
          <w:rFonts w:ascii="Arial" w:cs="Arial" w:eastAsia="Arial" w:hAnsi="Arial"/>
          <w:sz w:val="16"/>
          <w:szCs w:val="16"/>
          <w:color w:val="auto"/>
        </w:rPr>
        <w:t>as a director in September 2019, and was a director and Chief Financial Officer of our predecessor since May 2018. Mr. Sassine serves on the Board of Directors of Nasdaq listed iCAD Inc. iCAD Inc. is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6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Mr. Sassine is nominated for re-election on our Board of Directors because of his position as our Chief Financial Officer and his extensive knowledge and experience as a fund manager and board member of other similarly-sized companies.</w:t>
      </w:r>
    </w:p>
    <w:p>
      <w:pPr>
        <w:spacing w:after="0" w:line="166" w:lineRule="exact"/>
        <w:rPr>
          <w:sz w:val="20"/>
          <w:szCs w:val="20"/>
          <w:color w:val="auto"/>
        </w:rPr>
      </w:pPr>
    </w:p>
    <w:p>
      <w:pPr>
        <w:ind w:left="200" w:right="80"/>
        <w:spacing w:after="0" w:line="292" w:lineRule="auto"/>
        <w:rPr>
          <w:sz w:val="20"/>
          <w:szCs w:val="20"/>
          <w:color w:val="auto"/>
        </w:rPr>
      </w:pPr>
      <w:r>
        <w:rPr>
          <w:rFonts w:ascii="Arial" w:cs="Arial" w:eastAsia="Arial" w:hAnsi="Arial"/>
          <w:sz w:val="16"/>
          <w:szCs w:val="16"/>
          <w:b w:val="1"/>
          <w:bCs w:val="1"/>
          <w:color w:val="auto"/>
        </w:rPr>
        <w:t xml:space="preserve">James Barlow </w:t>
      </w:r>
      <w:r>
        <w:rPr>
          <w:rFonts w:ascii="Arial" w:cs="Arial" w:eastAsia="Arial" w:hAnsi="Arial"/>
          <w:sz w:val="16"/>
          <w:szCs w:val="16"/>
          <w:color w:val="auto"/>
        </w:rPr>
        <w:t>is a member of the Board of Directors of NAHS Holding, Inc., an Employee Stock Ownership Plan company, whose affiliates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Mr. Barlow is the Chairman of our Audit Committee and a member of our Nominating and Corporate Governance and Compensation Committees.</w:t>
      </w:r>
    </w:p>
    <w:p>
      <w:pPr>
        <w:spacing w:after="0" w:line="23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Mr. Barlow is nominated for re-election on our Board of Directors because of his significant experience as an executive and director of a number of companies in the healthcare sector, and because of his financial and accounting expertise.</w:t>
      </w:r>
    </w:p>
    <w:p>
      <w:pPr>
        <w:spacing w:after="0" w:line="166"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b w:val="1"/>
          <w:bCs w:val="1"/>
          <w:color w:val="auto"/>
        </w:rPr>
        <w:t xml:space="preserve">Dr. Edward W. Holmes </w:t>
      </w:r>
      <w:r>
        <w:rPr>
          <w:rFonts w:ascii="Arial" w:cs="Arial" w:eastAsia="Arial" w:hAnsi="Arial"/>
          <w:sz w:val="16"/>
          <w:szCs w:val="16"/>
          <w:color w:val="auto"/>
        </w:rPr>
        <w:t>has served as a member of our Board of Directors since September 2019. Dr. Holmes is currently a Distinguished Professor of</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 at the University of California, Vice Chancellor/Dean of Health Sciences Emeritus at the University of California, San Diego, and CEO/President of the Sanford Consortium for Regenerative Medicine. Dr. Holmes became the Executive Deputy Chairman of the Biomedical Research Council and the Executive Chairman of the National Medical Research Council in Singapore in October 2006; he is currently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Dr. Holmes is nominated for re-election on our Board of Directors because of his significant experience in research, medicine and genetics.</w:t>
      </w:r>
    </w:p>
    <w:p>
      <w:pPr>
        <w:spacing w:after="0" w:line="233"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b w:val="1"/>
          <w:bCs w:val="1"/>
          <w:color w:val="auto"/>
        </w:rPr>
        <w:t xml:space="preserve">Dr. Magda Marquet </w:t>
      </w:r>
      <w:r>
        <w:rPr>
          <w:rFonts w:ascii="Arial" w:cs="Arial" w:eastAsia="Arial" w:hAnsi="Arial"/>
          <w:sz w:val="16"/>
          <w:szCs w:val="16"/>
          <w:color w:val="auto"/>
        </w:rPr>
        <w:t>is an experienced and highly-regarded leader in the life sciences industry with a very successful track record in entrepreneurship.</w:t>
      </w:r>
      <w:r>
        <w:rPr>
          <w:rFonts w:ascii="Arial" w:cs="Arial" w:eastAsia="Arial" w:hAnsi="Arial"/>
          <w:sz w:val="16"/>
          <w:szCs w:val="16"/>
          <w:b w:val="1"/>
          <w:bCs w:val="1"/>
          <w:color w:val="auto"/>
        </w:rPr>
        <w:t xml:space="preserve"> </w:t>
      </w:r>
      <w:r>
        <w:rPr>
          <w:rFonts w:ascii="Arial" w:cs="Arial" w:eastAsia="Arial" w:hAnsi="Arial"/>
          <w:sz w:val="16"/>
          <w:szCs w:val="16"/>
          <w:color w:val="auto"/>
        </w:rPr>
        <w:t>Dr. Marquet has a true passion for creating a winning corporate culture of innovation and expertise in strategic growth and corporate governance. She co-founded Althea Technologies in 1998, and led the company as co-CEO for ten years. Althea Technologies was successfully acquired by Ajinomoto in 2013. She is also the co-Founder of AltheaDx, a commercial stage precision medicine company with the world’s leading pharmacogenomics test for anxiety and depression. She is co-Founder and co-CEO of ALMA Life Sciences, an early stage investment firm focusing on the creation and growth of innovative healthcare companies with an overall focus on prevention. In addition, Dr. Marquet serves as a Board member of Pfenex (PFNX), Senté, Matrisys Bioscience, HUYA and Independa. She is an advisor to Mesa Verde Venture Partners and City National Bank. Dr. Marquet plays a pivotal role in developing San Diego’s entrepreneurial ecosystem where she serves on several non-profit boards. Dr. Marquet has over three decades of experience in the biotechnology industry in the United States and Europe. Prior to starting Althea Technologies, Dr. Marquet held management positions at Vical, Amylin Pharmaceuticals, Protein Polymer Technologies, Syntro Corporation and Transgene. She holds a Ph.D. in Biochemical Engineering from INSA/University of Toulouse, France. Dr. Marquet has received numerous awards throughout her career including the Regional Ernst &amp; Young Entrepreneur of the Year award in the Life Sciences category, the Athena Pinnacle award, and the Director of the Year award (Corporate Governance) from the Corporate Directors Forum. Under her leadership, Althea Technologies received several Best Companies to Work For awards. Dr. Marquet is the first woman to be inducted into the CONNECT Entrepreneur Hall of Fame.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 Marquet is the Chairwoman of our Compensation Committee and a member of our Nominating and Corporate Governance and Audit Committees.</w:t>
      </w:r>
    </w:p>
    <w:p>
      <w:pPr>
        <w:spacing w:after="0" w:line="24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Dr. Marquet is nominated for re-election on our Board of Directors because of her significant experience as an executive and director of a number of companies in the life sciences sector, and because of her management and clinical expertise.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60"/>
        <w:spacing w:after="0" w:line="298" w:lineRule="auto"/>
        <w:rPr>
          <w:sz w:val="20"/>
          <w:szCs w:val="20"/>
          <w:color w:val="auto"/>
        </w:rPr>
      </w:pPr>
      <w:r>
        <w:rPr>
          <w:rFonts w:ascii="Arial" w:cs="Arial" w:eastAsia="Arial" w:hAnsi="Arial"/>
          <w:sz w:val="16"/>
          <w:szCs w:val="16"/>
          <w:b w:val="1"/>
          <w:bCs w:val="1"/>
          <w:color w:val="auto"/>
        </w:rPr>
        <w:t xml:space="preserve">Karah Parschauer </w:t>
      </w:r>
      <w:r>
        <w:rPr>
          <w:rFonts w:ascii="Arial" w:cs="Arial" w:eastAsia="Arial" w:hAnsi="Arial"/>
          <w:sz w:val="16"/>
          <w:szCs w:val="16"/>
          <w:color w:val="auto"/>
        </w:rPr>
        <w:t>serves as the General Counsel and Executive Vice President of Ultragenyx Pharmacetuical Inc. (“Ultragenyx”),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ours, since June 2016. In such capacity, Ms. Parschauer leads Ultragenyx’s legal, compliance and government affairs functions. Since July 2019, Ms. Parschauer has been a director of Evolus, Inc. (EOLS). Prior to Ultragenyx, Ms. Parschauer most recently served as Vice President, Associate General Counsel, at Allergan plc, a pharmaceutical company, from June 2005 until June 2016. Prior to Allergan, Ms. Parschauer was an attorney at Latham &amp; Watkins LLP. Ms. Parschauer holds a B.A from Miami University and a J.D. from Harvard Law School.</w:t>
      </w:r>
    </w:p>
    <w:p>
      <w:pPr>
        <w:spacing w:after="0" w:line="15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Ms. Parschauer was first nominated to our Board of Directors as the designee of Ultragenyx. Ms. Parschauer is nominated for re-election on our Board of Directors because of our agreement with Ultragenyx to nominate one of its designees to our Board of Directors, her significant experience as an executive in the life sciences sector, and because of legal expertise.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listing rules of Nasdaq require us to maintain a Board of Directors comprised of a majority of independent directors, as determined affirmatively by our Board of Directors. In addition, the Nasdaq listing rules require that, subject to specified exceptions, each member of our audit, compensation and nominating and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of Directors, the director does not have a relationship that would interfere with the exercise of independent judgment in carrying out his or her responsibilities.</w:t>
      </w:r>
    </w:p>
    <w:p>
      <w:pPr>
        <w:spacing w:after="0" w:line="16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Our Board of Directors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Dr. Farrell, Mr. Barlow, Dr. Holmes and Dr. Marquet, representing four of our seven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 Ms. Parschauer is not considered independent due to her affiliation with Ultragenyx.</w:t>
      </w:r>
    </w:p>
    <w:p>
      <w:pPr>
        <w:spacing w:after="0" w:line="179"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In making these determinations, our Board of Directors considered the relationships that each nonemployee director has with us and all other facts and circumstances our Board of Directors deemed relevant in determining their independence, including consulting relationships, family relationships and the beneficial ownership of our capital stock by each non-employee director.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Our Board of Directors is currently chaired by Dr. Farrell. Our Board of Directors believes that Arcturus and its stockholders are currently best served by this leadership structure. As Chairman, Dr. Farrell promotes unified leadership and direction for our Board of Directors and management and provides the critical leadership necessary for carrying out our strategic initiatives. Dr. Farrell, together with our Board of Director’s strong committee system and independent directors, allows our Board of Directors to maintain effective oversight of our business operations, including independent oversight of our financial statements, executive compensation, selection of director candidates, and corporate governance programs. We believe our current Board of Directors’ leadership structure enhances its ability to effectively carry out its roles and responsibilities on behalf of our stockholders.</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risk management. Our Board of Directors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of Directors independence and potential conflicts of interest. Although each committee is responsible for evaluating and overseeing the management of certain risks, the entire Board of Directors is regularly informed through discussions from committee members about such risks. The Board of Directors believes its leadership structure is consistent with and supports the administration of its risk oversight function.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During our fiscal year ended December 31, 2018, our Board of Directors held eleven meetings (including regularly scheduled and special meetings), and each director attended at least 90%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Our audit committee members currently consist of Mr. Barlow, Dr. Farrell and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spacing w:after="0" w:line="14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Our Board of Directors has also determined that Mr. Barlow qualifies as an audit committee financial expert within the meaning of the applicable rules and regulations of the SEC and satisfies the financial sophistication requirements of the Nasdaq listing rules.</w:t>
      </w:r>
    </w:p>
    <w:p>
      <w:pPr>
        <w:spacing w:after="0" w:line="17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and our legal and regulatory compliance. Our audit committee also:</w:t>
      </w:r>
    </w:p>
    <w:p>
      <w:pPr>
        <w:spacing w:after="0" w:line="76"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oversees the work of our independent auditors;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approves the hiring, discharging and compensation of our independent auditors;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approves engagements of the independent auditors to render any audit or permissible non-audit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the independent auditors;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our financial statements and our critical accounting policies and estimates;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our policies with respect to risk assessment and risk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monitors our policies and procedures relating to related person transactions; and</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discusses with management and the independent auditors the results of our annual audit, our quarterly financial statements and our publicly filed reports.</w:t>
      </w:r>
    </w:p>
    <w:p>
      <w:pPr>
        <w:spacing w:after="0" w:line="62"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Our audit committee operates under a written charter approved by our Board of Directors and that satisfies the applicable rules and regulations of the SEC and the listing requirements of Nasdaq. The charter is available on the corporate governance section of our website, which is located at http://ir.arcturusrx.com/governance-highlights. Our audit committee held seven meetings during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members of our compensation committee are Dr. Marquet, Mr. Barlow and Dr. Farrell. Dr. Marquet is currently the chairman of our compensation committee. Our Board of Directors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compensation committee oversees our corporate compensation programs. The compensation committee also:</w:t>
      </w:r>
    </w:p>
    <w:p>
      <w:pPr>
        <w:spacing w:after="0" w:line="131" w:lineRule="exact"/>
        <w:rPr>
          <w:sz w:val="20"/>
          <w:szCs w:val="20"/>
          <w:color w:val="auto"/>
        </w:rPr>
      </w:pPr>
    </w:p>
    <w:p>
      <w:pPr>
        <w:ind w:left="1180" w:right="26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recommends for Board of Directors approval policies, plans and arrangements relating to compensation and benefits of our officers and employees;</w:t>
      </w:r>
    </w:p>
    <w:p>
      <w:pPr>
        <w:spacing w:after="0" w:line="75" w:lineRule="exact"/>
        <w:rPr>
          <w:rFonts w:ascii="Arial" w:cs="Arial" w:eastAsia="Arial" w:hAnsi="Arial"/>
          <w:sz w:val="18"/>
          <w:szCs w:val="18"/>
          <w:color w:val="auto"/>
        </w:rPr>
      </w:pPr>
    </w:p>
    <w:p>
      <w:pPr>
        <w:ind w:left="1180" w:right="60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recommends for Board of Directors approval corporate goals and objectives relevant to the compensation of our Chief Executive Officer and other executive officers;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in light of established goals and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recommends compensation of our executive officers based on its evaluations;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discusses with management the compensation disclosures required by SEC rules;</w:t>
      </w:r>
    </w:p>
    <w:p>
      <w:pPr>
        <w:spacing w:after="0" w:line="130" w:lineRule="exact"/>
        <w:rPr>
          <w:rFonts w:ascii="Arial" w:cs="Arial" w:eastAsia="Arial" w:hAnsi="Arial"/>
          <w:sz w:val="18"/>
          <w:szCs w:val="18"/>
          <w:color w:val="auto"/>
        </w:rPr>
      </w:pPr>
    </w:p>
    <w:p>
      <w:pPr>
        <w:ind w:left="1180" w:right="82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engages a compensation consultant, legal counsel or other external advisors to advise on executive compensation and assess the independence of executive officers in accordance with Nasdaq;</w:t>
      </w:r>
    </w:p>
    <w:p>
      <w:pPr>
        <w:spacing w:after="0" w:line="75"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evaluates whether any compensation consultant, legal counsel or other external advisor has a conflict of interest in accordance with the SEC rules;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prepares the annual compensation committee report required by SEC rules.</w:t>
      </w:r>
    </w:p>
    <w:p>
      <w:pPr>
        <w:spacing w:after="0" w:line="22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Our compensation committee operates under a written charter approved by our Board of Directors and that satisfies the applicable rules and regulations of the SEC and the listing requirements of Nasdaq. The charter is available on the corporate governance section of our website, which is located at http://ir.arcturusrx.com/governance-highlights. Our compensation committee held three meetings during 2018.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The members of our nominating and corporate governance committee are Dr. Farrell, Mr. Barlow and Dr. Marquet. Dr. Farrell is the chairman of our nominating and governance committee. Our Board of Directors has determined that each member of our nominating and governance committee is independent under the Nasdaq listing rules.</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nominating and corporate governance committee oversees and assists our Board of Directors in reviewing and recommending nominees for election as directors. The nominating and corporate governance committee also:</w:t>
      </w:r>
    </w:p>
    <w:p>
      <w:pPr>
        <w:spacing w:after="0" w:line="76"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evaluates and makes recommendations regarding the organization and governance of our Board of Directors and its committees;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assesses the performance of members of our Board of Directors and makes recommendations regarding committee and chair assignments;</w:t>
      </w:r>
    </w:p>
    <w:p>
      <w:pPr>
        <w:spacing w:after="0" w:line="153" w:lineRule="exact"/>
        <w:rPr>
          <w:rFonts w:ascii="Arial" w:cs="Arial" w:eastAsia="Arial" w:hAnsi="Arial"/>
          <w:sz w:val="16"/>
          <w:szCs w:val="16"/>
          <w:color w:val="auto"/>
        </w:rPr>
      </w:pPr>
    </w:p>
    <w:p>
      <w:pPr>
        <w:ind w:left="1180" w:right="50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recommends desired qualifications for Board of Directors membership and conducts searches for potential members of our Board of Directors;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makes recommendations with regard to our corporate governance guidelines.</w:t>
      </w:r>
    </w:p>
    <w:p>
      <w:pPr>
        <w:spacing w:after="0" w:line="117"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approved by our Board of Directors and that satisfies the applicable rules and regulations of the SEC and the listing requirements of Nasdaq.</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charter is available on the corporate governance section of our website, which is located at http://ir.arcturusrx.com/governance-highlights. Our nominating and corporate governance committee held two meetings during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its evaluation of director candidates, including the member or members of the Board of Directors eligible for reelection, our nominating and corporate governance committee will consider the following:</w:t>
      </w:r>
    </w:p>
    <w:p>
      <w:pPr>
        <w:spacing w:after="0" w:line="76"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current size and composition of our Board of Directors and the needs of the Board of Directors and its respective committees;</w:t>
      </w:r>
    </w:p>
    <w:p>
      <w:pPr>
        <w:spacing w:after="0" w:line="142" w:lineRule="exact"/>
        <w:rPr>
          <w:rFonts w:ascii="Arial" w:cs="Arial" w:eastAsia="Arial" w:hAnsi="Arial"/>
          <w:sz w:val="17"/>
          <w:szCs w:val="17"/>
          <w:color w:val="auto"/>
        </w:rPr>
      </w:pPr>
    </w:p>
    <w:p>
      <w:pPr>
        <w:jc w:val="both"/>
        <w:ind w:left="1180" w:right="300" w:hanging="436"/>
        <w:spacing w:after="0" w:line="312"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p>
      <w:pPr>
        <w:spacing w:after="0" w:line="52" w:lineRule="exact"/>
        <w:rPr>
          <w:rFonts w:ascii="Arial" w:cs="Arial" w:eastAsia="Arial" w:hAnsi="Arial"/>
          <w:sz w:val="16"/>
          <w:szCs w:val="16"/>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that our nominating and corporate governance committee may consider appropriate.</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of Directors and the nominating and corporate governance committee believe that it is essential that members of our Board of Directors represent diverse viewpoints. Any nominee for a position on the Board of Directors must satisfy the following minimum qualifications:</w:t>
      </w:r>
    </w:p>
    <w:p>
      <w:pPr>
        <w:spacing w:after="0" w:line="94"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highest levels of personal and professional ethics and integrity;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 of Directors;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of Directors and the commitment of time and energy necessary to diligently carry out those responsibilities.</w:t>
      </w:r>
    </w:p>
    <w:p>
      <w:pPr>
        <w:spacing w:after="0" w:line="17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of Directors or management.</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After completing its review and evaluation of director candidates, our nominating and corporate governance committee recommends to our full Board of Directors the director nominee. Our nominating and corporate governance committee has discretion to decide which individuals to recommend for nomination as directors and our Board of Directors has the final authority in determining the selection of director candidates for nomination to our Board of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Stockholder Recommendations of a Candidate to our Board</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It is the policy of our nominating and governance committee to consider recommendations for candidates to our Board of Directors from our stockholders. A stockholder that wishes to recommend a candidate for consideration by the committee as a potential candidate for director must direct the recommendation in writing to Arcturus Therapeutics Holdings Inc., 10628 Science Center Drive, Suite 250,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57" w:lineRule="auto"/>
        <w:rPr>
          <w:sz w:val="20"/>
          <w:szCs w:val="20"/>
          <w:color w:val="auto"/>
        </w:rPr>
      </w:pPr>
      <w:r>
        <w:rPr>
          <w:rFonts w:ascii="Arial" w:cs="Arial" w:eastAsia="Arial" w:hAnsi="Arial"/>
          <w:sz w:val="18"/>
          <w:szCs w:val="18"/>
          <w:color w:val="auto"/>
        </w:rPr>
        <w:t>stockholder’s ownership of our stock. Such recommendation must also include a statement from the recommending stockholder in support of the candidate, particularly within the context of the criteria for Board of Directors membership, including character, integrity, judgment, diversity of experience, independence, area of expertise, corporate experience, potential conflicts of interest, other commitments and personal references. Our nominating and governance committee will consider the recommendation but will not be obligated to take any further action with respect to the recommendation.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color w:val="auto"/>
        </w:rPr>
        <w:t>In cases where stockholders or other interested parties wish to communicate directly with our non-management directors, messages can be sent to Arcturus Therapeutics Holdings Inc., 10628 Science Center Drive, Suite 250, San Diego, California 92121, Attention: Corporate Secretary. Our corporate secretary monitors these communications and will provide a summary of all received messages to the Board of Directors at each regularly scheduled meeting of the Board of Directors. Our Board of Directors generally meets on a quarterly basis. Where the nature of a communication warrants, our corporate secretary may determine, in his judgment, to obtain the more immediate attention of the appropriate committee of the Board of Directors, non-management directors, independent advisors or our management, as our corporate secretary considers appropriate.</w:t>
      </w:r>
    </w:p>
    <w:p>
      <w:pPr>
        <w:spacing w:after="0" w:line="16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Our corporate secretary may decide in the exercise of his or her judgment whether a response to any stockholder or interested party communication is necessary.</w:t>
      </w:r>
    </w:p>
    <w:p>
      <w:pPr>
        <w:spacing w:after="0" w:line="17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do not have a formal policy regarding attendance by members of our Board of Directors at annual meetings of stockholders. We encourage, but do not require, directors to attend. All of our current Board of Directors serving at the time of our 2018 annual meeting of our predecessor attended its 2018 annual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Board of Directors has adopted a written code of business conduct and ethics that applies to our directors, officers and employees, including our principal executive officer, principal financial officer, principal accounting officer and controller, or persons performing similar functions. A copy of the code of business conduct and ethics is available on the corporate governance section of our website, which is located at http://ir.arcturusrx.com/governance-highlights. If we make any substantive amendments to, or grant any waivers from, the code of business conduct and ethics for any officer or director, we will disclose the nature of such amendment or waiver on our website.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In 2018, the Compensation Committee conducted a review of the Company’s director cash compensation structure,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the cash remuneration received by directors of other companies that are comparably situated to the Company. On the basis of that review and comparison, the Compensation Committee and the Board of Directors concluded that non-employee directors should be compensated for their particular contribution, time and efforts as members of the Board or a committee thereof as follows, pursuant to a policy which was approved by shareholders in 2018:</w:t>
      </w:r>
    </w:p>
    <w:p>
      <w:pPr>
        <w:spacing w:after="0" w:line="94" w:lineRule="exact"/>
        <w:rPr>
          <w:sz w:val="20"/>
          <w:szCs w:val="20"/>
          <w:color w:val="auto"/>
        </w:rPr>
      </w:pPr>
    </w:p>
    <w:p>
      <w:pPr>
        <w:ind w:left="1180" w:right="12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Annual fees</w:t>
      </w:r>
      <w:r>
        <w:rPr>
          <w:rFonts w:ascii="Arial" w:cs="Arial" w:eastAsia="Arial" w:hAnsi="Arial"/>
          <w:sz w:val="18"/>
          <w:szCs w:val="18"/>
          <w:color w:val="auto"/>
        </w:rPr>
        <w:t>: An annual fee of (i) $20,000 for service on the Board; and (ii) $5,000 for service on each Board Committee for which her or she serves as a member; and</w:t>
      </w:r>
    </w:p>
    <w:p>
      <w:pPr>
        <w:spacing w:after="0" w:line="75" w:lineRule="exact"/>
        <w:rPr>
          <w:rFonts w:ascii="Arial" w:cs="Arial" w:eastAsia="Arial" w:hAnsi="Arial"/>
          <w:sz w:val="18"/>
          <w:szCs w:val="18"/>
          <w:color w:val="auto"/>
        </w:rPr>
      </w:pPr>
    </w:p>
    <w:p>
      <w:pPr>
        <w:ind w:left="1180" w:right="4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Chairman fee</w:t>
      </w:r>
      <w:r>
        <w:rPr>
          <w:rFonts w:ascii="Arial" w:cs="Arial" w:eastAsia="Arial" w:hAnsi="Arial"/>
          <w:sz w:val="18"/>
          <w:szCs w:val="18"/>
          <w:color w:val="auto"/>
        </w:rPr>
        <w:t>: An annual fee of (i) $15,000 for service as Chairman of the Board; and (ii) $5,000 for service as Chairman of a Board Committee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In 2018, the Compensation Committee and the Board of Directors conducted a review of the equity-based compensation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then currently serving directors, and determined that it would be appropriate and in the Company’s best interest to award its non-employee directors equity-based compensation. Consistent with the Company’s Amended and Restated Compensation Policy (the “Compensation Policy”) and proposals approved by shareholders in 2018, (i) options to purchase 20,000 shares will be awarded to new non-employee directors as an inducement award and</w:t>
      </w:r>
    </w:p>
    <w:p>
      <w:pPr>
        <w:spacing w:after="0" w:line="2" w:lineRule="exact"/>
        <w:rPr>
          <w:sz w:val="20"/>
          <w:szCs w:val="20"/>
          <w:color w:val="auto"/>
        </w:rPr>
      </w:pPr>
    </w:p>
    <w:p>
      <w:pPr>
        <w:ind w:left="200" w:firstLine="4"/>
        <w:spacing w:after="0" w:line="323" w:lineRule="auto"/>
        <w:tabs>
          <w:tab w:leader="none" w:pos="4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options to purchase 10,000 shares will be awarded to non-employee directors as annual ongoing equity compensation, which amount was increased by the Compensation Committee in 2019 to 15,000 shares annually. These equity grants are in addition to the cash compensation discussed above.</w:t>
      </w:r>
    </w:p>
    <w:p>
      <w:pPr>
        <w:spacing w:after="0" w:line="13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Following the annual meeting of Company stockholders in October, the Company expects to make annual grants for existing directors and annual and inducement grants for new directors consistent with the Compensation Policy.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and related footnotes show the compensation paid during the year ended December 31, 2018 to our non-employee directors.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Fees Earned</w:t>
            </w: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15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or Paid in</w:t>
            </w:r>
          </w:p>
        </w:tc>
        <w:tc>
          <w:tcPr>
            <w:tcW w:w="11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Cash ($)</w:t>
            </w:r>
          </w:p>
        </w:tc>
        <w:tc>
          <w:tcPr>
            <w:tcW w:w="11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5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Dr. Peter Farrell (1)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18,887</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164,776</w:t>
            </w:r>
          </w:p>
        </w:tc>
        <w:tc>
          <w:tcPr>
            <w:tcW w:w="4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183,663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Mr. James Barlow (1)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13,736</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164,776</w:t>
            </w:r>
          </w:p>
        </w:tc>
        <w:tc>
          <w:tcPr>
            <w:tcW w:w="15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178,512</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 (1)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12,019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164,776</w:t>
            </w:r>
          </w:p>
        </w:tc>
        <w:tc>
          <w:tcPr>
            <w:tcW w:w="15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176,795</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Dr. Stuart Collinson (2)</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18,000</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Daniel Geffken (2)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27,708</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27,708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Dr. David Shapiro (2)</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23,958</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23,958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Craig Willett (2)</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35,167</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85,167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individuals started serving on our Board of Directors on May 27,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individuals served on our Board of Directors until May 27,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 one-time payment to Mr. Willett for his services provided in 2017 in connection with the reverse merger.</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24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Our Board of Directors is currently composed of seven directors. At the annual meeting, each director will be elected to our Board of Directors by the holders of our common stock. Each director’s term continues until the election and qualification of his or her successor, or such director’s earlier death, resignation or removal.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Our nominating and corporate governance committee recommended for nomination and our Board of Directors nominated each of Dr. Peter Farrell, Joseph E. Payne, Andy Sassine, James Barlow, Dr. Edward W. Holmes, Dr. Magda Marquet and Karah Parschauer for election as a director at the annual meeting. If elected, each will serve as a director until our next annual meeting and until his or her respective successor is duly elected and qualified. For more information concerning each of Dr. Peter Farrell, Joseph E. Payne, Andy Sassine, James Barlow, Dr. Edward W. Holmes, Dr. Magda Marquet and Karah Parschauer, please see the section entitled “Board of Directors and Corporate Governance.”</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Each of Dr. Peter Farrell, Joseph E. Payne, Andy Sassine, James Barlow, Dr. Edward W. Holmes, Dr. Magda Marquet and Karah Parschauer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governance committee and designated by the present Board of Directors to fill the vacancy.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directors elected to the Board of Directors will be elected by a plurality of the votes cast by the holders of shares present in person or represented by proxy and entitled to vote on the election of a director. In other words, if each of Dr. Peter Farrell, Joseph E. Payne, Andy Sassine, James Barlow,</w:t>
      </w:r>
    </w:p>
    <w:p>
      <w:pPr>
        <w:ind w:left="200" w:right="300"/>
        <w:spacing w:after="0" w:line="254" w:lineRule="auto"/>
        <w:rPr>
          <w:sz w:val="20"/>
          <w:szCs w:val="20"/>
          <w:color w:val="auto"/>
        </w:rPr>
      </w:pPr>
      <w:r>
        <w:rPr>
          <w:rFonts w:ascii="Arial" w:cs="Arial" w:eastAsia="Arial" w:hAnsi="Arial"/>
          <w:sz w:val="18"/>
          <w:szCs w:val="18"/>
          <w:color w:val="auto"/>
        </w:rPr>
        <w:t>Dr. Edward W. Holmes, Dr. Magda Marquet and Karah Parschauer receives a single “FOR” vote, he or she will be elected as a director. Shares represented by executed proxies will be voted, if authority to do so is not expressly withheld, for the election of each of Dr. Peter Farrell, Joseph E. Payne, Andy Sassine, James Barlow, Dr. Edward W. Holmes, Dr. Magda Marquet and Karah Parschauer as a director. Broker non-votes will have no effect on this proposal.</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200" w:right="220"/>
        <w:spacing w:after="0" w:line="282" w:lineRule="auto"/>
        <w:rPr>
          <w:sz w:val="20"/>
          <w:szCs w:val="20"/>
          <w:color w:val="auto"/>
        </w:rPr>
      </w:pPr>
      <w:r>
        <w:rPr>
          <w:rFonts w:ascii="Arial" w:cs="Arial" w:eastAsia="Arial" w:hAnsi="Arial"/>
          <w:sz w:val="18"/>
          <w:szCs w:val="18"/>
          <w:b w:val="1"/>
          <w:bCs w:val="1"/>
          <w:color w:val="auto"/>
        </w:rPr>
        <w:t>Our Board of Directors recommends a vote “FOR” the election to the Board of Directors of each of Dr. Peter Farrell, Joseph E. Payne, Andy Sassine, James Barlow, Dr. Edward W. Holmes, Dr. Magda Marquet and Karah Parschauer as a director.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PROPOSAL NUMBER 2</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APPROVAL OF 2019 OMNIBUS EQUITY INCENTIVE PLAN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RATIFICATION OF GRANTS THEREUNDER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We are asking our stockholders to approve our 2019 Omnibus Equity Incentive Plan in order to allow us to continue to grant equity-based compensation awards to incentivize and retain our key employees and other service providers. The 2019 Omnibus Equity Incentive Plan will replace our 2018 Equity Incentive Plan (the “2018 Plan”), and no further awards will be granted under the 2018 Plan. As a result of the reincorporation of the Company from Israel to Delaware, all outstanding awards under the 2018 Plan were converted to awards under the 2019 Omnibus Equity Incentive Plan.</w:t>
      </w:r>
    </w:p>
    <w:p>
      <w:pPr>
        <w:spacing w:after="0" w:line="154"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A description of the material terms of 2019 Omnibus Equity Incentive Plan is set forth below. The statements made in this Proposal No. 2 concerning the terms and provisions of the 2019 Omnibus Equity Incentive Plan are summaries and do not purport to be a complete recitation of the 2019 Omnibus Equity Incentive Plan provisions. These statements are qualified in their entirety by express reference to the full text of the 2019 Omnibus Equity Incentive Plan, a copy of which is attached to this proxy statement as Appendix A and is incorporated by reference herein. In December 2018, effective January 1, 2019, the Company’s Board of Directors approved the grant of options to purchase 100,000 ordinary shares to Andy Sassine as inducement for his acceptance of the position of Chief Financial Officer. In addition, in February 2019, the Board of Directors approved the grant of options to purchase 60,000 ordinary shares to Joseph E. Payne, the Company’s President and Chief Executive Officer, as part of its year end evaluation of officers and employees. Under applicable Israel law, grants of equity to officers of the Company required approval of the stockholders of the Company. Following the reincorporation of the Company from Israel to Delaware, such approval requirement was no longer applicable. The approval by the stockholders of 2019 Omnibus Equity Incentive Plan will also have the effect of approving and ratifying the previous grants by the Board of options to purchase common stock to Mr. Sassine and Mr. Payne.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the 2019 Omnibus Equity Incentive Plan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2019 Omnibus Equity Incentive Plan will cover the grant of awards to our employees (including officers), non-employee consultants and non-employee directors and those of our affiliates. For purposes of the 2019 Omnibus Equity Incentive Plan, our affiliates include any corporation, partnership, limited liability company, joint venture or other entity, with respect to which we, directly or indirectly, own either (i) stock of a corporation possessing more than fifty percent (50%) of the total combined voting power of all classes of stock entitled to vote, or more than fifty percent (50%) of the total value of all shares of all classes of stock of such corporation, or (ii) an aggregate of more than fifty percent (50%) of the profits interest or capital interest of any non-corporate entity.</w:t>
      </w:r>
    </w:p>
    <w:p>
      <w:pPr>
        <w:spacing w:after="0" w:line="193"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We expect that the compensation committee of the Board of Directors will administer the 2019 Omnibus Equity Incentive Plan. The committee may delegate any or all of its administrative authority to our Chief Executive Officer or to a management committee except with respect to awards to executive officers who are subject to Section 16 of the Exchange Act. In addition, the full Board of Directors must serve as the committee with respect to any awards to our non-employee directors.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Up to a maximum of 2.6 million shares of our common stock may be delivered in settlement of awards granted under the 2019 Omnibus Equity Incentive Plan initially. The stock delivered to settle awards made under the 2019 Omnibus Equity Incentive Plan may be authorized and unissued shares or treasury shares, including shares repurchased by us for purposes of the 2019 Omnibus Equity Incentive Plan. If any shares subject to any award granted under the 2019 Omnibus Equity Incentive Plan (other than a substitute award as described below) is forfeited or otherwise terminated without delivery of such shares (or if such shares are returned to us due to a forfeiture restriction under such award), the shares subject to such awards will again be available for issuance under the 2019 Omnibus Equity Incentive Plan. However, any shares that are withheld or applied as payment for shares issued upon exercise of an award or for the withholding or payment of taxes due upon exercise of the award will continue to be treated as having been delivered under the 2019 Omnibus Equity Incentive Plan and will not again be available for grant under the 2019 Omnibus Equity Incentive Plan. Upon settlement of any stock appreciation rights, or SARs, the number of shares underlying the portion of the SARs that is exercised will be treated as having been delivered for purposes of determining the maximum number of shares available for grant under the 2019 Omnibus Equity Incentive Plan and shall not again be treated as available for issuance under the 2019 Omnibus Equity Incentive Plan.</w:t>
      </w:r>
    </w:p>
    <w:p>
      <w:pPr>
        <w:spacing w:after="0" w:line="17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under the 2019 Omnibus Equity Incentive Plan, the committee will make an equitable change or adjustment as it deems appropriate in the number and kind of securities subject to awards (whether or not then outstanding) and the related exercise price relating to an award in order to prevent dilution or enlargement of the benefits or potential benefits intended to be made available under the 2019 Omnibus Equity Incentive Plan.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2019 Omnibus Equity Incentive Plan permits the granting of any or all of the following types of awards to all grantees:</w:t>
      </w:r>
    </w:p>
    <w:p>
      <w:pPr>
        <w:spacing w:after="0" w:line="131"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options, including incentive stock options (“ISOs”);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appreciation rights (“SARs”);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25"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Generally, awards under the 2019 Omnibus Equity Incentive Plan are granted for no consideration other than prior and future services. Awards granted under the 2019 Omnibus Equity Incentive Plan may, in the discretion of the committee, be granted alone or in addition to, in tandem with or in substitution for, any other award under the 2019 Omnibus Equity Incentive Plan or other plan of ours; provided, however, that if an SAR is granted in tandem with an ISO, the SAR and ISO must have the same grant date and term and the exercise price of the SAR may not be less than the exercise price of the ISO. The material terms of each award will be set forth in a written award agreement between the grantee and us.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 and SARs</w:t>
      </w:r>
    </w:p>
    <w:p>
      <w:pPr>
        <w:spacing w:after="0" w:line="117"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The committee is authorized to grant SARs and stock options (including ISOs except that an ISO may only be granted to an employee of ours or one of our subsidiary corporations). A stock option allows a grantee to purchase a specified number of shares of our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set forth in the applicable award agreement but the exercise price may not be less than the fair market value of a share of common stock on the grant date. The term of each option or SAR is determined by the committee and set forth in the applicable award agreement, except that the term may not exceed 10 years. Options may be exercised by payment of the purchase price through one or more of the following means: payment in cash (including personal check or wire transfer), by delivering shares of our common stock previously owned by the grantee, or with the approval of the committee, by delivery of shares of our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to us. The grant of ISOs is contingent upon stockholder approval of the 2019 Omnibus Equity Incentive Plan within 12 months of its adoption by our Board of Directors.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committee may award restricted shares consisting of shares of our common stock which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applicable award agreement. Upon termination of the grantee’s affiliation with us during the restriction period (or, if applicable, upon the failure to satisfy the specified performance objectives during the restriction period), the restricted shares will be forfeited as provided in the applicable award agreement.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Stock and Restricted Stock Units</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committee may also grant deferred stock awards and/or restricted stock unit awards. A deferred stock award is the grant of a right to receive a specified number of shares of our common stock at the end of specified deferral periods or upon the occurrence of a specified event, which satisfies the requirements of Section 409A of the Code. A restricted stock unit award is the grant of a right to receive a specified number of shares of our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spacing w:after="0" w:line="193"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Restricted stock units and deferred stock awards carry no voting or other rights associated with stock ownership until the shares underlying the award are delivered in settlement of the award. The applicable award agreement will provide whether grantees may receive dividend equivalents with respect to restricted stock units or deferred stock, and if so, whether such dividend equivalents are distributed when credited or deemed to be reinvested in additional shares of restricted stock units or deferred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17"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The committee may grant performance units, which entitle a grantee to cash or shares conditioned upon the fulfillment of certain performance conditions and other restrictions as specified by the committee and reflected in the applicable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applicable award agreement.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7"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applicable award agreement. The committee will determine the terms and conditions of such awards, including performance and other restrictions placed on these awards, which will be reflected in the applicable award agreement.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Bonus Shares</w:t>
      </w:r>
    </w:p>
    <w:p>
      <w:pPr>
        <w:spacing w:after="0" w:line="117"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committee may grant fully vested shares of our common stock as bonus shares in recognition of past performance or as an inducement to become an employee, non-employee consultant or director on such terms and conditions as specified in the applicable award agreement.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committee is authorized to grant dividend equivalents, which provide a grantee the right to receive payment equal to the dividends paid on a specified number of shares of our common stock. Dividend equivalents may be paid directly to grantees or may be deferred for later delivery under the 2019 Omnibus Equity Incentive Plan. If deferred such dividend equivalents may be credited with interest or may be deemed to be invested in shares of our common stock or in other property.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2019 Omnibus Equity Incentive Plan authorizes the committee to grant awards that are valued in whole or in part by reference to or otherwise based on our securities. The committee determines the terms and conditions of such awards, including whether awards are paid in shares or cash.</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Similar Corporate Transaction</w:t>
      </w:r>
    </w:p>
    <w:p>
      <w:pPr>
        <w:spacing w:after="0" w:line="117"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If there is a merger or consolidation of us with or into another corporation or a sale of substantially all of our stock, or, collectively,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and Termination of the 2019 Omnibus Equity Incentive Plan</w:t>
      </w:r>
    </w:p>
    <w:p>
      <w:pPr>
        <w:spacing w:after="0" w:line="117"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The 2019 Omnibus Equity Incentive Plan may be amended, altered, suspended, discontinued or terminated by our Board of Directors without further stockholder approval, unless such approval of an amendment or alteration is required by law or regulation or under the rules of any stock exchange or automated quotation system on which the common stock is then listed or quoted. Thus, stockholder approval will not necessarily be required for amendments which might increase the cost of the 2019 Omnibus Equity Incentive Plan or broaden eligibility. Stockholder approval will not be deemed to be required under laws or regulations that condition favorable treatment of grantees on such approval, although our Board of Directors may, in its discretion, seek stockholder approval in any circumstance in which it deems such approval advisable.</w:t>
      </w:r>
    </w:p>
    <w:p>
      <w:pPr>
        <w:spacing w:after="0" w:line="178"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In addition, subject to the terms of the 2019 Omnibus Equity Incentive Plan, no amendment or termination of the 2019 Omnibus Equity Incentive Plan may materially and adversely affect the right of a grantee without the consent of the grantee under any award granted under the 2019 Omnibus Equity Incentive Plan.</w:t>
      </w:r>
    </w:p>
    <w:p>
      <w:pPr>
        <w:spacing w:after="0" w:line="181"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Unless earlier terminated by our Board of Directors, the 2019 Omnibus Equity Incentive Plan will terminate when no shares remain reserved and available for issuance or, if earlier, on the tenth anniversary of the effective date of the 2019 Omnibus Equity Incentive Plan.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17" w:lineRule="exact"/>
        <w:rPr>
          <w:sz w:val="20"/>
          <w:szCs w:val="20"/>
          <w:color w:val="auto"/>
        </w:rPr>
      </w:pPr>
    </w:p>
    <w:p>
      <w:pPr>
        <w:ind w:left="200" w:right="300"/>
        <w:spacing w:after="0" w:line="254" w:lineRule="auto"/>
        <w:rPr>
          <w:sz w:val="20"/>
          <w:szCs w:val="20"/>
          <w:color w:val="auto"/>
        </w:rPr>
      </w:pPr>
      <w:r>
        <w:rPr>
          <w:rFonts w:ascii="Arial" w:cs="Arial" w:eastAsia="Arial" w:hAnsi="Arial"/>
          <w:sz w:val="18"/>
          <w:szCs w:val="18"/>
          <w:color w:val="auto"/>
        </w:rPr>
        <w:t>The following discussion summarizes the certain Federal income tax consequences of the 2019 Omnibus Equity Incentive Plan based on current provisions of the Code, which are subject to change. This summary is not intended to be exhaustive and does not address all matters which may be relevant to a particular grantee based on his or her specific circumstances. The summary expressly does not discuss the income tax laws of any state, municipality, or non-U.S. taxing jurisdiction, or the gift, estate, excise (including the rules applicable to deferred compensation under Code Section 409A or golden parachute excise taxes under Code Section 4999), or other tax laws other than federal income tax law. The following is not intended or written to be used, and cannot be used, for the purposes of avoiding taxpayer penalties. Because individual circumstances may vary, the Company advises all grantees to consult their own tax advisors concerning the tax implications of awards granted under the 2019 Omnibus Equity Incentive Plan.</w:t>
      </w:r>
    </w:p>
    <w:p>
      <w:pPr>
        <w:spacing w:after="0" w:line="192"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A recipient of a stock option will not have taxable income upon the grant of the stock option. For stock options that are not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the grantee will recognize ordinary income upon exercise in an amount equal to the value of any cash received, plus the difference between the fair market value of the freely transferable and non-forfeitable shares received by the grantee on the date of exercise and the exercise price. The grantee’s tax basis in such shares will be the fair market value of such shares on the date the option is exercised. Any gain or loss recognized upon any later disposition of the shares generally will be a long-term or short-term capital gain or loss.</w:t>
      </w:r>
    </w:p>
    <w:p>
      <w:pPr>
        <w:spacing w:after="0" w:line="17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acquisition of shares upon exercise of an incentive stock option will not result in any taxable income to the grantee, except, possibly, for purposes of the alternative minimum tax. The gain or loss recognized by the grantee on a later sale or other disposition of such shares will either be long-term capital gain or loss or ordinary income, depending upon whether the grantee holds the shares for the legally-required period (currently two years from the date of grant and one year from the date of exercise). If the shares are not held for the legally-required period, the grantee will recognize ordinary income equal to the lesser of (i) the difference between the fair market value of the shares on the date of exercise and the exercise price, or (ii) the difference between the sales price and the exercise price. If the grantee holds the shares for the legally required holding period, the grantee’s tax basis in such shares will be the exercise price paid for the shares.</w:t>
      </w:r>
    </w:p>
    <w:p>
      <w:pPr>
        <w:spacing w:after="0" w:line="17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Generally, a company can claim a Federal income tax deduction equal to the amount recognized as ordinary income by a grantee in connection with the exercise of a stock option, but not relating to a grantee’s capital gains. Accordingly, we will not be entitled to any tax deduction with respect to an incentive stock option if the grantee holds the shares for the legally-required period.</w:t>
      </w:r>
    </w:p>
    <w:p>
      <w:pPr>
        <w:spacing w:after="0" w:line="181"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Unless a grantee makes the election described below, a grant of restricted shares will not result in taxable income to the grantee or a</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for us in the year of grant. The value of such restricted shares will be taxable to a grantee as ordinary income in the year in which the restrictions lapse. Alternatively, a grantee may elect to treat as income in the year of grant the fair market value of the restricted stock on the date of grant, provided the grantee makes the election within 30 days after the date of such grant. If such an election were made, the grantee would not be allowed to deduct at a later date the amount included as taxable income if the grantee should forfeit the shares of restricted stock. The amount of ordinary income recognized by a grantee is deductible by us in the year such income is recognized by the grantee, provided such amount constitutes reasonable compensation to the grantee. If the election described above is not made, then prior to the lapse of restrictions, dividends paid on the shares subject to such restrictions will be taxable to the grantee as additional compensation in the year received, and we will be allowed a corresponding deduction.</w:t>
      </w:r>
    </w:p>
    <w:p>
      <w:pPr>
        <w:spacing w:after="0" w:line="19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Generally, when a grantee receives payment in settlement of any other award granted under the 2019 Omnibus Equity Incentive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and the fair market value of the shares received will be ordinary income to such grantee, and we will be allowed a corresponding deduction for Federal income tax purposes.</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Generally, when a grantee receives payment with respect to dividend equivalents, the amount of cash and the fair market value of any shares or other property received will be ordinary income to such grantee. We will be entitled to a Federal income tax deduction in an amount equal to the amount the grantee includes in income.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If the grantee is an employee or former employee, the amount the grantee recognizes as ordinary income in connection with an award (other than an incentive stock option) is subject to tax withholding.</w:t>
      </w:r>
    </w:p>
    <w:p>
      <w:pPr>
        <w:spacing w:after="0" w:line="17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 xml:space="preserve">Limitations on Deductions. </w:t>
      </w:r>
      <w:r>
        <w:rPr>
          <w:rFonts w:ascii="Arial" w:cs="Arial" w:eastAsia="Arial" w:hAnsi="Arial"/>
          <w:sz w:val="16"/>
          <w:szCs w:val="16"/>
          <w:color w:val="auto"/>
        </w:rPr>
        <w:t>Code Section 162(m) as amended by the Tax Cuts and Jobs Act, limits the Federal income tax deductibility of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paid to any covered employee to $1 million per fiscal year. A “covered employee” is any individual who (i) is our principal executive officer or principal financial officer at any time during the then current fiscal year, (ii) is one of the three highest paid named executive officers (other than the principal executive officer or principal financial officer) during the then current fiscal year or (iii) was a covered employee in any prior fiscal year beginning after December 31, 2016. Prior to 2018, an exception to the limitation on the deductibility of compensation applied for performance-based compensation. The performance-based compensation exception to the limitation on the deductibility of compensation in excess of $1 million was repealed with respect to any compensation paid in any fiscal year commencing on or after December 31, 2017, except that a transition rule provides that the amendments to Section 162(m) of the Code enacted in the Tax Cuts and Jobs Act do apply to any compensation which is provided pursuant to a written binding contract in effect on November 2, 2017 and which was not materially modified at any time after November 2, 2017.</w:t>
      </w:r>
    </w:p>
    <w:p>
      <w:pPr>
        <w:spacing w:after="0" w:line="167" w:lineRule="exact"/>
        <w:rPr>
          <w:sz w:val="20"/>
          <w:szCs w:val="20"/>
          <w:color w:val="auto"/>
        </w:rPr>
      </w:pPr>
    </w:p>
    <w:p>
      <w:pPr>
        <w:ind w:left="200" w:right="240"/>
        <w:spacing w:after="0" w:line="291"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Under Section 409A of the Code. Any award that is deemed to be a deferral arrangement (excluding certain exempted short-term deferrals) will be subject to Code Section 409A. Generally, Code Section 409A imposes accelerated inclusion in income and tax penalties on the recipient of deferred compensation that does not satisfy the requirements of Code Section 409A. Options and restricted shares granted under the 2019 Omnibus Equity Incentive Plan will typically be exempt from Code Section 409A. Other awards may result in the deferral of compensation. Awards under the 2019 Omnibus Equity Incentive Plan that may result in the deferral of compensation are intended to be structured to meet applicable requirements under Code Section 409A. Certain grantee elections and the timing of distributions relating to such awards must also meet requirements under Code Section 409A in order for income taxation to be deferred and tax penalties avoided by the grantee upon vesting of the award.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2019 Omnibus Equity Incentive Plan Benefits</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Other than as set forth in the table below, in view of the discretionary authority vested in the Compensation Committee and the Board of Directors under the 2019 Omnibus Equity Incentive Plan and because any benefit under the 2019 Omnibus Equity Incentive Plan may depend on a variety of factors, including the value of our common stock from time to time, it is not possible to estimate or determine the number of shares or the value of any awards that may be made to any of our directors, executive officers or employees under the 2019 Omnibus Equity Incentive Plan, if approved by our stockholders.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The following awards of options to purchase common stock granted to directors, executive officers and non-executive employees under the 2018 Plan and 2019 Omnibus Equity Incentive Plan remain subject to approval of the 2019 Omnibus Equity Incentive Plan by our stockholders. These exercise prices were set according to the closing price quoted on the Nasdaq Global Market on the date of grant.</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Plan Name: 2019 Omnibus Equity Incentive Plan</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3"/>
          </w:tcPr>
          <w:p>
            <w:pPr>
              <w:ind w:left="2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Name</w:t>
            </w:r>
          </w:p>
        </w:tc>
        <w:tc>
          <w:tcPr>
            <w:tcW w:w="2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Position</w:t>
            </w: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Type of Units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940" w:type="dxa"/>
            <w:vAlign w:val="bottom"/>
            <w:gridSpan w:val="2"/>
            <w:vMerge w:val="continue"/>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Joseph E.</w:t>
            </w:r>
          </w:p>
        </w:tc>
        <w:tc>
          <w:tcPr>
            <w:tcW w:w="2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Chief Executive Officer</w:t>
            </w: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Payne</w:t>
            </w:r>
          </w:p>
        </w:tc>
        <w:tc>
          <w:tcPr>
            <w:tcW w:w="2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and President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40" w:type="dxa"/>
            <w:vAlign w:val="bottom"/>
            <w:gridSpan w:val="3"/>
          </w:tcPr>
          <w:p>
            <w:pPr>
              <w:ind w:left="1180"/>
              <w:spacing w:after="0" w:line="201" w:lineRule="exact"/>
              <w:rPr>
                <w:sz w:val="20"/>
                <w:szCs w:val="20"/>
                <w:color w:val="auto"/>
              </w:rPr>
            </w:pPr>
            <w:r>
              <w:rPr>
                <w:rFonts w:ascii="Arial" w:cs="Arial" w:eastAsia="Arial" w:hAnsi="Arial"/>
                <w:sz w:val="18"/>
                <w:szCs w:val="18"/>
                <w:color w:val="auto"/>
              </w:rPr>
              <w:t>Andy</w:t>
            </w: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40" w:type="dxa"/>
            <w:vAlign w:val="bottom"/>
            <w:gridSpan w:val="3"/>
          </w:tcPr>
          <w:p>
            <w:pPr>
              <w:ind w:left="1180"/>
              <w:spacing w:after="0"/>
              <w:rPr>
                <w:sz w:val="20"/>
                <w:szCs w:val="20"/>
                <w:color w:val="auto"/>
              </w:rPr>
            </w:pPr>
            <w:r>
              <w:rPr>
                <w:rFonts w:ascii="Arial" w:cs="Arial" w:eastAsia="Arial" w:hAnsi="Arial"/>
                <w:sz w:val="18"/>
                <w:szCs w:val="18"/>
                <w:color w:val="auto"/>
              </w:rPr>
              <w:t>Sassine</w:t>
            </w: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800" w:type="dxa"/>
            <w:vAlign w:val="bottom"/>
          </w:tcPr>
          <w:p>
            <w:pPr>
              <w:jc w:val="right"/>
              <w:spacing w:after="0"/>
              <w:rPr>
                <w:sz w:val="20"/>
                <w:szCs w:val="20"/>
                <w:color w:val="auto"/>
              </w:rPr>
            </w:pPr>
            <w:r>
              <w:rPr>
                <w:rFonts w:ascii="Arial" w:cs="Arial" w:eastAsia="Arial" w:hAnsi="Arial"/>
                <w:sz w:val="18"/>
                <w:szCs w:val="18"/>
                <w:color w:val="auto"/>
              </w:rPr>
              <w:t>136,250</w:t>
            </w:r>
          </w:p>
        </w:tc>
        <w:tc>
          <w:tcPr>
            <w:tcW w:w="240" w:type="dxa"/>
            <w:vAlign w:val="bottom"/>
          </w:tcPr>
          <w:p>
            <w:pPr>
              <w:spacing w:after="0"/>
              <w:rPr>
                <w:sz w:val="20"/>
                <w:szCs w:val="20"/>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5.45</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ind w:left="1180"/>
              <w:spacing w:after="0" w:line="201" w:lineRule="exact"/>
              <w:rPr>
                <w:sz w:val="20"/>
                <w:szCs w:val="20"/>
                <w:color w:val="auto"/>
              </w:rPr>
            </w:pPr>
            <w:r>
              <w:rPr>
                <w:rFonts w:ascii="Arial" w:cs="Arial" w:eastAsia="Arial" w:hAnsi="Arial"/>
                <w:sz w:val="18"/>
                <w:szCs w:val="18"/>
                <w:color w:val="auto"/>
              </w:rPr>
              <w:t>Padmanabh</w:t>
            </w:r>
          </w:p>
        </w:tc>
        <w:tc>
          <w:tcPr>
            <w:tcW w:w="294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4"/>
              </w:rPr>
              <w:t>Chief Scientific Officer and Chief</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Chivukula</w:t>
            </w:r>
          </w:p>
        </w:tc>
        <w:tc>
          <w:tcPr>
            <w:tcW w:w="2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Operating Officer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Total Granted by Group</w:t>
            </w:r>
          </w:p>
        </w:tc>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Executive Group</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Non-Executive Director Group</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97,500</w:t>
            </w:r>
          </w:p>
        </w:tc>
        <w:tc>
          <w:tcPr>
            <w:tcW w:w="24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8.00</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Non-Executive Officer Employee</w:t>
            </w:r>
          </w:p>
        </w:tc>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Group</w:t>
            </w:r>
          </w:p>
        </w:tc>
        <w:tc>
          <w:tcPr>
            <w:tcW w:w="2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834,626</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gridSpan w:val="5"/>
          </w:tcPr>
          <w:p>
            <w:pPr>
              <w:spacing w:after="0"/>
              <w:rPr>
                <w:sz w:val="20"/>
                <w:szCs w:val="20"/>
                <w:color w:val="auto"/>
              </w:rPr>
            </w:pPr>
            <w:r>
              <w:rPr>
                <w:rFonts w:ascii="Arial" w:cs="Arial" w:eastAsia="Arial" w:hAnsi="Arial"/>
                <w:sz w:val="18"/>
                <w:szCs w:val="18"/>
                <w:b w:val="1"/>
                <w:bCs w:val="1"/>
                <w:color w:val="auto"/>
              </w:rPr>
              <w:t>Total Granted</w:t>
            </w: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1,368,376</w:t>
            </w:r>
          </w:p>
        </w:tc>
        <w:tc>
          <w:tcPr>
            <w:tcW w:w="24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Arial" w:cs="Arial" w:eastAsia="Arial" w:hAnsi="Arial"/>
                <w:sz w:val="18"/>
                <w:szCs w:val="18"/>
                <w:color w:val="auto"/>
                <w:w w:val="86"/>
              </w:rPr>
              <w:t>Options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6.93</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00" w:hanging="436"/>
        <w:spacing w:after="0" w:line="34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grant date fair value for option awards is determined using the Black-Scholes method based on an exercise price per share equal to the price per share quoted on the Nasdaq Global Market on the date of grant, discount rate, and annualized volatility of common stock, among other inputs.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right="300"/>
        <w:spacing w:after="0" w:line="312" w:lineRule="auto"/>
        <w:rPr>
          <w:sz w:val="20"/>
          <w:szCs w:val="20"/>
          <w:color w:val="auto"/>
        </w:rPr>
      </w:pPr>
      <w:r>
        <w:rPr>
          <w:rFonts w:ascii="Arial" w:cs="Arial" w:eastAsia="Arial" w:hAnsi="Arial"/>
          <w:sz w:val="16"/>
          <w:szCs w:val="16"/>
          <w:color w:val="auto"/>
        </w:rPr>
        <w:t>The approval of our 2019 Omnibus Equity Incentive Plan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Board of Directors recommends a vote “FOR” the approval of our 2019 Omnibus Equity Incentive Plan.</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APPROVE, BY NON-BINDING ADVISORY VOTE, THE RESOLUTION APPROVING THE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COMPANY’S NAMED EXECUTIVE OFFICER COMPENSATION</w:t>
      </w:r>
    </w:p>
    <w:p>
      <w:pPr>
        <w:spacing w:after="0" w:line="21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spacing w:after="0" w:line="193"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spacing w:after="0" w:line="18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Although the “say-on-pay” vote is non-binding, the Board of Directors and the Compensation Committee will carefully review and consider the voting results when evaluating our named executive officer compensation program.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color w:val="auto"/>
        </w:rPr>
        <w:t>The Say on Pay Proposal requires the affirmative vote of a majority of the shares 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200" w:right="460"/>
        <w:spacing w:after="0" w:line="282" w:lineRule="auto"/>
        <w:rPr>
          <w:sz w:val="20"/>
          <w:szCs w:val="20"/>
          <w:color w:val="auto"/>
        </w:rPr>
      </w:pPr>
      <w:r>
        <w:rPr>
          <w:rFonts w:ascii="Arial" w:cs="Arial" w:eastAsia="Arial" w:hAnsi="Arial"/>
          <w:sz w:val="18"/>
          <w:szCs w:val="18"/>
          <w:b w:val="1"/>
          <w:bCs w:val="1"/>
          <w:color w:val="auto"/>
        </w:rPr>
        <w:t>Our Board of Directors recommends a vote “FOR” the approval of the non-binding advisory resolution approving the Company’s Named Executive Officer compensation.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NUMBER 4</w:t>
      </w:r>
    </w:p>
    <w:p>
      <w:pPr>
        <w:spacing w:after="0" w:line="225" w:lineRule="exact"/>
        <w:rPr>
          <w:sz w:val="20"/>
          <w:szCs w:val="20"/>
          <w:color w:val="auto"/>
        </w:rPr>
      </w:pPr>
    </w:p>
    <w:p>
      <w:pPr>
        <w:jc w:val="center"/>
        <w:ind w:left="460" w:right="1700"/>
        <w:spacing w:after="0" w:line="266" w:lineRule="auto"/>
        <w:rPr>
          <w:sz w:val="20"/>
          <w:szCs w:val="20"/>
          <w:color w:val="auto"/>
        </w:rPr>
      </w:pPr>
      <w:r>
        <w:rPr>
          <w:rFonts w:ascii="Arial" w:cs="Arial" w:eastAsia="Arial" w:hAnsi="Arial"/>
          <w:sz w:val="18"/>
          <w:szCs w:val="18"/>
          <w:b w:val="1"/>
          <w:bCs w:val="1"/>
          <w:color w:val="auto"/>
        </w:rPr>
        <w:t>TO APPROVE, BY NON-BINDING ADVISORY VOTE, THE FREQUENCY OF FUTURE NON-BINDING ADVISORY VOTES ON RESOLUTIONS APPROVING FUTURE NAMED EXECUTIVE OFFICER COMPENSATION</w:t>
      </w:r>
    </w:p>
    <w:p>
      <w:pPr>
        <w:spacing w:after="0" w:line="18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Proposal 3 above, the Company is asking its stockholders to vote on a non-binding advisory resolution on named executive officer compensation and the Company will provide this type of advisory vote at least once every three years. Pursuant to Section 14A of the Exchange Act and the related rules of the SEC, in this Proposal 4 the Company is asking its stockholders to vote on the frequency of future non-binding advisory votes on named executive officer compensation.</w:t>
      </w:r>
    </w:p>
    <w:p>
      <w:pPr>
        <w:spacing w:after="0" w:line="187" w:lineRule="exact"/>
        <w:rPr>
          <w:sz w:val="20"/>
          <w:szCs w:val="20"/>
          <w:color w:val="auto"/>
        </w:rPr>
      </w:pPr>
    </w:p>
    <w:p>
      <w:pPr>
        <w:jc w:val="both"/>
        <w:ind w:left="200" w:right="160"/>
        <w:spacing w:after="0" w:line="273" w:lineRule="auto"/>
        <w:rPr>
          <w:sz w:val="20"/>
          <w:szCs w:val="20"/>
          <w:color w:val="auto"/>
        </w:rPr>
      </w:pPr>
      <w:r>
        <w:rPr>
          <w:rFonts w:ascii="Arial" w:cs="Arial" w:eastAsia="Arial" w:hAnsi="Arial"/>
          <w:sz w:val="17"/>
          <w:szCs w:val="17"/>
          <w:color w:val="auto"/>
        </w:rPr>
        <w:t>The Board of Directors believes that an advisory vote on executive compensation every three years is the most appropriate policy for the Company at this time, and recommends that stockholders vote for future non-binding advisory votes on named executive officer compensation to occur every three years. While our named executive officer compensation programs are designed to promote a long-term connection between pay and performance, and the Board of Directors recognizes that named executive officer compensation disclosures are made annually, the rules of the Securities and Exchange Commission permit the Company to solicit this advisory vote only every three years and the Company believes that management time and attention is better served by soliciting this advisory vote only every three years.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Pursuant to this non-binding advisory vote on the frequency of future non-binding advisory votes on named executive officer compensation, stockholders will be able to specify one of four choices for this proposal on the proxy card or voting instruction: one year, two years, three years or abstain. Stockholders are not voting to approve or disapprove the Board of Director’s recommendation. The vote is non-binding on the Board of Directors. Nevertheless, the Board of Directors and the Compensation Committee will carefully review the voting results. Notwithstanding the Board of Directors’ recommendation and the outcome of the stockholder vote, the Board of Directors may in the future decide to conduct advisory votes on a more or less frequent basis and may vary its practice based on factors such as discussions with stockholders and the adoption of material changes to compensation programs.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Say When on Pay Proposal requires the affirmative vote of a majority of the shares present in person or represented by proxy at the annual meeting and entitled to vote thereon to be approved. You may vote for the frequency of the Say When on Pay Proposal as “ONE YEAR,” “TWO YEARS,” “THREE YEARS,” or you may vote “ABSTAIN” on this proposal. Abstentions will count towards the quorum requirement for the annual meeting and will have the same effect as a vote against the proposal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Our Board of Directors recommends a vote for “THREE YEARS” as the preferred frequency of the non-binding advisory resolution approving the Company’s Named Executive Officer compensation.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NUMBER 5</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Our audit committee has appointed E&amp;Y as the independent registered public accounting firm to audit our consolidated financial statements for the year ending December 31, 2019.</w:t>
      </w:r>
    </w:p>
    <w:p>
      <w:pPr>
        <w:spacing w:after="0" w:line="17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E&amp;Y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E&amp;Y is expected to attend the annual meeting, where he or she will be available to respond to appropriate questions and, if he or she desires, to make a statement.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following table sets forth the fees billed to us and our subsidiaries by Ernst &amp; Young LLP, an independent registered public accounting firm, and Kost, Forer, Gabbay and Kasierer, a member of Ernst &amp; Young Global, an independent registered public accounting firm, which served as our principal accountant for the years ended December 31, 2018 and 2017, respectively.</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3120" w:type="dxa"/>
            <w:vAlign w:val="bottom"/>
            <w:gridSpan w:val="2"/>
          </w:tcPr>
          <w:p>
            <w:pPr>
              <w:jc w:val="center"/>
              <w:ind w:left="2656"/>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2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$724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27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All other fees</w:t>
            </w:r>
          </w:p>
        </w:tc>
        <w:tc>
          <w:tcPr>
            <w:tcW w:w="27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center"/>
              <w:ind w:left="263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440" w:hanging="436"/>
        <w:spacing w:after="0" w:line="25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ind w:left="640" w:right="280" w:hanging="436"/>
        <w:spacing w:after="0" w:line="265"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Audit-related fees are fees for assurance and related services rendered by our respective principal accountants that are reasonably related to the performance of their audit of our financial statements and that are not reported under “Audit-fees” above.</w:t>
      </w:r>
    </w:p>
    <w:p>
      <w:pPr>
        <w:ind w:left="640" w:hanging="436"/>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fees are fees for services rendered by our respective principal accountants in connection with tax compliance, tax planning and tax advice.</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In 2018, there were no other professional services provided by E&amp;Y that would have required our audit committee to consider their compatibility with maintaining the independence of E&amp;Y.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Ratification of the appointment of E&amp;Y as our independent registered public accounting firm for the year ending December 31, 2019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Our Board of Directors recommends a vote “FOR” the ratification of the appointment of E&amp;Y as our independent registered public accounting firm for the year ending December 31, 2019.</w:t>
      </w:r>
    </w:p>
    <w:p>
      <w:pPr>
        <w:sectPr>
          <w:pgSz w:w="11900" w:h="16838" w:orient="portrait"/>
          <w:cols w:equalWidth="0" w:num="1">
            <w:col w:w="11200"/>
          </w:cols>
          <w:pgMar w:left="240" w:top="459" w:right="459" w:bottom="1440" w:gutter="0" w:footer="0" w:header="0"/>
        </w:sectPr>
      </w:pP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00"/>
          </w:cols>
          <w:pgMar w:left="24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audit committee is a committee of our Board of Directors comprised solely of independent directors as required by the listing standards of Nasdaq and rules and regulations of the SEC. The audit committee operates under a written charter approved by Arcturus’ Board of Directors, which is available on the corporate governance section of our web site at http://ir.arcturusrx.com/governance-highlights. The audit committee held seven meetings during fiscal year 2018. The meetings of the audit committee are designed to facilitate and encourage communication among the audit committee, the company, and the company’s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respect to Arcturus’ financial reporting process, Arcturus’s management is responsible for (i) establishing and maintaining internal controls and</w:t>
      </w:r>
    </w:p>
    <w:p>
      <w:pPr>
        <w:spacing w:after="0" w:line="46" w:lineRule="exact"/>
        <w:rPr>
          <w:sz w:val="20"/>
          <w:szCs w:val="20"/>
          <w:color w:val="auto"/>
        </w:rPr>
      </w:pPr>
    </w:p>
    <w:p>
      <w:pPr>
        <w:ind w:left="200" w:right="380" w:firstLine="4"/>
        <w:spacing w:after="0" w:line="290" w:lineRule="auto"/>
        <w:tabs>
          <w:tab w:leader="none" w:pos="4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preparing Arcturus’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spacing w:after="0" w:line="69" w:lineRule="exact"/>
        <w:rPr>
          <w:rFonts w:ascii="Arial" w:cs="Arial" w:eastAsia="Arial" w:hAnsi="Arial"/>
          <w:sz w:val="16"/>
          <w:szCs w:val="16"/>
          <w:color w:val="auto"/>
        </w:rPr>
      </w:pPr>
    </w:p>
    <w:p>
      <w:pPr>
        <w:ind w:left="1180" w:hanging="436"/>
        <w:spacing w:after="0"/>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fiscal year 2018 with the management of Arcturus;</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discussed with E&amp;Y, Arcturus’ independent registered public accounting firm for fiscal year 2018, the matters required to be discussed by Auditing Standard No. 16, Communications with Audit Committees, as amended (AICPA, Professional Standards, Vol. 1, section 380), and as adopted by the PCAOB in Rule 3200T; and</w:t>
      </w:r>
    </w:p>
    <w:p>
      <w:pPr>
        <w:spacing w:after="0" w:line="86" w:lineRule="exact"/>
        <w:rPr>
          <w:rFonts w:ascii="Arial" w:cs="Arial" w:eastAsia="Arial" w:hAnsi="Arial"/>
          <w:sz w:val="18"/>
          <w:szCs w:val="18"/>
          <w:color w:val="auto"/>
        </w:rPr>
      </w:pPr>
    </w:p>
    <w:p>
      <w:pPr>
        <w:ind w:left="1180" w:right="720" w:hanging="436"/>
        <w:spacing w:after="0" w:line="308" w:lineRule="auto"/>
        <w:tabs>
          <w:tab w:leader="none" w:pos="11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E&amp;Y as required by applicable requirements of the PCAOB regarding E&amp;Y’s communications with the audit committee concerning independence, and has discussed with E&amp;Y its independence.</w:t>
      </w:r>
    </w:p>
    <w:p>
      <w:pPr>
        <w:spacing w:after="0" w:line="14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the various discussions with management and E&amp;Y, the audit committee recommended to the Board of Directors that the audited financial statements be included in our annual report on Form 10-K for the fiscal year ended December 31, 2018 for filing with the SEC.</w:t>
      </w:r>
    </w:p>
    <w:p>
      <w:pPr>
        <w:spacing w:after="0" w:line="181"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i w:val="1"/>
          <w:iCs w:val="1"/>
          <w:color w:val="auto"/>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names of our executive officers, their ages, their positions with Arcturus and other biographical information as of September 30, 2019, are set forth below. There are no family relationships among any of our directors and executive officers.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7500" w:type="dxa"/>
            <w:vAlign w:val="bottom"/>
          </w:tcPr>
          <w:p>
            <w:pPr>
              <w:ind w:left="342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3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Payne</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6"/>
                <w:szCs w:val="16"/>
                <w:color w:val="auto"/>
              </w:rPr>
            </w:pPr>
          </w:p>
        </w:tc>
        <w:tc>
          <w:tcPr>
            <w:tcW w:w="7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Andy Sassine</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89"/>
              </w:rPr>
              <w:t>55</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Padmanabh Chivukula</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89"/>
              </w:rPr>
              <w:t>40</w:t>
            </w:r>
          </w:p>
        </w:tc>
        <w:tc>
          <w:tcPr>
            <w:tcW w:w="7600" w:type="dxa"/>
            <w:vAlign w:val="bottom"/>
            <w:gridSpan w:val="2"/>
          </w:tcPr>
          <w:p>
            <w:pPr>
              <w:ind w:left="100"/>
              <w:spacing w:after="0"/>
              <w:rPr>
                <w:sz w:val="20"/>
                <w:szCs w:val="20"/>
                <w:color w:val="auto"/>
              </w:rPr>
            </w:pPr>
            <w:r>
              <w:rPr>
                <w:rFonts w:ascii="Arial" w:cs="Arial" w:eastAsia="Arial" w:hAnsi="Arial"/>
                <w:sz w:val="18"/>
                <w:szCs w:val="18"/>
                <w:color w:val="auto"/>
              </w:rPr>
              <w:t>Chief Scientific Officer and Chief Operating Officer</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Biographical information for Joseph E. Payne and Andy Sassine is set forth above in the section titled “Board of Directors and Corporate Governance.”</w:t>
      </w:r>
    </w:p>
    <w:p>
      <w:pPr>
        <w:spacing w:after="0" w:line="136" w:lineRule="exact"/>
        <w:rPr>
          <w:sz w:val="20"/>
          <w:szCs w:val="20"/>
          <w:color w:val="auto"/>
        </w:rPr>
      </w:pPr>
    </w:p>
    <w:p>
      <w:pPr>
        <w:ind w:left="200" w:right="120"/>
        <w:spacing w:after="0" w:line="277" w:lineRule="auto"/>
        <w:rPr>
          <w:sz w:val="20"/>
          <w:szCs w:val="20"/>
          <w:color w:val="auto"/>
        </w:rPr>
      </w:pPr>
      <w:r>
        <w:rPr>
          <w:rFonts w:ascii="Arial" w:cs="Arial" w:eastAsia="Arial" w:hAnsi="Arial"/>
          <w:sz w:val="17"/>
          <w:szCs w:val="17"/>
          <w:b w:val="1"/>
          <w:bCs w:val="1"/>
          <w:color w:val="auto"/>
        </w:rPr>
        <w:t xml:space="preserve">Dr. Padmanabh Chivukula </w:t>
      </w:r>
      <w:r>
        <w:rPr>
          <w:rFonts w:ascii="Arial" w:cs="Arial" w:eastAsia="Arial" w:hAnsi="Arial"/>
          <w:sz w:val="17"/>
          <w:szCs w:val="17"/>
          <w:color w:val="auto"/>
        </w:rPr>
        <w:t>is our Chief Scientific Officer and Chief Operating Officer and served in the same roles at our predecessor since 2013.</w:t>
      </w:r>
      <w:r>
        <w:rPr>
          <w:rFonts w:ascii="Arial" w:cs="Arial" w:eastAsia="Arial" w:hAnsi="Arial"/>
          <w:sz w:val="17"/>
          <w:szCs w:val="17"/>
          <w:b w:val="1"/>
          <w:bCs w:val="1"/>
          <w:color w:val="auto"/>
        </w:rPr>
        <w:t xml:space="preserve"> </w:t>
      </w:r>
      <w:r>
        <w:rPr>
          <w:rFonts w:ascii="Arial" w:cs="Arial" w:eastAsia="Arial" w:hAnsi="Arial"/>
          <w:sz w:val="17"/>
          <w:szCs w:val="17"/>
          <w:color w:val="auto"/>
        </w:rPr>
        <w:t>Dr. Chivukula has an exceptional and 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Processes and Procedures for Executive Compensation</w:t>
      </w:r>
    </w:p>
    <w:p>
      <w:pPr>
        <w:spacing w:after="0" w:line="12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Our compensation committee assists the Board of Directors in discharging its responsibilities relating to oversight of the compensation of our chief executive officer and our other executive officers, including reviewing and making recommendations to the Board of Directors with respect to the compensation, plans, policies and programs for our chief executive officer and our other executive officers and administering our equity compensation plans for our executive officers and employees.</w:t>
      </w:r>
    </w:p>
    <w:p>
      <w:pPr>
        <w:spacing w:after="0" w:line="18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performance compensation levels of our executive officers and when setting specific individual and corporate performance targets under our annual executive incentive bonus plan for our executive officers. Our chief executive officer has no input and is not present during voting or deliberations about his compensation. Our compensation committee may delegate its authority to a subcommittee, but it may not delegate any power or authority required by agreement, law, regulation or listing standard to be exercised by the compensation committee as a whole.</w:t>
      </w:r>
    </w:p>
    <w:p>
      <w:pPr>
        <w:spacing w:after="0" w:line="17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Our nominating and corporate governance committee has authority to review and recommend to the Board of Directors compensation programs for our outside directors, although this role has been predominantly undertaken by our compensation committee, in consultation with members of our full Board of Directors.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named executive officers for the year ended December 31, 2018, which consist of all individuals who served as our principal executive officer during 2018 and our two most highly compensated executive officers other that the principal executive officer who were serving as executive officers at the end of the last completed fiscal year, are:</w:t>
      </w:r>
    </w:p>
    <w:p>
      <w:pPr>
        <w:spacing w:after="0" w:line="87"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Joseph E. Payne, our President, Chief Executive Officer, and Director;</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Andy Sassine, our Interim Chief Financial Officer from August 24, 2018 to December 31, 2018. Effective January 1, 2019, Mr. Sassine was appointed the Company’s Chief Financial Officer;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Padmanabh Chivukula, our Chief Science Officer and Chief Operating Officer;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 Herbert, Interim President from February 2, 2018 to May 26,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383"/>
              <w:spacing w:after="0"/>
              <w:rPr>
                <w:sz w:val="20"/>
                <w:szCs w:val="20"/>
                <w:color w:val="auto"/>
              </w:rPr>
            </w:pPr>
            <w:r>
              <w:rPr>
                <w:rFonts w:ascii="Arial" w:cs="Arial" w:eastAsia="Arial" w:hAnsi="Arial"/>
                <w:sz w:val="14"/>
                <w:szCs w:val="14"/>
                <w:b w:val="1"/>
                <w:bCs w:val="1"/>
                <w:color w:val="auto"/>
              </w:rPr>
              <w:t>All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0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3"/>
          </w:tcPr>
          <w:p>
            <w:pPr>
              <w:jc w:val="center"/>
              <w:ind w:left="73"/>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700" w:type="dxa"/>
            <w:vAlign w:val="bottom"/>
            <w:gridSpan w:val="3"/>
            <w:vMerge w:val="continue"/>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Awards</w:t>
            </w:r>
          </w:p>
        </w:tc>
        <w:tc>
          <w:tcPr>
            <w:tcW w:w="560" w:type="dxa"/>
            <w:vAlign w:val="bottom"/>
            <w:gridSpan w:val="3"/>
          </w:tcPr>
          <w:p>
            <w:pPr>
              <w:jc w:val="center"/>
              <w:ind w:left="13"/>
              <w:spacing w:after="0" w:line="145"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3"/>
          </w:tcPr>
          <w:p>
            <w:pPr>
              <w:ind w:left="1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5"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4"/>
          </w:tcPr>
          <w:p>
            <w:pPr>
              <w:ind w:left="180"/>
              <w:spacing w:after="0" w:line="14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420" w:type="dxa"/>
            <w:vAlign w:val="bottom"/>
            <w:vMerge w:val="continue"/>
          </w:tcPr>
          <w:p>
            <w:pPr>
              <w:spacing w:after="0"/>
              <w:rPr>
                <w:sz w:val="14"/>
                <w:szCs w:val="14"/>
                <w:color w:val="auto"/>
              </w:rPr>
            </w:pPr>
          </w:p>
        </w:tc>
        <w:tc>
          <w:tcPr>
            <w:tcW w:w="8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Joseph E. Payne</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$425,000</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0"/>
              </w:rPr>
              <w:t>$372,532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9"/>
              </w:rPr>
              <w:t>636,888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$ 1,252,624</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7"/>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2,687,044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President and Chief Executive</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Officer, Director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2017</w:t>
            </w:r>
          </w:p>
        </w:tc>
        <w:tc>
          <w:tcPr>
            <w:tcW w:w="880" w:type="dxa"/>
            <w:vAlign w:val="bottom"/>
            <w:gridSpan w:val="2"/>
          </w:tcPr>
          <w:p>
            <w:pPr>
              <w:jc w:val="center"/>
              <w:ind w:left="73"/>
              <w:spacing w:after="0"/>
              <w:rPr>
                <w:sz w:val="20"/>
                <w:szCs w:val="20"/>
                <w:color w:val="auto"/>
              </w:rPr>
            </w:pPr>
            <w:r>
              <w:rPr>
                <w:rFonts w:ascii="Arial" w:cs="Arial" w:eastAsia="Arial" w:hAnsi="Arial"/>
                <w:sz w:val="18"/>
                <w:szCs w:val="18"/>
                <w:color w:val="auto"/>
                <w:w w:val="90"/>
              </w:rPr>
              <w:t>$384,000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40,810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23,955</w:t>
            </w:r>
          </w:p>
        </w:tc>
        <w:tc>
          <w:tcPr>
            <w:tcW w:w="2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448,765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Padmanabh Chivukula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88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0"/>
              </w:rPr>
              <w:t>$350,000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83,233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424,592</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515,080</w:t>
            </w:r>
            <w:r>
              <w:rPr>
                <w:rFonts w:ascii="Arial" w:cs="Arial" w:eastAsia="Arial" w:hAnsi="Arial"/>
                <w:sz w:val="15"/>
                <w:szCs w:val="15"/>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1,372,905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Chief Scientific Officer and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Chief Operating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2017</w:t>
            </w:r>
          </w:p>
        </w:tc>
        <w:tc>
          <w:tcPr>
            <w:tcW w:w="880" w:type="dxa"/>
            <w:vAlign w:val="bottom"/>
            <w:gridSpan w:val="2"/>
          </w:tcPr>
          <w:p>
            <w:pPr>
              <w:jc w:val="center"/>
              <w:ind w:left="73"/>
              <w:spacing w:after="0"/>
              <w:rPr>
                <w:sz w:val="20"/>
                <w:szCs w:val="20"/>
                <w:color w:val="auto"/>
              </w:rPr>
            </w:pPr>
            <w:r>
              <w:rPr>
                <w:rFonts w:ascii="Arial" w:cs="Arial" w:eastAsia="Arial" w:hAnsi="Arial"/>
                <w:sz w:val="18"/>
                <w:szCs w:val="18"/>
                <w:color w:val="auto"/>
                <w:w w:val="90"/>
              </w:rPr>
              <w:t>$335,000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80"/>
              <w:spacing w:after="0"/>
              <w:rPr>
                <w:sz w:val="20"/>
                <w:szCs w:val="20"/>
                <w:color w:val="auto"/>
              </w:rPr>
            </w:pPr>
            <w:r>
              <w:rPr>
                <w:rFonts w:ascii="Arial" w:cs="Arial" w:eastAsia="Arial" w:hAnsi="Arial"/>
                <w:sz w:val="18"/>
                <w:szCs w:val="18"/>
                <w:color w:val="auto"/>
                <w:w w:val="87"/>
              </w:rPr>
              <w:t>40,810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375,882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Andy Sassine Interim Chief</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Officer</w:t>
            </w:r>
            <w:r>
              <w:rPr>
                <w:rFonts w:ascii="Arial" w:cs="Arial" w:eastAsia="Arial" w:hAnsi="Arial"/>
                <w:sz w:val="15"/>
                <w:szCs w:val="15"/>
                <w:color w:val="auto"/>
              </w:rPr>
              <w:t>(6)</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88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0"/>
              </w:rPr>
              <w:t>$120,000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126,340</w:t>
            </w:r>
            <w:r>
              <w:rPr>
                <w:rFonts w:ascii="Arial" w:cs="Arial" w:eastAsia="Arial" w:hAnsi="Arial"/>
                <w:sz w:val="15"/>
                <w:szCs w:val="15"/>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Mark Herbert Interim President</w:t>
            </w:r>
            <w:r>
              <w:rPr>
                <w:rFonts w:ascii="Arial" w:cs="Arial" w:eastAsia="Arial" w:hAnsi="Arial"/>
                <w:sz w:val="15"/>
                <w:szCs w:val="15"/>
                <w:color w:val="auto"/>
              </w:rPr>
              <w:t>(8)</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880" w:type="dxa"/>
            <w:vAlign w:val="bottom"/>
            <w:gridSpan w:val="2"/>
          </w:tcPr>
          <w:p>
            <w:pPr>
              <w:jc w:val="center"/>
              <w:ind w:left="73"/>
              <w:spacing w:after="0"/>
              <w:rPr>
                <w:sz w:val="20"/>
                <w:szCs w:val="20"/>
                <w:color w:val="auto"/>
              </w:rPr>
            </w:pPr>
            <w:r>
              <w:rPr>
                <w:rFonts w:ascii="Arial" w:cs="Arial" w:eastAsia="Arial" w:hAnsi="Arial"/>
                <w:sz w:val="18"/>
                <w:szCs w:val="18"/>
                <w:color w:val="auto"/>
                <w:w w:val="90"/>
              </w:rPr>
              <w:t>$307,200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3"/>
              <w:spacing w:after="0"/>
              <w:rPr>
                <w:sz w:val="20"/>
                <w:szCs w:val="20"/>
                <w:color w:val="auto"/>
              </w:rPr>
            </w:pPr>
            <w:r>
              <w:rPr>
                <w:rFonts w:ascii="Arial" w:cs="Arial" w:eastAsia="Arial" w:hAnsi="Arial"/>
                <w:sz w:val="18"/>
                <w:szCs w:val="18"/>
                <w:color w:val="auto"/>
              </w:rPr>
              <w:t>153,600</w:t>
            </w:r>
            <w:r>
              <w:rPr>
                <w:rFonts w:ascii="Arial" w:cs="Arial" w:eastAsia="Arial" w:hAnsi="Arial"/>
                <w:sz w:val="15"/>
                <w:szCs w:val="15"/>
                <w:color w:val="auto"/>
              </w:rPr>
              <w:t>(9)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460,800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60" w:hanging="436"/>
        <w:spacing w:after="0" w:line="25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Figures represent Salary and Bonus amounts as of fiscal year-end regardless of increases in Salary during the fiscal year and regardless of whether part or all of such amounts were paid in subsequent fiscal year(s). Bonuses are awarded pursuant to a bonus program. Salary and Bonus amounts owed to Mr. Payne are subject to approval of the shareholders under Israeli law.</w:t>
      </w:r>
    </w:p>
    <w:p>
      <w:pPr>
        <w:ind w:left="640" w:right="4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grant date fair value of options awarded in accordance with accounting guidance for equity-based compensation. All the following option share numbers and exercise prices per share give effect to the 1-for-7 reverse split implemented in connection with the merger in November 2017.</w:t>
      </w:r>
    </w:p>
    <w:p>
      <w:pPr>
        <w:spacing w:after="0" w:line="1" w:lineRule="exact"/>
        <w:rPr>
          <w:rFonts w:ascii="Arial" w:cs="Arial" w:eastAsia="Arial" w:hAnsi="Arial"/>
          <w:sz w:val="18"/>
          <w:szCs w:val="18"/>
          <w:color w:val="auto"/>
        </w:rPr>
      </w:pPr>
    </w:p>
    <w:p>
      <w:pPr>
        <w:ind w:left="640" w:right="660" w:hanging="436"/>
        <w:spacing w:after="0" w:line="281"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the social benefits paid by us on behalf of the employees, including convalescence pay, contributions made by the company to an insurance policy or a pension fund, work disability insurance, life insurance, medical insurance, and payments for social security.</w:t>
      </w:r>
    </w:p>
    <w:p>
      <w:pPr>
        <w:spacing w:after="0" w:line="1" w:lineRule="exact"/>
        <w:rPr>
          <w:rFonts w:ascii="Arial" w:cs="Arial" w:eastAsia="Arial" w:hAnsi="Arial"/>
          <w:sz w:val="16"/>
          <w:szCs w:val="16"/>
          <w:color w:val="auto"/>
        </w:rPr>
      </w:pPr>
    </w:p>
    <w:p>
      <w:pPr>
        <w:ind w:left="640" w:right="10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$14,625 of fees for services as a member of the Board of Directors in 2018 and $1,237,999 of certain expenses incurred by the Company in connection with the previously disclosed dispute between management and former Company directors.</w:t>
      </w:r>
    </w:p>
    <w:p>
      <w:pPr>
        <w:ind w:left="640" w:right="20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certain expenses incurred by the Company in connection with the previously disclosed dispute between management and former Company directors.</w:t>
      </w:r>
    </w:p>
    <w:p>
      <w:pPr>
        <w:ind w:left="640" w:right="88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$8,585 of director fees and share based payments from options to purchase 32,500 shares under the Company’s 2018 plan for Mr. Sassine’s service as a member of the Board of Directors.</w:t>
      </w:r>
    </w:p>
    <w:p>
      <w:pPr>
        <w:ind w:left="640" w:right="4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Sassine served as the Company’s Interim Chief Financial Officer from August 24, 2018 through December 31, 2018 and received options to purchase 20,000 of the Company’s shares of common stock (“Interim CFO Grant”). As of January 1, 2019, Mr. Sassine was appointed the Company’s Chief Financial Officer and was granted options to purchase 100,000 shares of the Company’s common stock. The unvested portion of the Interim CFO Grant was cancelled on January 1, 2019.</w:t>
      </w:r>
    </w:p>
    <w:p>
      <w:pPr>
        <w:spacing w:after="0" w:line="1" w:lineRule="exact"/>
        <w:rPr>
          <w:rFonts w:ascii="Arial" w:cs="Arial" w:eastAsia="Arial" w:hAnsi="Arial"/>
          <w:sz w:val="18"/>
          <w:szCs w:val="18"/>
          <w:color w:val="auto"/>
        </w:rPr>
      </w:pPr>
    </w:p>
    <w:p>
      <w:pPr>
        <w:ind w:left="640" w:right="42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Herbert served as our interim President from February 2018 until his resignation on May 29, 2018. Salary figure represents Mr. Herbert’s salary upon resignation.</w:t>
      </w: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severance payments made to Mr. Herbert.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The base salaries of our named executive officers, as applicable, is generally determined and approved by our board of directors, based on the recommendation of the compensation committee.</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Mr. Payne’s annual base salary for 2018 and 2017 was $425,000 and $384,000. In February 2019, our Board approved the grant to Mr. Payne of options to purchase 60,000 shares of the Company’s common stock and an increase in his annual base salary to $450,000. The option grant was subject to approval of the shareholders under Israeli law and although such approval is no longer necessary under Delaware law, will be deemed approved by the stockholders of the Company upon the approval of Proposal No. 2.</w:t>
      </w:r>
    </w:p>
    <w:p>
      <w:pPr>
        <w:sectPr>
          <w:pgSz w:w="11900" w:h="16838" w:orient="portrait"/>
          <w:cols w:equalWidth="0" w:num="1">
            <w:col w:w="11240"/>
          </w:cols>
          <w:pgMar w:left="240" w:top="459" w:right="419" w:bottom="1440" w:gutter="0" w:footer="0" w:header="0"/>
        </w:sectPr>
      </w:pP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Dr. Chivukula’s annual base salary for 2018 and 2017 was $350,000 and $335,000. In February 2019, Dr. Chivukula received options to purchase 40,000 shares of the Company’s common stock and his annual base salary was changed to $370,000.</w:t>
      </w:r>
    </w:p>
    <w:p>
      <w:pPr>
        <w:spacing w:after="0" w:line="17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Mr. Sassine’s annual base salary for 2018 was $120,000 as the Interim Chief Financial Officer. In December 2018, effective January 2019, our Board approved the grant of options to Mr. Sassine to purchase 100,000 shares of the Company’s common stock as well as an increase in Mr. Sassine’s annual base salary to $375,000. The option grant was subject to approval of the shareholders under Israeli law and although such approval is no longer necessary under Delaware law, will be deemed approved by the stockholders of the Company upon the approval of Proposal No. 2.</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terms for Mr. Payne and Dr. Chivukula with respect to 2018 annual bonuses are summarized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Payne Annual Bonus:</w:t>
      </w:r>
    </w:p>
    <w:p>
      <w:pPr>
        <w:spacing w:after="0" w:line="117"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An annual bonus of up to 60% of Mr. Payne’s Annual Base Salary. For fiscal year 2018, the “Annual Base Salary” shall be calculated based on a base salary of $384,000 through July 4, 2018 and a base salary of $425,000 from July 5 to the end of the bonus period. The bonus shall be subject to the achievement of certain criteria for each 12 month-period (or such shorter or longer period determined by the Compensation Committee and the Board of Directors), as determined by the Compensation Committee and Board of Directors, in accordance with the Company’s Amended and Restated Compensation Policy as previously approved by shareholders in accordance with the Israeli Companies Law (the “Company Compensation Policy”). The Board of Directors and the Compensation Committee may determine that Mr. Payne shall be entitled to certain portion(s) of the bonus upon partial achievement of the criteria and that the bonus shall be conditioned upon the achievement of a minimum threshold of the criteria. The Board of Directors and the Compensation Committee may further determine that in the event that Mr. Payne’s employment terminates prior to the end of a</w:t>
      </w:r>
    </w:p>
    <w:p>
      <w:pPr>
        <w:spacing w:after="0" w:line="1"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full 12-month period, he shall be entitled to the relative portion of the bonus, based on the actual employment term during the 12-month period and the Board of Directors’ assessment of actual performance at the end of the bonus performance period.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Dr. Chivukula Annual Bonus:</w:t>
      </w:r>
    </w:p>
    <w:p>
      <w:pPr>
        <w:spacing w:after="0" w:line="117"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An annual bonus of up to 40% of the Annual Base Salary. The bonus shall be subject to the achievement of certain criteria for each 12 month-period (or such shorter or longer period determined by the Compensation Committee and the Board of Directors), as shall be determined by the Compensation Committee and the Board of Directors, in accordance with the Company’s Compensation Policy. The Board of Directors and the Compensation Committee may determine that Dr. Chivukula be entitled to certain portion(s) of the bonus upon partial achievement of the criteria and that the bonus shall be conditioned upon the achievement of a minimum threshold of the criteria. The Board and the Compensation Committee may further determine that in the event that Dr. Chivukula’s employment terminates prior to the end of a full 12-month period, he shall be entitled to the relative portion of the bonus, based on the actual employment term during the 12-month period and the Board of Directors’ assessment of actual performance at the end of the bonus performance period.</w:t>
      </w:r>
    </w:p>
    <w:p>
      <w:pPr>
        <w:spacing w:after="0" w:line="19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In 2018, Mr. Payne received a 2018 annual bonus equal to 60% of the compensation payable from January 1, 2018 to year end, and Dr. Chivukula received a 2018 annual bonus equal to 40% of the compensation in fact paid from May 29, 2018 to year end.</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Under the Company’s Compensation Policy, the Company is permitted to grant an annual cash bonus to the Chief Executive Officer and the Company’s chief officers and those performing management functions directly subordinate to the Company’s Chief Executive Officer (the “Senior Staff”), as part of their compensation package, according to measurable and qualitative criteria, subject to the parameters set forth in the Company’s Compensation Policy, with the specific parameters for the Senior Staff determined by the Chief Executive Officer and the parameters for the Chief Executive Officer determined by the Chairman of the Board and the Company’s Compensation Committee.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Our equity-based incentive awards are designed to align our interests with those of our employees and consultants, including our named executive officers. Our Board of Directors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 We have traditionally granted stock options to our named executive officers under our equity incentive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Agreements With Our Named Executive Officers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Joseph E. Payne</w:t>
      </w:r>
    </w:p>
    <w:p>
      <w:pPr>
        <w:spacing w:after="0" w:line="12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On June 13, 2019, we entered into an Employment Agreement (the “Payne Agreement”) with Joseph E. Payne, our President and Chief Executive Officer. The Payne Agreement provides for the following compensation and benefits to Mr. Payne:</w:t>
      </w:r>
    </w:p>
    <w:p>
      <w:pPr>
        <w:spacing w:after="0" w:line="76"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base salary of $450,000, paid in bi-monthly installments.</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bonus of up to 60% of annual base salary. The bonus will be subject to the achievement of certain criteria, as determined by the Board of Directors and compensation committee.</w:t>
      </w:r>
    </w:p>
    <w:p>
      <w:pPr>
        <w:spacing w:after="0" w:line="75"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Mr. Payne in connection with his service as President and Chief Executive Officer.</w:t>
      </w:r>
    </w:p>
    <w:p>
      <w:pPr>
        <w:spacing w:after="0" w:line="75" w:lineRule="exact"/>
        <w:rPr>
          <w:rFonts w:ascii="Arial" w:cs="Arial" w:eastAsia="Arial" w:hAnsi="Arial"/>
          <w:sz w:val="18"/>
          <w:szCs w:val="18"/>
          <w:color w:val="auto"/>
        </w:rPr>
      </w:pPr>
    </w:p>
    <w:p>
      <w:pPr>
        <w:ind w:left="1180" w:right="60" w:hanging="436"/>
        <w:spacing w:after="0" w:line="276" w:lineRule="auto"/>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the Company, Mr. Payne will be entitled to receive (i) severance pay in the form of continuation of payment installments of Mr. Payne’s final base salary for 12 months, (ii) a pro rata portion of his annual bonus (as calculated by the compensation committee and Board of Directors at the end of the bonus period and paid in a lump sum when annual bonuses are paid to other executive officers), and (iii) payment of certain health insurance coverage premiums (COBRA) for up to 18 months following his termination of employment.</w:t>
      </w:r>
    </w:p>
    <w:p>
      <w:pPr>
        <w:spacing w:after="0" w:line="77" w:lineRule="exact"/>
        <w:rPr>
          <w:rFonts w:ascii="Arial" w:cs="Arial" w:eastAsia="Arial" w:hAnsi="Arial"/>
          <w:sz w:val="17"/>
          <w:szCs w:val="17"/>
          <w:color w:val="auto"/>
        </w:rPr>
      </w:pPr>
    </w:p>
    <w:p>
      <w:pPr>
        <w:ind w:left="1180" w:right="20" w:hanging="436"/>
        <w:spacing w:after="0" w:line="291"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termination without cause or resignation for good reason in connection with a change in control of the Company, Mr. Payne will be entitled to receive a lump sum severance payment equal to (i) one year’s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Andy Sassine</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On June 13, 2019, we entered into an Employment Agreement (the “Sassine Agreement”) with Andy Sassine, our Chief Financial Officer. The Sassine Agreement provides for the following compensation and benefits to Mr. Sassine:</w:t>
      </w:r>
    </w:p>
    <w:p>
      <w:pPr>
        <w:spacing w:after="0" w:line="7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base salary of $375,000, paid in bi-monthly installments.</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of Directors and compensation committee.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Reimbursement of travel and other expenses incurred by Mr. Sassine in connection with his service as Chief Financial Officer.</w:t>
      </w:r>
    </w:p>
    <w:p>
      <w:pPr>
        <w:spacing w:after="0" w:line="142" w:lineRule="exact"/>
        <w:rPr>
          <w:rFonts w:ascii="Arial" w:cs="Arial" w:eastAsia="Arial" w:hAnsi="Arial"/>
          <w:sz w:val="17"/>
          <w:szCs w:val="17"/>
          <w:color w:val="auto"/>
        </w:rPr>
      </w:pPr>
    </w:p>
    <w:p>
      <w:pPr>
        <w:ind w:left="1180" w:right="20" w:hanging="436"/>
        <w:spacing w:after="0" w:line="276"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the Company, Mr. Sassine will be entitled to receive (i) severance pay in the form of continuation of payment installments of Mr. Sassine’s final base salary for 9 months, (ii) a pro rata portion of his annual bonus (as calculated by the compensation committee and Board of Directors at the end of the bonus period and paid in a lump sum when annual bonuses are paid to other executive officers), and (iii) payment of certain health insurance coverage premiums (COBRA) for up to 9 months following his termination of employment.</w:t>
      </w:r>
    </w:p>
    <w:p>
      <w:pPr>
        <w:spacing w:after="0" w:line="77" w:lineRule="exact"/>
        <w:rPr>
          <w:rFonts w:ascii="Arial" w:cs="Arial" w:eastAsia="Arial" w:hAnsi="Arial"/>
          <w:sz w:val="17"/>
          <w:szCs w:val="17"/>
          <w:color w:val="auto"/>
        </w:rPr>
      </w:pPr>
    </w:p>
    <w:p>
      <w:pPr>
        <w:ind w:left="1180" w:right="20" w:hanging="436"/>
        <w:spacing w:after="0" w:line="291"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termination without cause or resignation for good reason in connection with a change in control of the Company,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 Padmanabh Chivukula</w:t>
      </w:r>
    </w:p>
    <w:p>
      <w:pPr>
        <w:spacing w:after="0" w:line="121"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On June 13, 2019, we entered into an Employment Agreement (the “Chivukula Agreement”) with Dr. Padmanabh Chivukula, the Company’s Chief Scientific Officer and Chief Operating Officer. The Chivukula Agreement provides for the following compensation and benefits to Dr. Chivukula:</w:t>
      </w:r>
    </w:p>
    <w:p>
      <w:pPr>
        <w:spacing w:after="0" w:line="29"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base salary of $370,000, paid in bi-monthly installments.</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of Directors and compensation committee.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Dr. Chivukula in connection with his service as Chief Scientific Officer and Chief Operating Officer.</w:t>
      </w:r>
    </w:p>
    <w:p>
      <w:pPr>
        <w:spacing w:after="0" w:line="75" w:lineRule="exact"/>
        <w:rPr>
          <w:rFonts w:ascii="Arial" w:cs="Arial" w:eastAsia="Arial" w:hAnsi="Arial"/>
          <w:sz w:val="18"/>
          <w:szCs w:val="18"/>
          <w:color w:val="auto"/>
        </w:rPr>
      </w:pPr>
    </w:p>
    <w:p>
      <w:pPr>
        <w:ind w:left="1180" w:right="20" w:hanging="436"/>
        <w:spacing w:after="0" w:line="276"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the Company, Dr. Chivukula will be entitled to receive (i)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77" w:lineRule="exact"/>
        <w:rPr>
          <w:rFonts w:ascii="Arial" w:cs="Arial" w:eastAsia="Arial" w:hAnsi="Arial"/>
          <w:sz w:val="17"/>
          <w:szCs w:val="17"/>
          <w:color w:val="auto"/>
        </w:rPr>
      </w:pPr>
    </w:p>
    <w:p>
      <w:pPr>
        <w:jc w:val="both"/>
        <w:ind w:left="1180" w:hanging="436"/>
        <w:spacing w:after="0" w:line="288"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termination without cause or resignation for good reason in connection with a change in control of the Company,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w:t>
      </w:r>
    </w:p>
    <w:p>
      <w:pPr>
        <w:ind w:left="1180" w:right="160"/>
        <w:spacing w:after="0" w:line="253" w:lineRule="auto"/>
        <w:rPr>
          <w:rFonts w:ascii="Arial" w:cs="Arial" w:eastAsia="Arial" w:hAnsi="Arial"/>
          <w:sz w:val="16"/>
          <w:szCs w:val="16"/>
          <w:color w:val="auto"/>
        </w:rPr>
      </w:pPr>
      <w:r>
        <w:rPr>
          <w:rFonts w:ascii="Arial" w:cs="Arial" w:eastAsia="Arial" w:hAnsi="Arial"/>
          <w:sz w:val="18"/>
          <w:szCs w:val="18"/>
          <w:color w:val="auto"/>
        </w:rPr>
        <w:t>Dr. Chivukula will also be entitled to payment of certain health insurance coverage premiums (COBRA) for up to eighteen (18)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 for Fiscal 2018</w:t>
      </w:r>
    </w:p>
    <w:p>
      <w:pPr>
        <w:spacing w:after="0" w:line="121"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The following table sets forth certain information regarding all outstanding equity awards held by our named executive officers as of December 31, 2018. None of the outstanding equity awards shown in the table below have been exercised or forfeited as of December 31, 2018.</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180" w:type="dxa"/>
            <w:vAlign w:val="bottom"/>
            <w:gridSpan w:val="2"/>
          </w:tcPr>
          <w:p>
            <w:pPr>
              <w:jc w:val="center"/>
              <w:ind w:left="2336"/>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36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34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300" w:type="dxa"/>
            <w:vAlign w:val="bottom"/>
            <w:gridSpan w:val="2"/>
          </w:tcPr>
          <w:p>
            <w:pPr>
              <w:jc w:val="center"/>
              <w:ind w:left="316"/>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360" w:type="dxa"/>
            <w:vAlign w:val="bottom"/>
            <w:gridSpan w:val="4"/>
          </w:tcPr>
          <w:p>
            <w:pPr>
              <w:ind w:left="400"/>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Payne</w:t>
            </w:r>
          </w:p>
        </w:tc>
        <w:tc>
          <w:tcPr>
            <w:tcW w:w="2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120,000</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8.00</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Dr. Chivukula</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8.00</w:t>
            </w:r>
          </w:p>
        </w:tc>
        <w:tc>
          <w:tcPr>
            <w:tcW w:w="42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Sassine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8.00</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8/23/2028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our named executive officers participate in or have account balances in qualified or non-qualified defined benefit plans sponsored by us.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Perquisites, Health, Welfare and Retirement Benefits</w:t>
      </w:r>
    </w:p>
    <w:p>
      <w:pPr>
        <w:spacing w:after="0" w:line="12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“401(k) Plan.”</w:t>
      </w:r>
    </w:p>
    <w:p>
      <w:pPr>
        <w:spacing w:after="0" w:line="57"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We generally do not provide perquisites or personal benefits to our named executive officers, except in limited circumstances and as noted in the Summary Compensation Table above. Our Board of Directors may elect to adopt qualified or non-qualified benefit plans in the future if it determines that doing so is in our best interests.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do not make matching contributions into the plan.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as of December 31, 2018 with respect to the Company’s equity compensation plans: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00" w:type="dxa"/>
            <w:vAlign w:val="bottom"/>
            <w:gridSpan w:val="2"/>
          </w:tcPr>
          <w:p>
            <w:pPr>
              <w:jc w:val="center"/>
              <w:ind w:left="439"/>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20" w:type="dxa"/>
            <w:vAlign w:val="bottom"/>
            <w:gridSpan w:val="3"/>
          </w:tcPr>
          <w:p>
            <w:pPr>
              <w:jc w:val="center"/>
              <w:ind w:left="539"/>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720" w:type="dxa"/>
            <w:vAlign w:val="bottom"/>
            <w:gridSpan w:val="3"/>
          </w:tcPr>
          <w:p>
            <w:pPr>
              <w:jc w:val="center"/>
              <w:ind w:left="576"/>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68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4"/>
              </w:rPr>
              <w:t>Outstanding</w:t>
            </w:r>
          </w:p>
        </w:tc>
        <w:tc>
          <w:tcPr>
            <w:tcW w:w="68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Options,</w:t>
            </w:r>
          </w:p>
        </w:tc>
        <w:tc>
          <w:tcPr>
            <w:tcW w:w="68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68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Rights</w:t>
            </w:r>
          </w:p>
        </w:tc>
        <w:tc>
          <w:tcPr>
            <w:tcW w:w="68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 Column a)</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23"/>
              <w:spacing w:after="0" w:line="158" w:lineRule="exact"/>
              <w:rPr>
                <w:sz w:val="20"/>
                <w:szCs w:val="20"/>
                <w:color w:val="auto"/>
              </w:rPr>
            </w:pPr>
            <w:r>
              <w:rPr>
                <w:rFonts w:ascii="Arial" w:cs="Arial" w:eastAsia="Arial" w:hAnsi="Arial"/>
                <w:sz w:val="14"/>
                <w:szCs w:val="14"/>
                <w:b w:val="1"/>
                <w:bCs w:val="1"/>
                <w:color w:val="auto"/>
              </w:rPr>
              <w:t>(b)</w:t>
            </w:r>
          </w:p>
        </w:tc>
        <w:tc>
          <w:tcPr>
            <w:tcW w:w="680" w:type="dxa"/>
            <w:vAlign w:val="bottom"/>
          </w:tcPr>
          <w:p>
            <w:pPr>
              <w:spacing w:after="0"/>
              <w:rPr>
                <w:sz w:val="13"/>
                <w:szCs w:val="13"/>
                <w:color w:val="auto"/>
              </w:rPr>
            </w:pP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5"/>
                <w:szCs w:val="15"/>
                <w:color w:val="auto"/>
              </w:rPr>
              <w:t>(1)</w:t>
            </w: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1,189,433</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7.41</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54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1,189,433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line="308"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number of securities to be issued upon exercise of outstanding awards reflected in column (a) is from the 2010 and 2018 plans. The number of securities remaining available for future issuance under equity compensation plans reflected in column (c) is from the 2018 Plan.</w:t>
      </w:r>
    </w:p>
    <w:p>
      <w:pPr>
        <w:sectPr>
          <w:pgSz w:w="11900" w:h="16838" w:orient="portrait"/>
          <w:cols w:equalWidth="0" w:num="1">
            <w:col w:w="11220"/>
          </w:cols>
          <w:pgMar w:left="240" w:top="459" w:right="439" w:bottom="1440" w:gutter="0" w:footer="0" w:header="0"/>
        </w:sectPr>
      </w:pP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compensation committee has reviewed and discussed the foregoing “Executive Compensation” section of this proxy statement with management. Based on this review and discussion, the compensation committee recommended to our Board of Directors that such information be included in this proxy statement.</w:t>
      </w:r>
    </w:p>
    <w:p>
      <w:pPr>
        <w:spacing w:after="0" w:line="18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24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PERSON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Ultragenyx Agreement</w:t>
      </w:r>
    </w:p>
    <w:p>
      <w:pPr>
        <w:spacing w:after="0" w:line="11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On June 18, 2019, we entered into an equity purchase agreement (the “Equity Agreement”) with Ultragenyx pursuant to which we sold an aggregate of 2,400,000 shares of our common stock at a price of $10.00 per share to Ultragenyx on June 19, 2019 and granted to Ultragenyx a two year option to purchase up to 600,000 additional shares of our common stock at a price of $16.00 per share.</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Pursuant to the terms of the Equity Agreement, until the later of (i) June 19, 2020 or (ii) the date on which Ultragenyx beneficially owns less than 8.0% of our total voting power, at each annual stockholders meeting or any stockholders meeting at which members of the Board of Directors are to be elected we must nominate one director designated by Ultragenyx (the “Ultragenyx Designee”). Additionally, the Ultragenyx Designee is required to be appointed to all Board committees (subject to applicable Nasdaq rules). Ultragenyx also has the right to have a designee attend Board meetings as a non-voting observer. Our director Karah Parschauer is the initial Ultragenyx Designee.</w:t>
      </w:r>
    </w:p>
    <w:p>
      <w:pPr>
        <w:spacing w:after="0" w:line="173"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Also on June 18, 2019, we and Ultragenyx entered into a Third Amendment (the “Amendment”), to the Research Collaboration and License Agreement, dated October 26, 2015, as amended on October 17, 2017 and April 20, 2018. The Amendment expands the collaboration between us and Ultragenyx to cover additional nucleic acid modalities including mRNA, DNA, siRNA therapeutics. The Amendment also expands the existing intellectual property license to cover manufacturing patents and know-how. The Amendment provides Ultragenyx with the right to identify a total of ten rare disease targets to be reserved for future collaborative development with us, which expands this program from 8 to 10 total reserved rare disease targets. The Amendment also clarifies certain obligations of us and Ultragenyx with respect to manufacturing cooperation and data sharing.</w:t>
      </w:r>
    </w:p>
    <w:p>
      <w:pPr>
        <w:spacing w:after="0" w:line="165"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auto"/>
        </w:rPr>
        <w:t>The Amendment also eliminated certain target exercise payments, exclusivity extension fees and optimization milestone payments that were previously required to be paid by Ultragenyx to exercise options and extend reserve target exclusivity. In connection with the Amendment, Ultragenyx will make a one-time payment us of $6,000,000. Finally, the Amendment narrowed the terms under which a royalty or milestone payment that may be required to be paid by Ultragenyx could be reduced based on our and third parties’ intellectual property coverage over a developed product.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Providence Agreement</w:t>
      </w:r>
    </w:p>
    <w:p>
      <w:pPr>
        <w:spacing w:after="0" w:line="117"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During 2016, we entered into a Research Collaboration and License Agreement with a related party, Providence Therapeutics, Inc., or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a percentage of future product revenue of each product provided the Company shares in the same percentage of the product’s post Phase 2 costs. Separately, Providence has agreed to pay a specified rate for the use of the Company’s employees. For the years ended December 31, 2018 and 2017, the Company has recognized $0.6 million and $1.0 million, respectively, in revenue related to the amortization of the upfront payment and revenue related to the use of Company employees and expense reimbursements. There was no outstanding accounts receivable balance related to this agreement as of December 31,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 As of December 31, 2018, the President and CEO of Providence held a 6.4% ownership interest in the Company.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Since our inception we have granted options to purchase shares of our common stock to our officers and certain of our directors. Such option agreements may contain acceleration provisions upon certain merger, acquisition, or change of control transactions. See Note 11 of our Notes to Consolidated Financial Statements for additional information.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Agreements and Insurance Coverage</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Delaware law. We have entered into indemnification agreements with each of our directors and other office holders, undertaking to indemnify them to the fullest extent permitted by Delaware law. We have also obtained Directors’ &amp; Officers’ insurance for each of our officers and directors.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Previously Disclosed Litigation in Israel and California and California Arbitration</w:t>
      </w:r>
    </w:p>
    <w:p>
      <w:pPr>
        <w:spacing w:after="0" w:line="11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On May 27, 2018, we entered into an Agreement and Release with former directors Stuart Collinson, Craig Willett, Daniel Geffken, David Shapiro (the “Resigning Directors”), and current director Joseph Payne. The settlement agreement was approved by the Israeli District Court on May 28, 2018 and the Company’s shareholders at its July 2018 extraordinary general meeting. Pursuant to the settlement agreement, all of the lawsuits and the arbitration resulting from disputes among the Company and certain of its directors were terminated.</w:t>
      </w:r>
    </w:p>
    <w:p>
      <w:pPr>
        <w:spacing w:after="0" w:line="18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In addition, pursuant to the settlement agreement, the Resigning Directors resigned from the Company’s Board of Directors and from any other position in the Company, the Company agreed to vest the unvested shares of restricted stock owned by one Resigning Director, the Company agreed to maintain in effect the Company’s existing directors’ and officers’ insurance policies on the same or better terms and the Company agreed to purchase a directors and officers “tail” insurance policy covering all current and former directors and officers for any acts or events occurring prior to the effective date of the settlement agreement for a period of at least six years. The Company also agreed to reimburse each of Mr. Payne and Dr. Chivukula for all of their respective reasonable fees and expenses incurred in connection with the pending litigation identified above and the entry into the settlement agreement.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September 30, 2019 by:</w:t>
      </w:r>
    </w:p>
    <w:p>
      <w:pPr>
        <w:spacing w:after="0" w:line="131"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September 30, 2019,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15,125,293 shares of common stock outstanding as of September 30, 2019.</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common stock as of September 30, 2019, or a different date, if so provided in the table below or footnotes thereof.</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According to our transfer agent, as of September 30, 2019, there were 24 record holders of our common stock, one of which (Cede &amp; Co., the nominee of the Depositary Trust Company) is a U.S. holder holding 67% of our outstanding common stock. The number of record holders in the United States is not representative of the number of beneficial holders nor is it representative of where such beneficial holders are resident since many of these shares of common stock are beneficially held by brokers or other nominees on behalf of their clients. None of our stockholders has different voting rights from other stockholders.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Shares of Common Stock Beneficially Owned</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7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5% or Greater Stockholders</w:t>
            </w: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29"/>
        </w:trPr>
        <w:tc>
          <w:tcPr>
            <w:tcW w:w="6260" w:type="dxa"/>
            <w:vAlign w:val="bottom"/>
            <w:gridSpan w:val="3"/>
            <w:vMerge w:val="continue"/>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Number</w:t>
            </w:r>
          </w:p>
        </w:tc>
        <w:tc>
          <w:tcPr>
            <w:tcW w:w="11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Ultragenyx Pharmaceutical Inc.</w:t>
            </w:r>
            <w:r>
              <w:rPr>
                <w:rFonts w:ascii="Arial" w:cs="Arial" w:eastAsia="Arial" w:hAnsi="Arial"/>
                <w:sz w:val="15"/>
                <w:szCs w:val="15"/>
                <w:color w:val="auto"/>
              </w:rPr>
              <w:t>(1)</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3,000,000</w:t>
            </w: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ARK Investment Management LLC</w:t>
            </w:r>
            <w:r>
              <w:rPr>
                <w:rFonts w:ascii="Arial" w:cs="Arial" w:eastAsia="Arial" w:hAnsi="Arial"/>
                <w:sz w:val="15"/>
                <w:szCs w:val="15"/>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1,004,368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Willett</w:t>
            </w:r>
            <w:r>
              <w:rPr>
                <w:rFonts w:ascii="Arial" w:cs="Arial" w:eastAsia="Arial" w:hAnsi="Arial"/>
                <w:sz w:val="15"/>
                <w:szCs w:val="15"/>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866,342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E. Payne</w:t>
            </w:r>
            <w:r>
              <w:rPr>
                <w:rFonts w:ascii="Arial" w:cs="Arial" w:eastAsia="Arial" w:hAnsi="Arial"/>
                <w:sz w:val="15"/>
                <w:szCs w:val="15"/>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1,511,597</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Andy Sassine</w:t>
            </w:r>
            <w:r>
              <w:rPr>
                <w:rFonts w:ascii="Arial" w:cs="Arial" w:eastAsia="Arial" w:hAnsi="Arial"/>
                <w:sz w:val="15"/>
                <w:szCs w:val="15"/>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276,346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Padmanabh Chivukula</w:t>
            </w:r>
            <w:r>
              <w:rPr>
                <w:rFonts w:ascii="Arial" w:cs="Arial" w:eastAsia="Arial" w:hAnsi="Arial"/>
                <w:sz w:val="15"/>
                <w:szCs w:val="15"/>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757,548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Peter C Farrell</w:t>
            </w:r>
            <w:r>
              <w:rPr>
                <w:rFonts w:ascii="Arial" w:cs="Arial" w:eastAsia="Arial" w:hAnsi="Arial"/>
                <w:sz w:val="15"/>
                <w:szCs w:val="15"/>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120,565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Holmes</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Magda Marquet</w:t>
            </w:r>
            <w:r>
              <w:rPr>
                <w:rFonts w:ascii="Arial" w:cs="Arial" w:eastAsia="Arial" w:hAnsi="Arial"/>
                <w:sz w:val="15"/>
                <w:szCs w:val="15"/>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47,720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Barlow</w:t>
            </w:r>
            <w:r>
              <w:rPr>
                <w:rFonts w:ascii="Arial" w:cs="Arial" w:eastAsia="Arial" w:hAnsi="Arial"/>
                <w:sz w:val="15"/>
                <w:szCs w:val="15"/>
                <w:color w:val="auto"/>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Karah Parschauer</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2,748,776</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3" w:lineRule="exact"/>
        <w:rPr>
          <w:sz w:val="20"/>
          <w:szCs w:val="20"/>
          <w:color w:val="auto"/>
        </w:rPr>
      </w:pPr>
    </w:p>
    <w:p>
      <w:pPr>
        <w:jc w:val="both"/>
        <w:ind w:left="640" w:right="2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13D filed with the SEC on June 26, 2019. Consists of (i) 2,400,000 shares and (ii) 600,000 shares currently issuable pursuant to an Equity Purchase Agreement between the Company and Ultragenyx Pharmaceutical Inc. The address of Ultragenyx Pharmaceutical Inc. is 60 Leveroni Court, Novato, California 94949.</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solely on Form 13F filed as of June 30, 2019. The address of ARK Investment Management LLC is 3 East 28</w:t>
      </w:r>
      <w:r>
        <w:rPr>
          <w:rFonts w:ascii="Arial" w:cs="Arial" w:eastAsia="Arial" w:hAnsi="Arial"/>
          <w:sz w:val="15"/>
          <w:szCs w:val="15"/>
          <w:color w:val="auto"/>
        </w:rPr>
        <w:t>th</w:t>
      </w:r>
      <w:r>
        <w:rPr>
          <w:rFonts w:ascii="Arial" w:cs="Arial" w:eastAsia="Arial" w:hAnsi="Arial"/>
          <w:sz w:val="18"/>
          <w:szCs w:val="18"/>
          <w:color w:val="auto"/>
        </w:rPr>
        <w:t xml:space="preserve"> Street, 7</w:t>
      </w:r>
      <w:r>
        <w:rPr>
          <w:rFonts w:ascii="Arial" w:cs="Arial" w:eastAsia="Arial" w:hAnsi="Arial"/>
          <w:sz w:val="15"/>
          <w:szCs w:val="15"/>
          <w:color w:val="auto"/>
        </w:rPr>
        <w:t>th</w:t>
      </w:r>
      <w:r>
        <w:rPr>
          <w:rFonts w:ascii="Arial" w:cs="Arial" w:eastAsia="Arial" w:hAnsi="Arial"/>
          <w:sz w:val="18"/>
          <w:szCs w:val="18"/>
          <w:color w:val="auto"/>
        </w:rPr>
        <w:t xml:space="preserve"> Floor, New York, NY 10016.</w:t>
      </w:r>
    </w:p>
    <w:p>
      <w:pPr>
        <w:ind w:left="640" w:right="8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13D filed with the SEC on February 7, 2018. Consists of (i) 108,282 shares held directly by Mr. Willett, (ii) 280,810 shares held by DUR Holdings, LC, (iii) 294,113 shares held by Phoenician Enterprises, Ltd., and (iv) 183,137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3"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366,274 shares are subject to repurchase by the Company. 37,500 shares exercisable are included.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28,750 option shares exercisable are included.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183,137 shares are subject to repurchase by the Company. 25,000 shares exercisable are included.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25,000 shares exercisable are included.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Based solely on our review of the copies of such forms we have received and written representations from certain reporting persons that they filed all required reports, we believe that all of our officers, directors and greater than 10% stockholders complied with all Section 16(a) filing requirements applicable to them with respect to transactions during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Year 2018 Annual Report</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 xml:space="preserve">Our financial statements for our fiscal year ended December 31, 2018 are included in our 2018 annual report, which we will make available to stockholders at the same time as this proxy statement. This proxy statement and our 2018 annual report are posted on our website at http://www.arcturusrx.com and at the website of the SEC at www.sec.gov. </w:t>
      </w:r>
      <w:r>
        <w:rPr>
          <w:rFonts w:ascii="Arial" w:cs="Arial" w:eastAsia="Arial" w:hAnsi="Arial"/>
          <w:sz w:val="18"/>
          <w:szCs w:val="18"/>
          <w:b w:val="1"/>
          <w:bCs w:val="1"/>
          <w:color w:val="auto"/>
        </w:rPr>
        <w:t>You may also obtain a copy of our 2018 annual report without charge by</w:t>
      </w:r>
      <w:r>
        <w:rPr>
          <w:rFonts w:ascii="Arial" w:cs="Arial" w:eastAsia="Arial" w:hAnsi="Arial"/>
          <w:sz w:val="18"/>
          <w:szCs w:val="18"/>
          <w:color w:val="auto"/>
        </w:rPr>
        <w:t xml:space="preserve"> </w:t>
      </w:r>
      <w:r>
        <w:rPr>
          <w:rFonts w:ascii="Arial" w:cs="Arial" w:eastAsia="Arial" w:hAnsi="Arial"/>
          <w:sz w:val="18"/>
          <w:szCs w:val="18"/>
          <w:b w:val="1"/>
          <w:bCs w:val="1"/>
          <w:color w:val="auto"/>
        </w:rPr>
        <w:t>sending a written request to us at Arcturus Therapeutics Holdings Inc., 10628 Science Center Drive, Suite 250, San Diego, California 92121, Attention: Investor Relations.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Website</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We maintain a website at http://www.arcturusrx.com. Information contained on, or that can be accessed through, our website is not intended to be incorporated by reference into this proxy statement.</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Availability of Bylaws</w:t>
      </w:r>
    </w:p>
    <w:p>
      <w:pPr>
        <w:spacing w:after="0" w:line="12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A copy of our bylaws may be obtained by accessing Arcturus’ filings on the SEC’s website at www.sec.gov. You may also contact our corporate secretary for a copy of the relevant bylaw provisions regarding the requirements for making stockholder proposals and nominating director candidates.</w:t>
      </w:r>
    </w:p>
    <w:p>
      <w:pPr>
        <w:spacing w:after="0" w:line="33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PROPOSALS OF STOCKHOLDERS FOR 2020 ANNUAL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Proposals for Inclusion in Proxy Statement</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June 2, 2020. In addition, stockholder proposals must comply with the requirements of Rule 14a-8 under the Exchange Act regarding the inclusion of stockholder proposals in company-sponsored proxy materials. Proposals should be addressed to:</w:t>
      </w: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San Diego, California 92121</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Proposals and Director Nominations Not for Inclusion in Proxy Statement</w:t>
      </w:r>
    </w:p>
    <w:p>
      <w:pPr>
        <w:spacing w:after="0" w:line="12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2020 annual meeting of stockholders, the stockholder must have given timely notice of such proposal or nomination, in proper written form. To be timely for our 2020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84"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earlier than July 17, 2020,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later than August 16, 2020.</w:t>
      </w:r>
    </w:p>
    <w:p>
      <w:pPr>
        <w:spacing w:after="0" w:line="117"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In the event that we hold our 2020 annual meeting of stockholders more than 30 days before or more than 30 days after the one-year anniversary date of the 2019 annual meeting, then such written notice must be received no later than the close of business on the later of the following two dates:</w:t>
      </w:r>
    </w:p>
    <w:p>
      <w:pPr>
        <w:spacing w:after="0" w:line="29"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17"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To be in proper written form, a stockholder’s notice must include the specified information concerning the proposal or nominee as described in our bylaws. Notices should be addressed to:</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For information on how to access our bylaws, please see the section entitled “Availability of Bylaws,” and for additional information regarding stockholder recommendations for director candidates, please see the section entitled “Requirements for Stockholder Recommendations of a Candidate to our Board.”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We know of no other matters to be submitted at the 2019 annual meeting. If any other matters properly come before the 2019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It is important that your shares be represented at the 2019 annual meeting, regardless of the number of shares that you hold. You are, therefore, urged to vote as promptly as possible to ensure your vote is recorded.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24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 * * *</w:t>
      </w: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u w:val="single" w:color="auto"/>
          <w:color w:val="auto"/>
        </w:rPr>
        <w:t>APPENDIX A</w:t>
      </w: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2019 OMNIBUS EQUITY INCENTIVE PLAN</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(Effective June 10, 2019)</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Article 1. Effective Date, Objectives and Duration</w:t>
            </w: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7380" w:type="dxa"/>
            <w:vAlign w:val="bottom"/>
            <w:gridSpan w:val="2"/>
            <w:vMerge w:val="continue"/>
          </w:tcPr>
          <w:p>
            <w:pPr>
              <w:spacing w:after="0"/>
              <w:rPr>
                <w:sz w:val="19"/>
                <w:szCs w:val="19"/>
                <w:color w:val="auto"/>
              </w:rPr>
            </w:pPr>
          </w:p>
        </w:tc>
        <w:tc>
          <w:tcPr>
            <w:tcW w:w="32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95"/>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6600" w:type="dxa"/>
            <w:vAlign w:val="bottom"/>
          </w:tcPr>
          <w:p>
            <w:pPr>
              <w:ind w:left="80"/>
              <w:spacing w:after="0"/>
              <w:rPr>
                <w:sz w:val="20"/>
                <w:szCs w:val="20"/>
                <w:color w:val="auto"/>
              </w:rPr>
            </w:pPr>
            <w:r>
              <w:rPr>
                <w:rFonts w:ascii="Arial" w:cs="Arial" w:eastAsia="Arial" w:hAnsi="Arial"/>
                <w:sz w:val="18"/>
                <w:szCs w:val="18"/>
                <w:color w:val="auto"/>
              </w:rPr>
              <w:t>Effective Date of the Plan</w:t>
            </w:r>
          </w:p>
        </w:tc>
        <w:tc>
          <w:tcPr>
            <w:tcW w:w="3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6600" w:type="dxa"/>
            <w:vAlign w:val="bottom"/>
          </w:tcPr>
          <w:p>
            <w:pPr>
              <w:ind w:left="80"/>
              <w:spacing w:after="0"/>
              <w:rPr>
                <w:sz w:val="20"/>
                <w:szCs w:val="20"/>
                <w:color w:val="auto"/>
              </w:rPr>
            </w:pPr>
            <w:r>
              <w:rPr>
                <w:rFonts w:ascii="Arial" w:cs="Arial" w:eastAsia="Arial" w:hAnsi="Arial"/>
                <w:sz w:val="18"/>
                <w:szCs w:val="18"/>
                <w:color w:val="auto"/>
              </w:rPr>
              <w:t>Objectives of the Plan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1.3</w:t>
            </w:r>
          </w:p>
        </w:tc>
        <w:tc>
          <w:tcPr>
            <w:tcW w:w="6600" w:type="dxa"/>
            <w:vAlign w:val="bottom"/>
          </w:tcPr>
          <w:p>
            <w:pPr>
              <w:ind w:left="80"/>
              <w:spacing w:after="0"/>
              <w:rPr>
                <w:sz w:val="20"/>
                <w:szCs w:val="20"/>
                <w:color w:val="auto"/>
              </w:rPr>
            </w:pPr>
            <w:r>
              <w:rPr>
                <w:rFonts w:ascii="Arial" w:cs="Arial" w:eastAsia="Arial" w:hAnsi="Arial"/>
                <w:sz w:val="18"/>
                <w:szCs w:val="18"/>
                <w:color w:val="auto"/>
              </w:rPr>
              <w:t>Duration of the Plan</w:t>
            </w:r>
          </w:p>
        </w:tc>
        <w:tc>
          <w:tcPr>
            <w:tcW w:w="3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24"/>
        </w:trPr>
        <w:tc>
          <w:tcPr>
            <w:tcW w:w="738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3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6600" w:type="dxa"/>
            <w:vAlign w:val="bottom"/>
          </w:tcPr>
          <w:p>
            <w:pPr>
              <w:ind w:left="80"/>
              <w:spacing w:after="0"/>
              <w:rPr>
                <w:sz w:val="20"/>
                <w:szCs w:val="20"/>
                <w:color w:val="auto"/>
              </w:rPr>
            </w:pPr>
            <w:r>
              <w:rPr>
                <w:rFonts w:ascii="Arial" w:cs="Arial" w:eastAsia="Arial" w:hAnsi="Arial"/>
                <w:sz w:val="18"/>
                <w:szCs w:val="18"/>
                <w:color w:val="auto"/>
              </w:rPr>
              <w:t>“Affiliate”</w:t>
            </w:r>
          </w:p>
        </w:tc>
        <w:tc>
          <w:tcPr>
            <w:tcW w:w="3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6600" w:type="dxa"/>
            <w:vAlign w:val="bottom"/>
          </w:tcPr>
          <w:p>
            <w:pPr>
              <w:ind w:left="80"/>
              <w:spacing w:after="0"/>
              <w:rPr>
                <w:sz w:val="20"/>
                <w:szCs w:val="20"/>
                <w:color w:val="auto"/>
              </w:rPr>
            </w:pPr>
            <w:r>
              <w:rPr>
                <w:rFonts w:ascii="Arial" w:cs="Arial" w:eastAsia="Arial" w:hAnsi="Arial"/>
                <w:sz w:val="18"/>
                <w:szCs w:val="18"/>
                <w:color w:val="auto"/>
              </w:rPr>
              <w:t>“Award”</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6600" w:type="dxa"/>
            <w:vAlign w:val="bottom"/>
          </w:tcPr>
          <w:p>
            <w:pPr>
              <w:ind w:left="80"/>
              <w:spacing w:after="0"/>
              <w:rPr>
                <w:sz w:val="20"/>
                <w:szCs w:val="20"/>
                <w:color w:val="auto"/>
              </w:rPr>
            </w:pPr>
            <w:r>
              <w:rPr>
                <w:rFonts w:ascii="Arial" w:cs="Arial" w:eastAsia="Arial" w:hAnsi="Arial"/>
                <w:sz w:val="18"/>
                <w:szCs w:val="18"/>
                <w:color w:val="auto"/>
              </w:rPr>
              <w:t>“Award Agreement”</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6600" w:type="dxa"/>
            <w:vAlign w:val="bottom"/>
          </w:tcPr>
          <w:p>
            <w:pPr>
              <w:ind w:left="80"/>
              <w:spacing w:after="0"/>
              <w:rPr>
                <w:sz w:val="20"/>
                <w:szCs w:val="20"/>
                <w:color w:val="auto"/>
              </w:rPr>
            </w:pPr>
            <w:r>
              <w:rPr>
                <w:rFonts w:ascii="Arial" w:cs="Arial" w:eastAsia="Arial" w:hAnsi="Arial"/>
                <w:sz w:val="18"/>
                <w:szCs w:val="18"/>
                <w:color w:val="auto"/>
              </w:rPr>
              <w:t>“Board”</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6600" w:type="dxa"/>
            <w:vAlign w:val="bottom"/>
          </w:tcPr>
          <w:p>
            <w:pPr>
              <w:ind w:left="80"/>
              <w:spacing w:after="0"/>
              <w:rPr>
                <w:sz w:val="20"/>
                <w:szCs w:val="20"/>
                <w:color w:val="auto"/>
              </w:rPr>
            </w:pPr>
            <w:r>
              <w:rPr>
                <w:rFonts w:ascii="Arial" w:cs="Arial" w:eastAsia="Arial" w:hAnsi="Arial"/>
                <w:sz w:val="18"/>
                <w:szCs w:val="18"/>
                <w:color w:val="auto"/>
              </w:rPr>
              <w:t>“Bonus Shares”</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6600" w:type="dxa"/>
            <w:vAlign w:val="bottom"/>
          </w:tcPr>
          <w:p>
            <w:pPr>
              <w:ind w:left="80"/>
              <w:spacing w:after="0"/>
              <w:rPr>
                <w:sz w:val="20"/>
                <w:szCs w:val="20"/>
                <w:color w:val="auto"/>
              </w:rPr>
            </w:pPr>
            <w:r>
              <w:rPr>
                <w:rFonts w:ascii="Arial" w:cs="Arial" w:eastAsia="Arial" w:hAnsi="Arial"/>
                <w:sz w:val="18"/>
                <w:szCs w:val="18"/>
                <w:color w:val="auto"/>
              </w:rPr>
              <w:t>“Cause”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6600" w:type="dxa"/>
            <w:vAlign w:val="bottom"/>
          </w:tcPr>
          <w:p>
            <w:pPr>
              <w:ind w:left="80"/>
              <w:spacing w:after="0"/>
              <w:rPr>
                <w:sz w:val="20"/>
                <w:szCs w:val="20"/>
                <w:color w:val="auto"/>
              </w:rPr>
            </w:pPr>
            <w:r>
              <w:rPr>
                <w:rFonts w:ascii="Arial" w:cs="Arial" w:eastAsia="Arial" w:hAnsi="Arial"/>
                <w:sz w:val="18"/>
                <w:szCs w:val="18"/>
                <w:color w:val="auto"/>
              </w:rPr>
              <w:t>“CEO”</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6600" w:type="dxa"/>
            <w:vAlign w:val="bottom"/>
          </w:tcPr>
          <w:p>
            <w:pPr>
              <w:ind w:left="80"/>
              <w:spacing w:after="0"/>
              <w:rPr>
                <w:sz w:val="20"/>
                <w:szCs w:val="20"/>
                <w:color w:val="auto"/>
              </w:rPr>
            </w:pPr>
            <w:r>
              <w:rPr>
                <w:rFonts w:ascii="Arial" w:cs="Arial" w:eastAsia="Arial" w:hAnsi="Arial"/>
                <w:sz w:val="18"/>
                <w:szCs w:val="18"/>
                <w:color w:val="auto"/>
              </w:rPr>
              <w:t>“Change in Control”</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6600" w:type="dxa"/>
            <w:vAlign w:val="bottom"/>
          </w:tcPr>
          <w:p>
            <w:pPr>
              <w:ind w:left="80"/>
              <w:spacing w:after="0"/>
              <w:rPr>
                <w:sz w:val="20"/>
                <w:szCs w:val="20"/>
                <w:color w:val="auto"/>
              </w:rPr>
            </w:pPr>
            <w:r>
              <w:rPr>
                <w:rFonts w:ascii="Arial" w:cs="Arial" w:eastAsia="Arial" w:hAnsi="Arial"/>
                <w:sz w:val="18"/>
                <w:szCs w:val="18"/>
                <w:color w:val="auto"/>
              </w:rPr>
              <w:t>“Code”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6600" w:type="dxa"/>
            <w:vAlign w:val="bottom"/>
          </w:tcPr>
          <w:p>
            <w:pPr>
              <w:ind w:left="80"/>
              <w:spacing w:after="0"/>
              <w:rPr>
                <w:sz w:val="20"/>
                <w:szCs w:val="20"/>
                <w:color w:val="auto"/>
              </w:rPr>
            </w:pPr>
            <w:r>
              <w:rPr>
                <w:rFonts w:ascii="Arial" w:cs="Arial" w:eastAsia="Arial" w:hAnsi="Arial"/>
                <w:sz w:val="18"/>
                <w:szCs w:val="18"/>
                <w:color w:val="auto"/>
              </w:rPr>
              <w:t>“Committee” or “Incentive Plan Committee”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6600" w:type="dxa"/>
            <w:vAlign w:val="bottom"/>
          </w:tcPr>
          <w:p>
            <w:pPr>
              <w:ind w:left="80"/>
              <w:spacing w:after="0"/>
              <w:rPr>
                <w:sz w:val="20"/>
                <w:szCs w:val="20"/>
                <w:color w:val="auto"/>
              </w:rPr>
            </w:pPr>
            <w:r>
              <w:rPr>
                <w:rFonts w:ascii="Arial" w:cs="Arial" w:eastAsia="Arial" w:hAnsi="Arial"/>
                <w:sz w:val="18"/>
                <w:szCs w:val="18"/>
                <w:color w:val="auto"/>
              </w:rPr>
              <w:t>“Compensation Committee”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2.12</w:t>
            </w:r>
          </w:p>
        </w:tc>
        <w:tc>
          <w:tcPr>
            <w:tcW w:w="660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2.13</w:t>
            </w:r>
          </w:p>
        </w:tc>
        <w:tc>
          <w:tcPr>
            <w:tcW w:w="6600" w:type="dxa"/>
            <w:vAlign w:val="bottom"/>
          </w:tcPr>
          <w:p>
            <w:pPr>
              <w:ind w:left="80"/>
              <w:spacing w:after="0"/>
              <w:rPr>
                <w:sz w:val="20"/>
                <w:szCs w:val="20"/>
                <w:color w:val="auto"/>
              </w:rPr>
            </w:pPr>
            <w:r>
              <w:rPr>
                <w:rFonts w:ascii="Arial" w:cs="Arial" w:eastAsia="Arial" w:hAnsi="Arial"/>
                <w:sz w:val="18"/>
                <w:szCs w:val="18"/>
                <w:color w:val="auto"/>
              </w:rPr>
              <w:t>“Corporate Transaction”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2.14</w:t>
            </w:r>
          </w:p>
        </w:tc>
        <w:tc>
          <w:tcPr>
            <w:tcW w:w="6600" w:type="dxa"/>
            <w:vAlign w:val="bottom"/>
          </w:tcPr>
          <w:p>
            <w:pPr>
              <w:ind w:left="80"/>
              <w:spacing w:after="0"/>
              <w:rPr>
                <w:sz w:val="20"/>
                <w:szCs w:val="20"/>
                <w:color w:val="auto"/>
              </w:rPr>
            </w:pPr>
            <w:r>
              <w:rPr>
                <w:rFonts w:ascii="Arial" w:cs="Arial" w:eastAsia="Arial" w:hAnsi="Arial"/>
                <w:sz w:val="18"/>
                <w:szCs w:val="18"/>
                <w:color w:val="auto"/>
              </w:rPr>
              <w:t>“Deferred Stock”</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2.15</w:t>
            </w:r>
          </w:p>
        </w:tc>
        <w:tc>
          <w:tcPr>
            <w:tcW w:w="6600" w:type="dxa"/>
            <w:vAlign w:val="bottom"/>
          </w:tcPr>
          <w:p>
            <w:pPr>
              <w:ind w:left="80"/>
              <w:spacing w:after="0"/>
              <w:rPr>
                <w:sz w:val="20"/>
                <w:szCs w:val="20"/>
                <w:color w:val="auto"/>
              </w:rPr>
            </w:pPr>
            <w:r>
              <w:rPr>
                <w:rFonts w:ascii="Arial" w:cs="Arial" w:eastAsia="Arial" w:hAnsi="Arial"/>
                <w:sz w:val="18"/>
                <w:szCs w:val="18"/>
                <w:color w:val="auto"/>
              </w:rPr>
              <w:t>“Disability” or “Disabled”</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2.16</w:t>
            </w:r>
          </w:p>
        </w:tc>
        <w:tc>
          <w:tcPr>
            <w:tcW w:w="6600" w:type="dxa"/>
            <w:vAlign w:val="bottom"/>
          </w:tcPr>
          <w:p>
            <w:pPr>
              <w:ind w:left="80"/>
              <w:spacing w:after="0"/>
              <w:rPr>
                <w:sz w:val="20"/>
                <w:szCs w:val="20"/>
                <w:color w:val="auto"/>
              </w:rPr>
            </w:pPr>
            <w:r>
              <w:rPr>
                <w:rFonts w:ascii="Arial" w:cs="Arial" w:eastAsia="Arial" w:hAnsi="Arial"/>
                <w:sz w:val="18"/>
                <w:szCs w:val="18"/>
                <w:color w:val="auto"/>
              </w:rPr>
              <w:t>“Dividend Equivalent”</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2.17</w:t>
            </w:r>
          </w:p>
        </w:tc>
        <w:tc>
          <w:tcPr>
            <w:tcW w:w="6600" w:type="dxa"/>
            <w:vAlign w:val="bottom"/>
          </w:tcPr>
          <w:p>
            <w:pPr>
              <w:ind w:left="80"/>
              <w:spacing w:after="0"/>
              <w:rPr>
                <w:sz w:val="20"/>
                <w:szCs w:val="20"/>
                <w:color w:val="auto"/>
              </w:rPr>
            </w:pPr>
            <w:r>
              <w:rPr>
                <w:rFonts w:ascii="Arial" w:cs="Arial" w:eastAsia="Arial" w:hAnsi="Arial"/>
                <w:sz w:val="18"/>
                <w:szCs w:val="18"/>
                <w:color w:val="auto"/>
              </w:rPr>
              <w:t>“Effective Date”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2.18</w:t>
            </w:r>
          </w:p>
        </w:tc>
        <w:tc>
          <w:tcPr>
            <w:tcW w:w="6600" w:type="dxa"/>
            <w:vAlign w:val="bottom"/>
          </w:tcPr>
          <w:p>
            <w:pPr>
              <w:ind w:left="80"/>
              <w:spacing w:after="0"/>
              <w:rPr>
                <w:sz w:val="20"/>
                <w:szCs w:val="20"/>
                <w:color w:val="auto"/>
              </w:rPr>
            </w:pPr>
            <w:r>
              <w:rPr>
                <w:rFonts w:ascii="Arial" w:cs="Arial" w:eastAsia="Arial" w:hAnsi="Arial"/>
                <w:sz w:val="18"/>
                <w:szCs w:val="18"/>
                <w:color w:val="auto"/>
              </w:rPr>
              <w:t>“Eligible Person”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2.19</w:t>
            </w:r>
          </w:p>
        </w:tc>
        <w:tc>
          <w:tcPr>
            <w:tcW w:w="6600" w:type="dxa"/>
            <w:vAlign w:val="bottom"/>
          </w:tcPr>
          <w:p>
            <w:pPr>
              <w:ind w:left="80"/>
              <w:spacing w:after="0"/>
              <w:rPr>
                <w:sz w:val="20"/>
                <w:szCs w:val="20"/>
                <w:color w:val="auto"/>
              </w:rPr>
            </w:pPr>
            <w:r>
              <w:rPr>
                <w:rFonts w:ascii="Arial" w:cs="Arial" w:eastAsia="Arial" w:hAnsi="Arial"/>
                <w:sz w:val="18"/>
                <w:szCs w:val="18"/>
                <w:color w:val="auto"/>
              </w:rPr>
              <w:t>“Exchange Act”</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2.20</w:t>
            </w:r>
          </w:p>
        </w:tc>
        <w:tc>
          <w:tcPr>
            <w:tcW w:w="6600" w:type="dxa"/>
            <w:vAlign w:val="bottom"/>
          </w:tcPr>
          <w:p>
            <w:pPr>
              <w:ind w:left="80"/>
              <w:spacing w:after="0"/>
              <w:rPr>
                <w:sz w:val="20"/>
                <w:szCs w:val="20"/>
                <w:color w:val="auto"/>
              </w:rPr>
            </w:pPr>
            <w:r>
              <w:rPr>
                <w:rFonts w:ascii="Arial" w:cs="Arial" w:eastAsia="Arial" w:hAnsi="Arial"/>
                <w:sz w:val="18"/>
                <w:szCs w:val="18"/>
                <w:color w:val="auto"/>
              </w:rPr>
              <w:t>“Exercise Price”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2.21</w:t>
            </w:r>
          </w:p>
        </w:tc>
        <w:tc>
          <w:tcPr>
            <w:tcW w:w="6600" w:type="dxa"/>
            <w:vAlign w:val="bottom"/>
          </w:tcPr>
          <w:p>
            <w:pPr>
              <w:ind w:left="80"/>
              <w:spacing w:after="0"/>
              <w:rPr>
                <w:sz w:val="20"/>
                <w:szCs w:val="20"/>
                <w:color w:val="auto"/>
              </w:rPr>
            </w:pPr>
            <w:r>
              <w:rPr>
                <w:rFonts w:ascii="Arial" w:cs="Arial" w:eastAsia="Arial" w:hAnsi="Arial"/>
                <w:sz w:val="18"/>
                <w:szCs w:val="18"/>
                <w:color w:val="auto"/>
              </w:rPr>
              <w:t>“Fair Market Value”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2.22</w:t>
            </w:r>
          </w:p>
        </w:tc>
        <w:tc>
          <w:tcPr>
            <w:tcW w:w="6600" w:type="dxa"/>
            <w:vAlign w:val="bottom"/>
          </w:tcPr>
          <w:p>
            <w:pPr>
              <w:ind w:left="80"/>
              <w:spacing w:after="0"/>
              <w:rPr>
                <w:sz w:val="20"/>
                <w:szCs w:val="20"/>
                <w:color w:val="auto"/>
              </w:rPr>
            </w:pPr>
            <w:r>
              <w:rPr>
                <w:rFonts w:ascii="Arial" w:cs="Arial" w:eastAsia="Arial" w:hAnsi="Arial"/>
                <w:sz w:val="18"/>
                <w:szCs w:val="18"/>
                <w:color w:val="auto"/>
              </w:rPr>
              <w:t>“Grant Date”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2.23</w:t>
            </w:r>
          </w:p>
        </w:tc>
        <w:tc>
          <w:tcPr>
            <w:tcW w:w="6600" w:type="dxa"/>
            <w:vAlign w:val="bottom"/>
          </w:tcPr>
          <w:p>
            <w:pPr>
              <w:ind w:left="80"/>
              <w:spacing w:after="0"/>
              <w:rPr>
                <w:sz w:val="20"/>
                <w:szCs w:val="20"/>
                <w:color w:val="auto"/>
              </w:rPr>
            </w:pPr>
            <w:r>
              <w:rPr>
                <w:rFonts w:ascii="Arial" w:cs="Arial" w:eastAsia="Arial" w:hAnsi="Arial"/>
                <w:sz w:val="18"/>
                <w:szCs w:val="18"/>
                <w:color w:val="auto"/>
              </w:rPr>
              <w:t>“Grantee”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2.24</w:t>
            </w:r>
          </w:p>
        </w:tc>
        <w:tc>
          <w:tcPr>
            <w:tcW w:w="6600" w:type="dxa"/>
            <w:vAlign w:val="bottom"/>
          </w:tcPr>
          <w:p>
            <w:pPr>
              <w:ind w:left="80"/>
              <w:spacing w:after="0"/>
              <w:rPr>
                <w:sz w:val="20"/>
                <w:szCs w:val="20"/>
                <w:color w:val="auto"/>
              </w:rPr>
            </w:pPr>
            <w:r>
              <w:rPr>
                <w:rFonts w:ascii="Arial" w:cs="Arial" w:eastAsia="Arial" w:hAnsi="Arial"/>
                <w:sz w:val="18"/>
                <w:szCs w:val="18"/>
                <w:color w:val="auto"/>
              </w:rPr>
              <w:t>“Incentive Stock Option”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2.25</w:t>
            </w:r>
          </w:p>
        </w:tc>
        <w:tc>
          <w:tcPr>
            <w:tcW w:w="6600" w:type="dxa"/>
            <w:vAlign w:val="bottom"/>
          </w:tcPr>
          <w:p>
            <w:pPr>
              <w:ind w:left="80"/>
              <w:spacing w:after="0"/>
              <w:rPr>
                <w:sz w:val="20"/>
                <w:szCs w:val="20"/>
                <w:color w:val="auto"/>
              </w:rPr>
            </w:pPr>
            <w:r>
              <w:rPr>
                <w:rFonts w:ascii="Arial" w:cs="Arial" w:eastAsia="Arial" w:hAnsi="Arial"/>
                <w:sz w:val="18"/>
                <w:szCs w:val="18"/>
                <w:color w:val="auto"/>
              </w:rPr>
              <w:t>“Including” or “includes”</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2.26</w:t>
            </w:r>
          </w:p>
        </w:tc>
        <w:tc>
          <w:tcPr>
            <w:tcW w:w="6600" w:type="dxa"/>
            <w:vAlign w:val="bottom"/>
          </w:tcPr>
          <w:p>
            <w:pPr>
              <w:ind w:left="80"/>
              <w:spacing w:after="0"/>
              <w:rPr>
                <w:sz w:val="20"/>
                <w:szCs w:val="20"/>
                <w:color w:val="auto"/>
              </w:rPr>
            </w:pPr>
            <w:r>
              <w:rPr>
                <w:rFonts w:ascii="Arial" w:cs="Arial" w:eastAsia="Arial" w:hAnsi="Arial"/>
                <w:sz w:val="18"/>
                <w:szCs w:val="18"/>
                <w:color w:val="auto"/>
              </w:rPr>
              <w:t>“Management Committee”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2.27</w:t>
            </w:r>
          </w:p>
        </w:tc>
        <w:tc>
          <w:tcPr>
            <w:tcW w:w="6600" w:type="dxa"/>
            <w:vAlign w:val="bottom"/>
          </w:tcPr>
          <w:p>
            <w:pPr>
              <w:ind w:left="80"/>
              <w:spacing w:after="0"/>
              <w:rPr>
                <w:sz w:val="20"/>
                <w:szCs w:val="20"/>
                <w:color w:val="auto"/>
              </w:rPr>
            </w:pPr>
            <w:r>
              <w:rPr>
                <w:rFonts w:ascii="Arial" w:cs="Arial" w:eastAsia="Arial" w:hAnsi="Arial"/>
                <w:sz w:val="18"/>
                <w:szCs w:val="18"/>
                <w:color w:val="auto"/>
              </w:rPr>
              <w:t>“Non-Employee Director”</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2.28</w:t>
            </w:r>
          </w:p>
        </w:tc>
        <w:tc>
          <w:tcPr>
            <w:tcW w:w="6600" w:type="dxa"/>
            <w:vAlign w:val="bottom"/>
          </w:tcPr>
          <w:p>
            <w:pPr>
              <w:ind w:left="80"/>
              <w:spacing w:after="0"/>
              <w:rPr>
                <w:sz w:val="20"/>
                <w:szCs w:val="20"/>
                <w:color w:val="auto"/>
              </w:rPr>
            </w:pPr>
            <w:r>
              <w:rPr>
                <w:rFonts w:ascii="Arial" w:cs="Arial" w:eastAsia="Arial" w:hAnsi="Arial"/>
                <w:sz w:val="18"/>
                <w:szCs w:val="18"/>
                <w:color w:val="auto"/>
              </w:rPr>
              <w:t>“Option”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2.29</w:t>
            </w:r>
          </w:p>
        </w:tc>
        <w:tc>
          <w:tcPr>
            <w:tcW w:w="6600" w:type="dxa"/>
            <w:vAlign w:val="bottom"/>
          </w:tcPr>
          <w:p>
            <w:pPr>
              <w:ind w:left="80"/>
              <w:spacing w:after="0"/>
              <w:rPr>
                <w:sz w:val="20"/>
                <w:szCs w:val="20"/>
                <w:color w:val="auto"/>
              </w:rPr>
            </w:pPr>
            <w:r>
              <w:rPr>
                <w:rFonts w:ascii="Arial" w:cs="Arial" w:eastAsia="Arial" w:hAnsi="Arial"/>
                <w:sz w:val="18"/>
                <w:szCs w:val="18"/>
                <w:color w:val="auto"/>
              </w:rPr>
              <w:t>“Other Stock-Based Award”</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2.30</w:t>
            </w:r>
          </w:p>
        </w:tc>
        <w:tc>
          <w:tcPr>
            <w:tcW w:w="6600" w:type="dxa"/>
            <w:vAlign w:val="bottom"/>
          </w:tcPr>
          <w:p>
            <w:pPr>
              <w:ind w:left="80"/>
              <w:spacing w:after="0"/>
              <w:rPr>
                <w:sz w:val="20"/>
                <w:szCs w:val="20"/>
                <w:color w:val="auto"/>
              </w:rPr>
            </w:pPr>
            <w:r>
              <w:rPr>
                <w:rFonts w:ascii="Arial" w:cs="Arial" w:eastAsia="Arial" w:hAnsi="Arial"/>
                <w:sz w:val="18"/>
                <w:szCs w:val="18"/>
                <w:color w:val="auto"/>
              </w:rPr>
              <w:t>“Performance Period”</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2.31</w:t>
            </w:r>
          </w:p>
        </w:tc>
        <w:tc>
          <w:tcPr>
            <w:tcW w:w="6600" w:type="dxa"/>
            <w:vAlign w:val="bottom"/>
          </w:tcPr>
          <w:p>
            <w:pPr>
              <w:ind w:left="80"/>
              <w:spacing w:after="0"/>
              <w:rPr>
                <w:sz w:val="20"/>
                <w:szCs w:val="20"/>
                <w:color w:val="auto"/>
              </w:rPr>
            </w:pPr>
            <w:r>
              <w:rPr>
                <w:rFonts w:ascii="Arial" w:cs="Arial" w:eastAsia="Arial" w:hAnsi="Arial"/>
                <w:sz w:val="18"/>
                <w:szCs w:val="18"/>
                <w:color w:val="auto"/>
              </w:rPr>
              <w:t>“Performance Share” and “Performance Unit”</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2.32</w:t>
            </w:r>
          </w:p>
        </w:tc>
        <w:tc>
          <w:tcPr>
            <w:tcW w:w="6600" w:type="dxa"/>
            <w:vAlign w:val="bottom"/>
          </w:tcPr>
          <w:p>
            <w:pPr>
              <w:ind w:left="80"/>
              <w:spacing w:after="0"/>
              <w:rPr>
                <w:sz w:val="20"/>
                <w:szCs w:val="20"/>
                <w:color w:val="auto"/>
              </w:rPr>
            </w:pPr>
            <w:r>
              <w:rPr>
                <w:rFonts w:ascii="Arial" w:cs="Arial" w:eastAsia="Arial" w:hAnsi="Arial"/>
                <w:sz w:val="18"/>
                <w:szCs w:val="18"/>
                <w:color w:val="auto"/>
              </w:rPr>
              <w:t>“Period of Restriction”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2.33</w:t>
            </w:r>
          </w:p>
        </w:tc>
        <w:tc>
          <w:tcPr>
            <w:tcW w:w="6600" w:type="dxa"/>
            <w:vAlign w:val="bottom"/>
          </w:tcPr>
          <w:p>
            <w:pPr>
              <w:ind w:left="80"/>
              <w:spacing w:after="0"/>
              <w:rPr>
                <w:sz w:val="20"/>
                <w:szCs w:val="20"/>
                <w:color w:val="auto"/>
              </w:rPr>
            </w:pPr>
            <w:r>
              <w:rPr>
                <w:rFonts w:ascii="Arial" w:cs="Arial" w:eastAsia="Arial" w:hAnsi="Arial"/>
                <w:sz w:val="18"/>
                <w:szCs w:val="18"/>
                <w:color w:val="auto"/>
              </w:rPr>
              <w:t>“Person”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2.34</w:t>
            </w:r>
          </w:p>
        </w:tc>
        <w:tc>
          <w:tcPr>
            <w:tcW w:w="6600" w:type="dxa"/>
            <w:vAlign w:val="bottom"/>
          </w:tcPr>
          <w:p>
            <w:pPr>
              <w:ind w:left="80"/>
              <w:spacing w:after="0"/>
              <w:rPr>
                <w:sz w:val="20"/>
                <w:szCs w:val="20"/>
                <w:color w:val="auto"/>
              </w:rPr>
            </w:pPr>
            <w:r>
              <w:rPr>
                <w:rFonts w:ascii="Arial" w:cs="Arial" w:eastAsia="Arial" w:hAnsi="Arial"/>
                <w:sz w:val="18"/>
                <w:szCs w:val="18"/>
                <w:color w:val="auto"/>
              </w:rPr>
              <w:t>“Restricted Shares”</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2.35</w:t>
            </w:r>
          </w:p>
        </w:tc>
        <w:tc>
          <w:tcPr>
            <w:tcW w:w="6600" w:type="dxa"/>
            <w:vAlign w:val="bottom"/>
          </w:tcPr>
          <w:p>
            <w:pPr>
              <w:ind w:left="80"/>
              <w:spacing w:after="0"/>
              <w:rPr>
                <w:sz w:val="20"/>
                <w:szCs w:val="20"/>
                <w:color w:val="auto"/>
              </w:rPr>
            </w:pPr>
            <w:r>
              <w:rPr>
                <w:rFonts w:ascii="Arial" w:cs="Arial" w:eastAsia="Arial" w:hAnsi="Arial"/>
                <w:sz w:val="18"/>
                <w:szCs w:val="18"/>
                <w:color w:val="auto"/>
              </w:rPr>
              <w:t>“Restricted Stock Units”</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2.36</w:t>
            </w:r>
          </w:p>
        </w:tc>
        <w:tc>
          <w:tcPr>
            <w:tcW w:w="6600" w:type="dxa"/>
            <w:vAlign w:val="bottom"/>
          </w:tcPr>
          <w:p>
            <w:pPr>
              <w:ind w:left="80"/>
              <w:spacing w:after="0"/>
              <w:rPr>
                <w:sz w:val="20"/>
                <w:szCs w:val="20"/>
                <w:color w:val="auto"/>
              </w:rPr>
            </w:pPr>
            <w:r>
              <w:rPr>
                <w:rFonts w:ascii="Arial" w:cs="Arial" w:eastAsia="Arial" w:hAnsi="Arial"/>
                <w:sz w:val="18"/>
                <w:szCs w:val="18"/>
                <w:color w:val="auto"/>
              </w:rPr>
              <w:t>“Rule 16b-3”</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2.37</w:t>
            </w:r>
          </w:p>
        </w:tc>
        <w:tc>
          <w:tcPr>
            <w:tcW w:w="6600" w:type="dxa"/>
            <w:vAlign w:val="bottom"/>
          </w:tcPr>
          <w:p>
            <w:pPr>
              <w:ind w:left="80"/>
              <w:spacing w:after="0"/>
              <w:rPr>
                <w:sz w:val="20"/>
                <w:szCs w:val="20"/>
                <w:color w:val="auto"/>
              </w:rPr>
            </w:pPr>
            <w:r>
              <w:rPr>
                <w:rFonts w:ascii="Arial" w:cs="Arial" w:eastAsia="Arial" w:hAnsi="Arial"/>
                <w:sz w:val="18"/>
                <w:szCs w:val="18"/>
                <w:color w:val="auto"/>
              </w:rPr>
              <w:t>“SEC”</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2.38</w:t>
            </w:r>
          </w:p>
        </w:tc>
        <w:tc>
          <w:tcPr>
            <w:tcW w:w="6600" w:type="dxa"/>
            <w:vAlign w:val="bottom"/>
          </w:tcPr>
          <w:p>
            <w:pPr>
              <w:ind w:left="80"/>
              <w:spacing w:after="0"/>
              <w:rPr>
                <w:sz w:val="20"/>
                <w:szCs w:val="20"/>
                <w:color w:val="auto"/>
              </w:rPr>
            </w:pPr>
            <w:r>
              <w:rPr>
                <w:rFonts w:ascii="Arial" w:cs="Arial" w:eastAsia="Arial" w:hAnsi="Arial"/>
                <w:sz w:val="18"/>
                <w:szCs w:val="18"/>
                <w:color w:val="auto"/>
              </w:rPr>
              <w:t>“Section 16 Non-Employee Director”</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2.39</w:t>
            </w:r>
          </w:p>
        </w:tc>
        <w:tc>
          <w:tcPr>
            <w:tcW w:w="6600" w:type="dxa"/>
            <w:vAlign w:val="bottom"/>
          </w:tcPr>
          <w:p>
            <w:pPr>
              <w:ind w:left="80"/>
              <w:spacing w:after="0"/>
              <w:rPr>
                <w:sz w:val="20"/>
                <w:szCs w:val="20"/>
                <w:color w:val="auto"/>
              </w:rPr>
            </w:pPr>
            <w:r>
              <w:rPr>
                <w:rFonts w:ascii="Arial" w:cs="Arial" w:eastAsia="Arial" w:hAnsi="Arial"/>
                <w:sz w:val="18"/>
                <w:szCs w:val="18"/>
                <w:color w:val="auto"/>
              </w:rPr>
              <w:t>“Section 16 Person”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2.40</w:t>
            </w:r>
          </w:p>
        </w:tc>
        <w:tc>
          <w:tcPr>
            <w:tcW w:w="6600" w:type="dxa"/>
            <w:vAlign w:val="bottom"/>
          </w:tcPr>
          <w:p>
            <w:pPr>
              <w:ind w:left="80"/>
              <w:spacing w:after="0"/>
              <w:rPr>
                <w:sz w:val="20"/>
                <w:szCs w:val="20"/>
                <w:color w:val="auto"/>
              </w:rPr>
            </w:pPr>
            <w:r>
              <w:rPr>
                <w:rFonts w:ascii="Arial" w:cs="Arial" w:eastAsia="Arial" w:hAnsi="Arial"/>
                <w:sz w:val="18"/>
                <w:szCs w:val="18"/>
                <w:color w:val="auto"/>
              </w:rPr>
              <w:t>“Separation from Service”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2.41</w:t>
            </w:r>
          </w:p>
        </w:tc>
        <w:tc>
          <w:tcPr>
            <w:tcW w:w="6600" w:type="dxa"/>
            <w:vAlign w:val="bottom"/>
          </w:tcPr>
          <w:p>
            <w:pPr>
              <w:ind w:left="80"/>
              <w:spacing w:after="0"/>
              <w:rPr>
                <w:sz w:val="20"/>
                <w:szCs w:val="20"/>
                <w:color w:val="auto"/>
              </w:rPr>
            </w:pPr>
            <w:r>
              <w:rPr>
                <w:rFonts w:ascii="Arial" w:cs="Arial" w:eastAsia="Arial" w:hAnsi="Arial"/>
                <w:sz w:val="18"/>
                <w:szCs w:val="18"/>
                <w:color w:val="auto"/>
              </w:rPr>
              <w:t>“Share”</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2.42</w:t>
            </w:r>
          </w:p>
        </w:tc>
        <w:tc>
          <w:tcPr>
            <w:tcW w:w="6600" w:type="dxa"/>
            <w:vAlign w:val="bottom"/>
          </w:tcPr>
          <w:p>
            <w:pPr>
              <w:ind w:left="80"/>
              <w:spacing w:after="0"/>
              <w:rPr>
                <w:sz w:val="20"/>
                <w:szCs w:val="20"/>
                <w:color w:val="auto"/>
              </w:rPr>
            </w:pPr>
            <w:r>
              <w:rPr>
                <w:rFonts w:ascii="Arial" w:cs="Arial" w:eastAsia="Arial" w:hAnsi="Arial"/>
                <w:sz w:val="18"/>
                <w:szCs w:val="18"/>
                <w:color w:val="auto"/>
              </w:rPr>
              <w:t>“Stock Appreciation Right” or “SAR”</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2.43</w:t>
            </w:r>
          </w:p>
        </w:tc>
        <w:tc>
          <w:tcPr>
            <w:tcW w:w="6600" w:type="dxa"/>
            <w:vAlign w:val="bottom"/>
          </w:tcPr>
          <w:p>
            <w:pPr>
              <w:ind w:left="80"/>
              <w:spacing w:after="0"/>
              <w:rPr>
                <w:sz w:val="20"/>
                <w:szCs w:val="20"/>
                <w:color w:val="auto"/>
              </w:rPr>
            </w:pPr>
            <w:r>
              <w:rPr>
                <w:rFonts w:ascii="Arial" w:cs="Arial" w:eastAsia="Arial" w:hAnsi="Arial"/>
                <w:sz w:val="18"/>
                <w:szCs w:val="18"/>
                <w:color w:val="auto"/>
              </w:rPr>
              <w:t>“Subsidiary Corporation”</w:t>
            </w:r>
          </w:p>
        </w:tc>
        <w:tc>
          <w:tcPr>
            <w:tcW w:w="3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2.44</w:t>
            </w:r>
          </w:p>
        </w:tc>
        <w:tc>
          <w:tcPr>
            <w:tcW w:w="6600" w:type="dxa"/>
            <w:vAlign w:val="bottom"/>
          </w:tcPr>
          <w:p>
            <w:pPr>
              <w:ind w:left="80"/>
              <w:spacing w:after="0"/>
              <w:rPr>
                <w:sz w:val="20"/>
                <w:szCs w:val="20"/>
                <w:color w:val="auto"/>
              </w:rPr>
            </w:pPr>
            <w:r>
              <w:rPr>
                <w:rFonts w:ascii="Arial" w:cs="Arial" w:eastAsia="Arial" w:hAnsi="Arial"/>
                <w:sz w:val="18"/>
                <w:szCs w:val="18"/>
                <w:color w:val="auto"/>
              </w:rPr>
              <w:t>“Surviving Company”</w:t>
            </w:r>
          </w:p>
        </w:tc>
        <w:tc>
          <w:tcPr>
            <w:tcW w:w="3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ind w:left="360"/>
              <w:spacing w:after="0"/>
              <w:rPr>
                <w:sz w:val="20"/>
                <w:szCs w:val="20"/>
                <w:color w:val="auto"/>
              </w:rPr>
            </w:pPr>
            <w:r>
              <w:rPr>
                <w:rFonts w:ascii="Arial" w:cs="Arial" w:eastAsia="Arial" w:hAnsi="Arial"/>
                <w:sz w:val="18"/>
                <w:szCs w:val="18"/>
                <w:color w:val="auto"/>
              </w:rPr>
              <w:t>2.45</w:t>
            </w:r>
          </w:p>
        </w:tc>
        <w:tc>
          <w:tcPr>
            <w:tcW w:w="9800" w:type="dxa"/>
            <w:vAlign w:val="bottom"/>
            <w:vMerge w:val="restart"/>
          </w:tcPr>
          <w:p>
            <w:pPr>
              <w:ind w:left="100"/>
              <w:spacing w:after="0"/>
              <w:rPr>
                <w:sz w:val="20"/>
                <w:szCs w:val="20"/>
                <w:color w:val="auto"/>
              </w:rPr>
            </w:pPr>
            <w:r>
              <w:rPr>
                <w:rFonts w:ascii="Arial" w:cs="Arial" w:eastAsia="Arial" w:hAnsi="Arial"/>
                <w:sz w:val="18"/>
                <w:szCs w:val="18"/>
                <w:color w:val="auto"/>
              </w:rPr>
              <w:t>“Term”</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9800" w:type="dxa"/>
            <w:vAlign w:val="bottom"/>
            <w:vMerge w:val="continue"/>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2.46</w:t>
            </w:r>
          </w:p>
        </w:tc>
        <w:tc>
          <w:tcPr>
            <w:tcW w:w="9800" w:type="dxa"/>
            <w:vAlign w:val="bottom"/>
          </w:tcPr>
          <w:p>
            <w:pPr>
              <w:ind w:left="100"/>
              <w:spacing w:after="0"/>
              <w:rPr>
                <w:sz w:val="20"/>
                <w:szCs w:val="20"/>
                <w:color w:val="auto"/>
              </w:rPr>
            </w:pPr>
            <w:r>
              <w:rPr>
                <w:rFonts w:ascii="Arial" w:cs="Arial" w:eastAsia="Arial" w:hAnsi="Arial"/>
                <w:sz w:val="18"/>
                <w:szCs w:val="18"/>
                <w:color w:val="auto"/>
              </w:rPr>
              <w:t>“Termination of Affiliation”</w:t>
            </w: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sz w:val="20"/>
                <w:szCs w:val="20"/>
                <w:color w:val="auto"/>
              </w:rPr>
            </w:pPr>
            <w:r>
              <w:rPr>
                <w:rFonts w:ascii="Arial" w:cs="Arial" w:eastAsia="Arial" w:hAnsi="Arial"/>
                <w:sz w:val="18"/>
                <w:szCs w:val="18"/>
                <w:color w:val="auto"/>
              </w:rPr>
              <w:t>Article 3. Administration</w:t>
            </w: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980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9800" w:type="dxa"/>
            <w:vAlign w:val="bottom"/>
          </w:tcPr>
          <w:p>
            <w:pPr>
              <w:ind w:left="100"/>
              <w:spacing w:after="0"/>
              <w:rPr>
                <w:sz w:val="20"/>
                <w:szCs w:val="20"/>
                <w:color w:val="auto"/>
              </w:rPr>
            </w:pPr>
            <w:r>
              <w:rPr>
                <w:rFonts w:ascii="Arial" w:cs="Arial" w:eastAsia="Arial" w:hAnsi="Arial"/>
                <w:sz w:val="18"/>
                <w:szCs w:val="18"/>
                <w:color w:val="auto"/>
              </w:rPr>
              <w:t>Powers of Committee</w:t>
            </w:r>
          </w:p>
        </w:tc>
        <w:tc>
          <w:tcPr>
            <w:tcW w:w="40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9800" w:type="dxa"/>
            <w:vAlign w:val="bottom"/>
          </w:tcPr>
          <w:p>
            <w:pPr>
              <w:ind w:left="100"/>
              <w:spacing w:after="0"/>
              <w:rPr>
                <w:sz w:val="20"/>
                <w:szCs w:val="20"/>
                <w:color w:val="auto"/>
              </w:rPr>
            </w:pPr>
            <w:r>
              <w:rPr>
                <w:rFonts w:ascii="Arial" w:cs="Arial" w:eastAsia="Arial" w:hAnsi="Arial"/>
                <w:sz w:val="18"/>
                <w:szCs w:val="18"/>
                <w:color w:val="auto"/>
              </w:rPr>
              <w:t>No Repricings</w:t>
            </w:r>
          </w:p>
        </w:tc>
        <w:tc>
          <w:tcPr>
            <w:tcW w:w="40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324"/>
        </w:trPr>
        <w:tc>
          <w:tcPr>
            <w:tcW w:w="10580" w:type="dxa"/>
            <w:vAlign w:val="bottom"/>
            <w:gridSpan w:val="2"/>
          </w:tcPr>
          <w:p>
            <w:pPr>
              <w:spacing w:after="0"/>
              <w:rPr>
                <w:sz w:val="20"/>
                <w:szCs w:val="20"/>
                <w:color w:val="auto"/>
              </w:rPr>
            </w:pPr>
            <w:r>
              <w:rPr>
                <w:rFonts w:ascii="Arial" w:cs="Arial" w:eastAsia="Arial" w:hAnsi="Arial"/>
                <w:sz w:val="18"/>
                <w:szCs w:val="18"/>
                <w:color w:val="auto"/>
              </w:rPr>
              <w:t>Article 4. Shares Subject to the Plan</w:t>
            </w:r>
          </w:p>
        </w:tc>
        <w:tc>
          <w:tcPr>
            <w:tcW w:w="40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9800" w:type="dxa"/>
            <w:vAlign w:val="bottom"/>
          </w:tcPr>
          <w:p>
            <w:pPr>
              <w:ind w:left="100"/>
              <w:spacing w:after="0"/>
              <w:rPr>
                <w:sz w:val="20"/>
                <w:szCs w:val="20"/>
                <w:color w:val="auto"/>
              </w:rPr>
            </w:pPr>
            <w:r>
              <w:rPr>
                <w:rFonts w:ascii="Arial" w:cs="Arial" w:eastAsia="Arial" w:hAnsi="Arial"/>
                <w:sz w:val="18"/>
                <w:szCs w:val="18"/>
                <w:color w:val="auto"/>
              </w:rPr>
              <w:t>Number of Shares Available for Grants</w:t>
            </w:r>
          </w:p>
        </w:tc>
        <w:tc>
          <w:tcPr>
            <w:tcW w:w="40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Adjustments in Authorized Shares and Awards; Corporate Transaction, Liquidation or Dissolution</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5. Eligibility and General Conditions of Awards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9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Eligibility</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Award Agreement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General Terms and Termination of Affiliation</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Nontransferability of Awards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Cancellation and Rescission of Awards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Stand-Alone, Tandem and Substitute Awards.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Compliance with Rule 16b-3</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Deferral of Award Payouts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6. Stock Options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9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Grant of Options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Award Agreement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6.3</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Option Exercise Price</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6.4</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Grant of Incentive Stock Options</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Payment of Exercise Price</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7. Stock Appreciation Rights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7.1</w:t>
            </w:r>
          </w:p>
        </w:tc>
        <w:tc>
          <w:tcPr>
            <w:tcW w:w="9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Issuance</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7.2</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Award Agreements</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7.3</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SAR Exercise Price</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7.4</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Exercise and Payment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8. Restricted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8.1</w:t>
            </w:r>
          </w:p>
        </w:tc>
        <w:tc>
          <w:tcPr>
            <w:tcW w:w="9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Grant of Restricted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8.2</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Award Agreement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8.3</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Consideration for Restricted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8.4</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Effect of Forfeiture</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8.5</w:t>
            </w:r>
          </w:p>
        </w:tc>
        <w:tc>
          <w:tcPr>
            <w:tcW w:w="9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Escrow; Legends</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63"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Article 9. Performance Units and Performance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9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360" w:type="dxa"/>
            <w:vAlign w:val="bottom"/>
          </w:tcPr>
          <w:p>
            <w:pPr>
              <w:ind w:left="360"/>
              <w:spacing w:after="0"/>
              <w:rPr>
                <w:sz w:val="20"/>
                <w:szCs w:val="20"/>
                <w:color w:val="auto"/>
              </w:rPr>
            </w:pPr>
            <w:r>
              <w:rPr>
                <w:rFonts w:ascii="Arial" w:cs="Arial" w:eastAsia="Arial" w:hAnsi="Arial"/>
                <w:sz w:val="18"/>
                <w:szCs w:val="18"/>
                <w:color w:val="auto"/>
              </w:rPr>
              <w:t>9.1</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9360" w:type="dxa"/>
            <w:vAlign w:val="bottom"/>
          </w:tcPr>
          <w:p>
            <w:pPr>
              <w:ind w:left="880"/>
              <w:spacing w:after="0"/>
              <w:rPr>
                <w:sz w:val="20"/>
                <w:szCs w:val="20"/>
                <w:color w:val="auto"/>
              </w:rPr>
            </w:pPr>
            <w:r>
              <w:rPr>
                <w:rFonts w:ascii="Arial" w:cs="Arial" w:eastAsia="Arial" w:hAnsi="Arial"/>
                <w:sz w:val="18"/>
                <w:szCs w:val="18"/>
                <w:color w:val="auto"/>
              </w:rPr>
              <w:t>Grant of Performance Units and Performance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9.2</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9360" w:type="dxa"/>
            <w:vAlign w:val="bottom"/>
          </w:tcPr>
          <w:p>
            <w:pPr>
              <w:ind w:left="880"/>
              <w:spacing w:after="0"/>
              <w:rPr>
                <w:sz w:val="20"/>
                <w:szCs w:val="20"/>
                <w:color w:val="auto"/>
              </w:rPr>
            </w:pPr>
            <w:r>
              <w:rPr>
                <w:rFonts w:ascii="Arial" w:cs="Arial" w:eastAsia="Arial" w:hAnsi="Arial"/>
                <w:sz w:val="18"/>
                <w:szCs w:val="18"/>
                <w:color w:val="auto"/>
              </w:rPr>
              <w:t>Value/Performance Goals</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9.3</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9360" w:type="dxa"/>
            <w:vAlign w:val="bottom"/>
          </w:tcPr>
          <w:p>
            <w:pPr>
              <w:ind w:left="880"/>
              <w:spacing w:after="0"/>
              <w:rPr>
                <w:sz w:val="20"/>
                <w:szCs w:val="20"/>
                <w:color w:val="auto"/>
              </w:rPr>
            </w:pPr>
            <w:r>
              <w:rPr>
                <w:rFonts w:ascii="Arial" w:cs="Arial" w:eastAsia="Arial" w:hAnsi="Arial"/>
                <w:sz w:val="18"/>
                <w:szCs w:val="18"/>
                <w:color w:val="auto"/>
              </w:rPr>
              <w:t>Earning of Performance Units and Performance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360" w:type="dxa"/>
            <w:vAlign w:val="bottom"/>
          </w:tcPr>
          <w:p>
            <w:pPr>
              <w:spacing w:after="0"/>
              <w:rPr>
                <w:sz w:val="20"/>
                <w:szCs w:val="20"/>
                <w:color w:val="auto"/>
              </w:rPr>
            </w:pPr>
            <w:r>
              <w:rPr>
                <w:rFonts w:ascii="Arial" w:cs="Arial" w:eastAsia="Arial" w:hAnsi="Arial"/>
                <w:sz w:val="18"/>
                <w:szCs w:val="18"/>
                <w:color w:val="auto"/>
              </w:rPr>
              <w:t>Article 10. Deferred Stock and Restricted Stock Units</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9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9360" w:type="dxa"/>
            <w:vAlign w:val="bottom"/>
          </w:tcPr>
          <w:p>
            <w:pPr>
              <w:ind w:left="360"/>
              <w:spacing w:after="0"/>
              <w:rPr>
                <w:sz w:val="20"/>
                <w:szCs w:val="20"/>
                <w:color w:val="auto"/>
              </w:rPr>
            </w:pPr>
            <w:r>
              <w:rPr>
                <w:rFonts w:ascii="Arial" w:cs="Arial" w:eastAsia="Arial" w:hAnsi="Arial"/>
                <w:sz w:val="18"/>
                <w:szCs w:val="18"/>
                <w:color w:val="auto"/>
              </w:rPr>
              <w:t>10.1</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9360" w:type="dxa"/>
            <w:vAlign w:val="bottom"/>
          </w:tcPr>
          <w:p>
            <w:pPr>
              <w:ind w:left="880"/>
              <w:spacing w:after="0"/>
              <w:rPr>
                <w:sz w:val="20"/>
                <w:szCs w:val="20"/>
                <w:color w:val="auto"/>
              </w:rPr>
            </w:pPr>
            <w:r>
              <w:rPr>
                <w:rFonts w:ascii="Arial" w:cs="Arial" w:eastAsia="Arial" w:hAnsi="Arial"/>
                <w:sz w:val="18"/>
                <w:szCs w:val="18"/>
                <w:color w:val="auto"/>
              </w:rPr>
              <w:t>Grant of Deferred Stock and Restricted Stock Units</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10.2</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9360" w:type="dxa"/>
            <w:vAlign w:val="bottom"/>
          </w:tcPr>
          <w:p>
            <w:pPr>
              <w:ind w:left="880"/>
              <w:spacing w:after="0"/>
              <w:rPr>
                <w:sz w:val="20"/>
                <w:szCs w:val="20"/>
                <w:color w:val="auto"/>
              </w:rPr>
            </w:pPr>
            <w:r>
              <w:rPr>
                <w:rFonts w:ascii="Arial" w:cs="Arial" w:eastAsia="Arial" w:hAnsi="Arial"/>
                <w:sz w:val="18"/>
                <w:szCs w:val="18"/>
                <w:color w:val="auto"/>
              </w:rPr>
              <w:t>Vesting and Delivery</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10.3</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9360" w:type="dxa"/>
            <w:vAlign w:val="bottom"/>
          </w:tcPr>
          <w:p>
            <w:pPr>
              <w:ind w:left="880"/>
              <w:spacing w:after="0"/>
              <w:rPr>
                <w:sz w:val="20"/>
                <w:szCs w:val="20"/>
                <w:color w:val="auto"/>
              </w:rPr>
            </w:pPr>
            <w:r>
              <w:rPr>
                <w:rFonts w:ascii="Arial" w:cs="Arial" w:eastAsia="Arial" w:hAnsi="Arial"/>
                <w:sz w:val="18"/>
                <w:szCs w:val="18"/>
                <w:color w:val="auto"/>
              </w:rPr>
              <w:t>Voting and Dividend Equivalent Rights Attributable to Deferred Stock and Restricted Stock Units</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9360" w:type="dxa"/>
            <w:vAlign w:val="bottom"/>
          </w:tcPr>
          <w:p>
            <w:pPr>
              <w:spacing w:after="0"/>
              <w:rPr>
                <w:sz w:val="20"/>
                <w:szCs w:val="20"/>
                <w:color w:val="auto"/>
              </w:rPr>
            </w:pPr>
            <w:r>
              <w:rPr>
                <w:rFonts w:ascii="Arial" w:cs="Arial" w:eastAsia="Arial" w:hAnsi="Arial"/>
                <w:sz w:val="18"/>
                <w:szCs w:val="18"/>
                <w:color w:val="auto"/>
              </w:rPr>
              <w:t>Article 11. Dividend Equivalents</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9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9360" w:type="dxa"/>
            <w:vAlign w:val="bottom"/>
          </w:tcPr>
          <w:p>
            <w:pPr>
              <w:spacing w:after="0"/>
              <w:rPr>
                <w:sz w:val="20"/>
                <w:szCs w:val="20"/>
                <w:color w:val="auto"/>
              </w:rPr>
            </w:pPr>
            <w:r>
              <w:rPr>
                <w:rFonts w:ascii="Arial" w:cs="Arial" w:eastAsia="Arial" w:hAnsi="Arial"/>
                <w:sz w:val="18"/>
                <w:szCs w:val="18"/>
                <w:color w:val="auto"/>
              </w:rPr>
              <w:t>Article 12. Bonus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9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9360" w:type="dxa"/>
            <w:vAlign w:val="bottom"/>
          </w:tcPr>
          <w:p>
            <w:pPr>
              <w:ind w:left="5360"/>
              <w:spacing w:after="0"/>
              <w:rPr>
                <w:sz w:val="20"/>
                <w:szCs w:val="20"/>
                <w:color w:val="auto"/>
              </w:rPr>
            </w:pPr>
            <w:r>
              <w:rPr>
                <w:rFonts w:ascii="Arial" w:cs="Arial" w:eastAsia="Arial" w:hAnsi="Arial"/>
                <w:sz w:val="18"/>
                <w:szCs w:val="18"/>
                <w:color w:val="auto"/>
              </w:rPr>
              <w:t>A-ii</w:t>
            </w:r>
          </w:p>
        </w:tc>
        <w:tc>
          <w:tcPr>
            <w:tcW w:w="1620" w:type="dxa"/>
            <w:vAlign w:val="bottom"/>
          </w:tcPr>
          <w:p>
            <w:pPr>
              <w:spacing w:after="0"/>
              <w:rPr>
                <w:sz w:val="24"/>
                <w:szCs w:val="24"/>
                <w:color w:val="auto"/>
              </w:rPr>
            </w:pPr>
          </w:p>
        </w:tc>
      </w:tr>
    </w:tbl>
    <w:p>
      <w:pPr>
        <w:sectPr>
          <w:pgSz w:w="11900" w:h="16838" w:orient="portrait"/>
          <w:cols w:equalWidth="0" w:num="1">
            <w:col w:w="10980"/>
          </w:cols>
          <w:pgMar w:left="440" w:top="125"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580" w:type="dxa"/>
            <w:vAlign w:val="bottom"/>
            <w:gridSpan w:val="2"/>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97"/>
        </w:trPr>
        <w:tc>
          <w:tcPr>
            <w:tcW w:w="4400" w:type="dxa"/>
            <w:vAlign w:val="bottom"/>
            <w:vMerge w:val="restart"/>
          </w:tcPr>
          <w:p>
            <w:pPr>
              <w:spacing w:after="0"/>
              <w:rPr>
                <w:sz w:val="20"/>
                <w:szCs w:val="20"/>
                <w:color w:val="auto"/>
              </w:rPr>
            </w:pPr>
            <w:r>
              <w:rPr>
                <w:rFonts w:ascii="Arial" w:cs="Arial" w:eastAsia="Arial" w:hAnsi="Arial"/>
                <w:sz w:val="18"/>
                <w:szCs w:val="18"/>
                <w:color w:val="auto"/>
              </w:rPr>
              <w:t>Article 13. Other Stock-Based Awards</w:t>
            </w:r>
          </w:p>
        </w:tc>
        <w:tc>
          <w:tcPr>
            <w:tcW w:w="61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6180" w:type="dxa"/>
            <w:vAlign w:val="bottom"/>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8"/>
                <w:szCs w:val="18"/>
                <w:color w:val="auto"/>
              </w:rPr>
              <w:t>Article 14. Non-Employee Director Awards</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8"/>
                <w:szCs w:val="18"/>
                <w:color w:val="auto"/>
              </w:rPr>
              <w:t>Article 15. Amendment, Modification, and Termination</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4400" w:type="dxa"/>
            <w:vAlign w:val="bottom"/>
          </w:tcPr>
          <w:p>
            <w:pPr>
              <w:ind w:left="360"/>
              <w:spacing w:after="0"/>
              <w:rPr>
                <w:sz w:val="20"/>
                <w:szCs w:val="20"/>
                <w:color w:val="auto"/>
              </w:rPr>
            </w:pPr>
            <w:r>
              <w:rPr>
                <w:rFonts w:ascii="Arial" w:cs="Arial" w:eastAsia="Arial" w:hAnsi="Arial"/>
                <w:sz w:val="18"/>
                <w:szCs w:val="18"/>
                <w:color w:val="auto"/>
              </w:rPr>
              <w:t>15.1</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Amendment, Modification, and Termination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15.2</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rPr>
              <w:t>Awards Previously Granted</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8"/>
                <w:szCs w:val="18"/>
                <w:color w:val="auto"/>
              </w:rPr>
              <w:t>Article 16. Compliance with Code Section 409A</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4400" w:type="dxa"/>
            <w:vAlign w:val="bottom"/>
          </w:tcPr>
          <w:p>
            <w:pPr>
              <w:ind w:left="360"/>
              <w:spacing w:after="0"/>
              <w:rPr>
                <w:sz w:val="20"/>
                <w:szCs w:val="20"/>
                <w:color w:val="auto"/>
              </w:rPr>
            </w:pPr>
            <w:r>
              <w:rPr>
                <w:rFonts w:ascii="Arial" w:cs="Arial" w:eastAsia="Arial" w:hAnsi="Arial"/>
                <w:sz w:val="18"/>
                <w:szCs w:val="18"/>
                <w:color w:val="auto"/>
              </w:rPr>
              <w:t>16.1</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Awards Subject to Code Section 409A</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16.2</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Deferral and/or Distribution Elections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16.3</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Subsequent Elections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16.4</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Distributions Pursuant to Deferral Elections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16.5</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Six Month Delay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16.6</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Death or Disability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16.7</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rPr>
              <w:t>No Acceleration of Distributions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8"/>
                <w:szCs w:val="18"/>
                <w:color w:val="auto"/>
              </w:rPr>
              <w:t>Article 17. Withholding</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4400" w:type="dxa"/>
            <w:vAlign w:val="bottom"/>
          </w:tcPr>
          <w:p>
            <w:pPr>
              <w:ind w:left="360"/>
              <w:spacing w:after="0"/>
              <w:rPr>
                <w:sz w:val="20"/>
                <w:szCs w:val="20"/>
                <w:color w:val="auto"/>
              </w:rPr>
            </w:pPr>
            <w:r>
              <w:rPr>
                <w:rFonts w:ascii="Arial" w:cs="Arial" w:eastAsia="Arial" w:hAnsi="Arial"/>
                <w:sz w:val="18"/>
                <w:szCs w:val="18"/>
                <w:color w:val="auto"/>
              </w:rPr>
              <w:t>17.1</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Required Withholding</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17.2</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rPr>
              <w:t>Notification under Code Section 83(b)</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8"/>
                <w:szCs w:val="18"/>
                <w:color w:val="auto"/>
              </w:rPr>
              <w:t>Article 18. Additional Provisions</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4400" w:type="dxa"/>
            <w:vAlign w:val="bottom"/>
          </w:tcPr>
          <w:p>
            <w:pPr>
              <w:ind w:left="360"/>
              <w:spacing w:after="0"/>
              <w:rPr>
                <w:sz w:val="20"/>
                <w:szCs w:val="20"/>
                <w:color w:val="auto"/>
              </w:rPr>
            </w:pPr>
            <w:r>
              <w:rPr>
                <w:rFonts w:ascii="Arial" w:cs="Arial" w:eastAsia="Arial" w:hAnsi="Arial"/>
                <w:sz w:val="18"/>
                <w:szCs w:val="18"/>
                <w:color w:val="auto"/>
              </w:rPr>
              <w:t>18.1</w:t>
            </w: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Successors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18.2</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Severability</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18.3</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Requirements of Law</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18.4</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Securities Law Compliance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18.5</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Forfeiture Events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18.6</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No Rights as a Stockholder</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18.7</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Nature of Payments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18.8</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Non-Exclusivity of Plan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18.9</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Governing Law</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18.10</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w w:val="94"/>
              </w:rPr>
              <w:t>Unfunded Status of Awards; Creation of Trusts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18.11</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Affiliation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18.12</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Participation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18.13</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Military Service</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18.14</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4400" w:type="dxa"/>
            <w:vAlign w:val="bottom"/>
          </w:tcPr>
          <w:p>
            <w:pPr>
              <w:ind w:left="880"/>
              <w:spacing w:after="0"/>
              <w:rPr>
                <w:sz w:val="20"/>
                <w:szCs w:val="20"/>
                <w:color w:val="auto"/>
              </w:rPr>
            </w:pPr>
            <w:r>
              <w:rPr>
                <w:rFonts w:ascii="Arial" w:cs="Arial" w:eastAsia="Arial" w:hAnsi="Arial"/>
                <w:sz w:val="18"/>
                <w:szCs w:val="18"/>
                <w:color w:val="auto"/>
              </w:rPr>
              <w:t>Construction</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18.15</w:t>
            </w:r>
          </w:p>
        </w:tc>
        <w:tc>
          <w:tcPr>
            <w:tcW w:w="6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4400" w:type="dxa"/>
            <w:vAlign w:val="bottom"/>
          </w:tcPr>
          <w:p>
            <w:pPr>
              <w:ind w:left="880"/>
              <w:spacing w:after="0"/>
              <w:rPr>
                <w:sz w:val="20"/>
                <w:szCs w:val="20"/>
                <w:color w:val="auto"/>
              </w:rPr>
            </w:pPr>
            <w:r>
              <w:rPr>
                <w:rFonts w:ascii="Arial" w:cs="Arial" w:eastAsia="Arial" w:hAnsi="Arial"/>
                <w:sz w:val="18"/>
                <w:szCs w:val="18"/>
                <w:color w:val="auto"/>
              </w:rPr>
              <w:t>Headings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jc w:val="right"/>
              <w:ind w:right="3470"/>
              <w:spacing w:after="0"/>
              <w:rPr>
                <w:sz w:val="20"/>
                <w:szCs w:val="20"/>
                <w:color w:val="auto"/>
              </w:rPr>
            </w:pPr>
            <w:r>
              <w:rPr>
                <w:rFonts w:ascii="Arial" w:cs="Arial" w:eastAsia="Arial" w:hAnsi="Arial"/>
                <w:sz w:val="18"/>
                <w:szCs w:val="18"/>
                <w:color w:val="auto"/>
                <w:w w:val="84"/>
              </w:rPr>
              <w:t>18.16</w:t>
            </w:r>
          </w:p>
        </w:tc>
        <w:tc>
          <w:tcPr>
            <w:tcW w:w="66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3960" w:type="dxa"/>
            <w:vAlign w:val="bottom"/>
          </w:tcPr>
          <w:p>
            <w:pPr>
              <w:ind w:left="520"/>
              <w:spacing w:after="0"/>
              <w:rPr>
                <w:sz w:val="20"/>
                <w:szCs w:val="20"/>
                <w:color w:val="auto"/>
              </w:rPr>
            </w:pPr>
            <w:r>
              <w:rPr>
                <w:rFonts w:ascii="Arial" w:cs="Arial" w:eastAsia="Arial" w:hAnsi="Arial"/>
                <w:sz w:val="18"/>
                <w:szCs w:val="18"/>
                <w:color w:val="auto"/>
              </w:rPr>
              <w:t>Obligations</w:t>
            </w:r>
          </w:p>
        </w:tc>
        <w:tc>
          <w:tcPr>
            <w:tcW w:w="6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960" w:type="dxa"/>
            <w:vAlign w:val="bottom"/>
          </w:tcPr>
          <w:p>
            <w:pPr>
              <w:jc w:val="right"/>
              <w:ind w:right="3470"/>
              <w:spacing w:after="0"/>
              <w:rPr>
                <w:sz w:val="20"/>
                <w:szCs w:val="20"/>
                <w:color w:val="auto"/>
              </w:rPr>
            </w:pPr>
            <w:r>
              <w:rPr>
                <w:rFonts w:ascii="Arial" w:cs="Arial" w:eastAsia="Arial" w:hAnsi="Arial"/>
                <w:sz w:val="18"/>
                <w:szCs w:val="18"/>
                <w:color w:val="auto"/>
                <w:w w:val="84"/>
              </w:rPr>
              <w:t>18.17</w:t>
            </w:r>
          </w:p>
        </w:tc>
        <w:tc>
          <w:tcPr>
            <w:tcW w:w="66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3960" w:type="dxa"/>
            <w:vAlign w:val="bottom"/>
          </w:tcPr>
          <w:p>
            <w:pPr>
              <w:ind w:left="520"/>
              <w:spacing w:after="0"/>
              <w:rPr>
                <w:sz w:val="20"/>
                <w:szCs w:val="20"/>
                <w:color w:val="auto"/>
              </w:rPr>
            </w:pPr>
            <w:r>
              <w:rPr>
                <w:rFonts w:ascii="Arial" w:cs="Arial" w:eastAsia="Arial" w:hAnsi="Arial"/>
                <w:sz w:val="18"/>
                <w:szCs w:val="18"/>
                <w:color w:val="auto"/>
              </w:rPr>
              <w:t>No Right to Continue as Director</w:t>
            </w:r>
          </w:p>
        </w:tc>
        <w:tc>
          <w:tcPr>
            <w:tcW w:w="6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960" w:type="dxa"/>
            <w:vAlign w:val="bottom"/>
          </w:tcPr>
          <w:p>
            <w:pPr>
              <w:jc w:val="right"/>
              <w:ind w:right="3470"/>
              <w:spacing w:after="0"/>
              <w:rPr>
                <w:sz w:val="20"/>
                <w:szCs w:val="20"/>
                <w:color w:val="auto"/>
              </w:rPr>
            </w:pPr>
            <w:r>
              <w:rPr>
                <w:rFonts w:ascii="Arial" w:cs="Arial" w:eastAsia="Arial" w:hAnsi="Arial"/>
                <w:sz w:val="18"/>
                <w:szCs w:val="18"/>
                <w:color w:val="auto"/>
                <w:w w:val="84"/>
              </w:rPr>
              <w:t>18.18</w:t>
            </w:r>
          </w:p>
        </w:tc>
        <w:tc>
          <w:tcPr>
            <w:tcW w:w="66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3960" w:type="dxa"/>
            <w:vAlign w:val="bottom"/>
          </w:tcPr>
          <w:p>
            <w:pPr>
              <w:ind w:left="520"/>
              <w:spacing w:after="0"/>
              <w:rPr>
                <w:sz w:val="20"/>
                <w:szCs w:val="20"/>
                <w:color w:val="auto"/>
              </w:rPr>
            </w:pPr>
            <w:r>
              <w:rPr>
                <w:rFonts w:ascii="Arial" w:cs="Arial" w:eastAsia="Arial" w:hAnsi="Arial"/>
                <w:sz w:val="18"/>
                <w:szCs w:val="18"/>
                <w:color w:val="auto"/>
              </w:rPr>
              <w:t>Stockholder Approval</w:t>
            </w:r>
          </w:p>
        </w:tc>
        <w:tc>
          <w:tcPr>
            <w:tcW w:w="6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3960" w:type="dxa"/>
            <w:vAlign w:val="bottom"/>
          </w:tcPr>
          <w:p>
            <w:pPr>
              <w:spacing w:after="0"/>
              <w:rPr>
                <w:sz w:val="24"/>
                <w:szCs w:val="24"/>
                <w:color w:val="auto"/>
              </w:rPr>
            </w:pPr>
          </w:p>
        </w:tc>
        <w:tc>
          <w:tcPr>
            <w:tcW w:w="6660" w:type="dxa"/>
            <w:vAlign w:val="bottom"/>
          </w:tcPr>
          <w:p>
            <w:pPr>
              <w:jc w:val="right"/>
              <w:ind w:right="5210"/>
              <w:spacing w:after="0"/>
              <w:rPr>
                <w:sz w:val="20"/>
                <w:szCs w:val="20"/>
                <w:color w:val="auto"/>
              </w:rPr>
            </w:pPr>
            <w:r>
              <w:rPr>
                <w:rFonts w:ascii="Arial" w:cs="Arial" w:eastAsia="Arial" w:hAnsi="Arial"/>
                <w:sz w:val="18"/>
                <w:szCs w:val="18"/>
                <w:color w:val="auto"/>
              </w:rPr>
              <w:t>A-iii</w:t>
            </w:r>
          </w:p>
        </w:tc>
      </w:tr>
    </w:tbl>
    <w:p>
      <w:pPr>
        <w:sectPr>
          <w:pgSz w:w="11900" w:h="16838" w:orient="portrait"/>
          <w:cols w:equalWidth="0" w:num="1">
            <w:col w:w="10620"/>
          </w:cols>
          <w:pgMar w:left="800" w:top="125"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2019 OMNIBUS EQUITY INCENTIVE PLAN</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Effective Date of the Plan</w:t>
      </w:r>
      <w:r>
        <w:rPr>
          <w:rFonts w:ascii="Arial" w:cs="Arial" w:eastAsia="Arial" w:hAnsi="Arial"/>
          <w:sz w:val="16"/>
          <w:szCs w:val="16"/>
          <w:color w:val="auto"/>
        </w:rPr>
        <w:t>. The Board of Directors of ARCTURUS THERAPEUTICS HOLDINGS INC., a Delaware corporation (the “Company”), adopted the 2019 OMNIBUS EQUITY INCENTIVE PLAN (the “Plan”) effective as of June 10, 2019 (the “Effective Date”).</w:t>
      </w:r>
    </w:p>
    <w:p>
      <w:pPr>
        <w:spacing w:after="0" w:line="16"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Objectives of the Plan</w:t>
      </w:r>
      <w:r>
        <w:rPr>
          <w:rFonts w:ascii="Arial" w:cs="Arial" w:eastAsia="Arial" w:hAnsi="Arial"/>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7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63"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60"/>
          </w:cols>
          <w:pgMar w:left="24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 the commission of any act by a Grantee constituting a felony or crime of moral turpitude (or their equivalent in a non-United States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jurisdiction);</w:t>
      </w:r>
    </w:p>
    <w:p>
      <w:pPr>
        <w:spacing w:after="0" w:line="103" w:lineRule="exact"/>
        <w:rPr>
          <w:sz w:val="20"/>
          <w:szCs w:val="20"/>
          <w:color w:val="auto"/>
        </w:rPr>
      </w:pPr>
    </w:p>
    <w:p>
      <w:pPr>
        <w:ind w:left="1460" w:hanging="264"/>
        <w:spacing w:after="0"/>
        <w:tabs>
          <w:tab w:leader="none" w:pos="14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 act of dishonesty, fraud, intentional misrepresentation, or harassment which, as determined in good faith by the Committee, would:</w:t>
      </w:r>
    </w:p>
    <w:p>
      <w:pPr>
        <w:spacing w:after="0" w:line="46" w:lineRule="exact"/>
        <w:rPr>
          <w:rFonts w:ascii="Arial" w:cs="Arial" w:eastAsia="Arial" w:hAnsi="Arial"/>
          <w:sz w:val="16"/>
          <w:szCs w:val="16"/>
          <w:color w:val="auto"/>
        </w:rPr>
      </w:pPr>
    </w:p>
    <w:p>
      <w:pPr>
        <w:ind w:left="200" w:right="480" w:firstLine="4"/>
        <w:spacing w:after="0" w:line="255"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82" w:lineRule="exact"/>
        <w:rPr>
          <w:rFonts w:ascii="Arial" w:cs="Arial" w:eastAsia="Arial" w:hAnsi="Arial"/>
          <w:sz w:val="18"/>
          <w:szCs w:val="18"/>
          <w:color w:val="auto"/>
        </w:rPr>
      </w:pPr>
    </w:p>
    <w:p>
      <w:pPr>
        <w:ind w:left="1440" w:hanging="244"/>
        <w:spacing w:after="0"/>
        <w:tabs>
          <w:tab w:leader="none" w:pos="1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117" w:lineRule="exact"/>
        <w:rPr>
          <w:rFonts w:ascii="Arial" w:cs="Arial" w:eastAsia="Arial" w:hAnsi="Arial"/>
          <w:sz w:val="18"/>
          <w:szCs w:val="18"/>
          <w:color w:val="auto"/>
        </w:rPr>
      </w:pPr>
    </w:p>
    <w:p>
      <w:pPr>
        <w:ind w:left="1460" w:hanging="264"/>
        <w:spacing w:after="0"/>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willful and deliberate non-performance of the Grantee’s duties in connection with the business affairs of the Company or its Affiliates;</w:t>
      </w:r>
    </w:p>
    <w:p>
      <w:pPr>
        <w:spacing w:after="0" w:line="248" w:lineRule="exact"/>
        <w:rPr>
          <w:sz w:val="20"/>
          <w:szCs w:val="20"/>
          <w:color w:val="auto"/>
        </w:rPr>
      </w:pPr>
    </w:p>
    <w:p>
      <w:pPr>
        <w:jc w:val="both"/>
        <w:ind w:left="200" w:right="360" w:firstLine="992"/>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 of its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has the meaning set forth in Section 3.1(a).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62" w:lineRule="exact"/>
        <w:rPr>
          <w:sz w:val="20"/>
          <w:szCs w:val="20"/>
          <w:color w:val="auto"/>
        </w:rPr>
      </w:pPr>
    </w:p>
    <w:p>
      <w:pPr>
        <w:ind w:left="1440" w:hanging="244"/>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117" w:lineRule="exact"/>
        <w:rPr>
          <w:rFonts w:ascii="Arial" w:cs="Arial" w:eastAsia="Arial" w:hAnsi="Arial"/>
          <w:sz w:val="18"/>
          <w:szCs w:val="18"/>
          <w:color w:val="auto"/>
        </w:rPr>
      </w:pPr>
    </w:p>
    <w:p>
      <w:pPr>
        <w:ind w:left="200" w:right="540" w:firstLine="996"/>
        <w:spacing w:after="0" w:line="308" w:lineRule="auto"/>
        <w:tabs>
          <w:tab w:leader="none" w:pos="14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38" w:lineRule="exact"/>
        <w:rPr>
          <w:rFonts w:ascii="Arial" w:cs="Arial" w:eastAsia="Arial" w:hAnsi="Arial"/>
          <w:sz w:val="17"/>
          <w:szCs w:val="17"/>
          <w:color w:val="auto"/>
        </w:rPr>
      </w:pPr>
    </w:p>
    <w:p>
      <w:pPr>
        <w:ind w:left="1200" w:right="40" w:firstLine="397"/>
        <w:spacing w:after="0" w:line="264" w:lineRule="auto"/>
        <w:tabs>
          <w:tab w:leader="none" w:pos="18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73" w:lineRule="exact"/>
        <w:rPr>
          <w:rFonts w:ascii="Arial" w:cs="Arial" w:eastAsia="Arial" w:hAnsi="Arial"/>
          <w:sz w:val="18"/>
          <w:szCs w:val="18"/>
          <w:color w:val="auto"/>
        </w:rPr>
      </w:pPr>
    </w:p>
    <w:p>
      <w:pPr>
        <w:jc w:val="both"/>
        <w:ind w:left="1200" w:right="140" w:firstLine="397"/>
        <w:spacing w:after="0" w:line="286" w:lineRule="auto"/>
        <w:tabs>
          <w:tab w:leader="none" w:pos="1866"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5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3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46" w:lineRule="exact"/>
        <w:rPr>
          <w:sz w:val="20"/>
          <w:szCs w:val="20"/>
          <w:color w:val="auto"/>
        </w:rPr>
      </w:pPr>
    </w:p>
    <w:p>
      <w:pPr>
        <w:ind w:left="200" w:right="240" w:firstLine="4"/>
        <w:spacing w:after="0" w:line="261"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7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w:t>
      </w:r>
      <w:r>
        <w:rPr>
          <w:rFonts w:ascii="Arial" w:cs="Arial" w:eastAsia="Arial" w:hAnsi="Arial"/>
          <w:sz w:val="18"/>
          <w:szCs w:val="18"/>
          <w:color w:val="auto"/>
        </w:rPr>
        <w:t>” means a person who has been granted an Award.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3.1(b).</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and “</w:t>
      </w:r>
      <w:r>
        <w:rPr>
          <w:rFonts w:ascii="Arial" w:cs="Arial" w:eastAsia="Arial" w:hAnsi="Arial"/>
          <w:sz w:val="18"/>
          <w:szCs w:val="18"/>
          <w:u w:val="single" w:color="auto"/>
          <w:color w:val="auto"/>
        </w:rPr>
        <w:t>Performance Unit</w:t>
      </w:r>
      <w:r>
        <w:rPr>
          <w:rFonts w:ascii="Arial" w:cs="Arial" w:eastAsia="Arial" w:hAnsi="Arial"/>
          <w:sz w:val="18"/>
          <w:szCs w:val="18"/>
          <w:color w:val="auto"/>
        </w:rPr>
        <w:t>” have the respective meanings set forth in Article 9.</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62"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6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if the Grantee satisfies the conditions specified in the Award Agreement applicable to such rights.</w:t>
      </w:r>
    </w:p>
    <w:p>
      <w:pPr>
        <w:spacing w:after="0" w:line="62"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by the SEC under the Exchange Act, as amended from time to time, together with any successor rule.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73"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73"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Surviving Company</w:t>
      </w:r>
      <w:r>
        <w:rPr>
          <w:rFonts w:ascii="Arial" w:cs="Arial" w:eastAsia="Arial" w:hAnsi="Arial"/>
          <w:sz w:val="16"/>
          <w:szCs w:val="16"/>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39"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Term</w:t>
      </w:r>
      <w:r>
        <w:rPr>
          <w:rFonts w:ascii="Arial" w:cs="Arial" w:eastAsia="Arial" w:hAnsi="Arial"/>
          <w:sz w:val="17"/>
          <w:szCs w:val="17"/>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3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2.46 “</w:t>
      </w:r>
      <w:r>
        <w:rPr>
          <w:rFonts w:ascii="Arial" w:cs="Arial" w:eastAsia="Arial" w:hAnsi="Arial"/>
          <w:sz w:val="16"/>
          <w:szCs w:val="16"/>
          <w:u w:val="single" w:color="auto"/>
          <w:color w:val="auto"/>
        </w:rPr>
        <w:t>Termination of Affiliation</w:t>
      </w:r>
      <w:r>
        <w:rPr>
          <w:rFonts w:ascii="Arial" w:cs="Arial" w:eastAsia="Arial" w:hAnsi="Arial"/>
          <w:sz w:val="16"/>
          <w:szCs w:val="16"/>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17" w:lineRule="exact"/>
        <w:rPr>
          <w:sz w:val="20"/>
          <w:szCs w:val="20"/>
          <w:color w:val="auto"/>
        </w:rPr>
      </w:pPr>
    </w:p>
    <w:p>
      <w:pPr>
        <w:ind w:left="200" w:right="100" w:firstLine="996"/>
        <w:spacing w:after="0" w:line="259" w:lineRule="auto"/>
        <w:tabs>
          <w:tab w:leader="none" w:pos="14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57" w:lineRule="exact"/>
        <w:rPr>
          <w:sz w:val="20"/>
          <w:szCs w:val="20"/>
          <w:color w:val="auto"/>
        </w:rPr>
      </w:pPr>
    </w:p>
    <w:p>
      <w:pPr>
        <w:ind w:left="200" w:right="20" w:firstLine="996"/>
        <w:spacing w:after="0" w:line="286" w:lineRule="auto"/>
        <w:tabs>
          <w:tab w:leader="none" w:pos="144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57" w:lineRule="exact"/>
        <w:rPr>
          <w:rFonts w:ascii="Arial" w:cs="Arial" w:eastAsia="Arial" w:hAnsi="Arial"/>
          <w:sz w:val="17"/>
          <w:szCs w:val="17"/>
          <w:color w:val="auto"/>
        </w:rPr>
      </w:pPr>
    </w:p>
    <w:p>
      <w:pPr>
        <w:ind w:left="200" w:firstLine="996"/>
        <w:spacing w:after="0" w:line="255" w:lineRule="auto"/>
        <w:tabs>
          <w:tab w:leader="none" w:pos="14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8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79" w:lineRule="exact"/>
        <w:rPr>
          <w:sz w:val="20"/>
          <w:szCs w:val="20"/>
          <w:color w:val="auto"/>
        </w:rPr>
      </w:pPr>
    </w:p>
    <w:p>
      <w:pPr>
        <w:ind w:left="1440" w:hanging="244"/>
        <w:spacing w:after="0"/>
        <w:tabs>
          <w:tab w:leader="none" w:pos="1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117" w:lineRule="exact"/>
        <w:rPr>
          <w:rFonts w:ascii="Arial" w:cs="Arial" w:eastAsia="Arial" w:hAnsi="Arial"/>
          <w:sz w:val="18"/>
          <w:szCs w:val="18"/>
          <w:color w:val="auto"/>
        </w:rPr>
      </w:pPr>
    </w:p>
    <w:p>
      <w:pPr>
        <w:ind w:left="200" w:right="20" w:firstLine="996"/>
        <w:spacing w:after="0" w:line="297" w:lineRule="auto"/>
        <w:tabs>
          <w:tab w:leader="none" w:pos="14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50" w:lineRule="exact"/>
        <w:rPr>
          <w:rFonts w:ascii="Arial" w:cs="Arial" w:eastAsia="Arial" w:hAnsi="Arial"/>
          <w:sz w:val="16"/>
          <w:szCs w:val="16"/>
          <w:color w:val="auto"/>
        </w:rPr>
      </w:pPr>
    </w:p>
    <w:p>
      <w:pPr>
        <w:ind w:left="200" w:right="140" w:firstLine="996"/>
        <w:spacing w:after="0" w:line="277" w:lineRule="auto"/>
        <w:tabs>
          <w:tab w:leader="none" w:pos="14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62" w:lineRule="exact"/>
        <w:rPr>
          <w:rFonts w:ascii="Arial" w:cs="Arial" w:eastAsia="Arial" w:hAnsi="Arial"/>
          <w:sz w:val="18"/>
          <w:szCs w:val="18"/>
          <w:color w:val="auto"/>
        </w:rPr>
      </w:pPr>
    </w:p>
    <w:p>
      <w:pPr>
        <w:ind w:left="200" w:right="40" w:firstLine="996"/>
        <w:spacing w:after="0" w:line="277" w:lineRule="auto"/>
        <w:tabs>
          <w:tab w:leader="none" w:pos="14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determine whether or not specific Awards shall be granted in connection with other specific Awards, and if so, whether they shall be exercisable cumulatively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or alternatively to, such other specific Awards and all other matters to be determined in connection with an Award;</w:t>
      </w:r>
    </w:p>
    <w:p>
      <w:pPr>
        <w:spacing w:after="0" w:line="225" w:lineRule="exact"/>
        <w:rPr>
          <w:sz w:val="20"/>
          <w:szCs w:val="20"/>
          <w:color w:val="auto"/>
        </w:rPr>
      </w:pPr>
    </w:p>
    <w:p>
      <w:pPr>
        <w:ind w:left="1440" w:hanging="244"/>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117" w:lineRule="exact"/>
        <w:rPr>
          <w:rFonts w:ascii="Arial" w:cs="Arial" w:eastAsia="Arial" w:hAnsi="Arial"/>
          <w:sz w:val="18"/>
          <w:szCs w:val="18"/>
          <w:color w:val="auto"/>
        </w:rPr>
      </w:pPr>
    </w:p>
    <w:p>
      <w:pPr>
        <w:ind w:left="200" w:right="260" w:firstLine="996"/>
        <w:spacing w:after="0" w:line="264" w:lineRule="auto"/>
        <w:tabs>
          <w:tab w:leader="none" w:pos="14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73" w:lineRule="exact"/>
        <w:rPr>
          <w:rFonts w:ascii="Arial" w:cs="Arial" w:eastAsia="Arial" w:hAnsi="Arial"/>
          <w:sz w:val="18"/>
          <w:szCs w:val="18"/>
          <w:color w:val="auto"/>
        </w:rPr>
      </w:pPr>
    </w:p>
    <w:p>
      <w:pPr>
        <w:ind w:left="200" w:firstLine="996"/>
        <w:spacing w:after="0" w:line="259" w:lineRule="auto"/>
        <w:tabs>
          <w:tab w:leader="none" w:pos="14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78" w:lineRule="exact"/>
        <w:rPr>
          <w:rFonts w:ascii="Arial" w:cs="Arial" w:eastAsia="Arial" w:hAnsi="Arial"/>
          <w:sz w:val="18"/>
          <w:szCs w:val="18"/>
          <w:color w:val="auto"/>
        </w:rPr>
      </w:pPr>
    </w:p>
    <w:p>
      <w:pPr>
        <w:ind w:left="200" w:right="20" w:firstLine="996"/>
        <w:spacing w:after="0" w:line="264" w:lineRule="auto"/>
        <w:tabs>
          <w:tab w:leader="none" w:pos="14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73" w:lineRule="exact"/>
        <w:rPr>
          <w:rFonts w:ascii="Arial" w:cs="Arial" w:eastAsia="Arial" w:hAnsi="Arial"/>
          <w:sz w:val="18"/>
          <w:szCs w:val="18"/>
          <w:color w:val="auto"/>
        </w:rPr>
      </w:pPr>
    </w:p>
    <w:p>
      <w:pPr>
        <w:ind w:left="1420" w:hanging="22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117" w:lineRule="exact"/>
        <w:rPr>
          <w:rFonts w:ascii="Arial" w:cs="Arial" w:eastAsia="Arial" w:hAnsi="Arial"/>
          <w:sz w:val="18"/>
          <w:szCs w:val="18"/>
          <w:color w:val="auto"/>
        </w:rPr>
      </w:pPr>
    </w:p>
    <w:p>
      <w:pPr>
        <w:ind w:left="200" w:right="440" w:firstLine="996"/>
        <w:spacing w:after="0" w:line="277" w:lineRule="auto"/>
        <w:tabs>
          <w:tab w:leader="none" w:pos="14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62" w:lineRule="exact"/>
        <w:rPr>
          <w:rFonts w:ascii="Arial" w:cs="Arial" w:eastAsia="Arial" w:hAnsi="Arial"/>
          <w:sz w:val="18"/>
          <w:szCs w:val="18"/>
          <w:color w:val="auto"/>
        </w:rPr>
      </w:pPr>
    </w:p>
    <w:p>
      <w:pPr>
        <w:ind w:left="1460" w:hanging="264"/>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117" w:lineRule="exact"/>
        <w:rPr>
          <w:rFonts w:ascii="Arial" w:cs="Arial" w:eastAsia="Arial" w:hAnsi="Arial"/>
          <w:sz w:val="18"/>
          <w:szCs w:val="18"/>
          <w:color w:val="auto"/>
        </w:rPr>
      </w:pPr>
    </w:p>
    <w:p>
      <w:pPr>
        <w:ind w:left="1420" w:hanging="22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117" w:lineRule="exact"/>
        <w:rPr>
          <w:rFonts w:ascii="Arial" w:cs="Arial" w:eastAsia="Arial" w:hAnsi="Arial"/>
          <w:sz w:val="18"/>
          <w:szCs w:val="18"/>
          <w:color w:val="auto"/>
        </w:rPr>
      </w:pPr>
    </w:p>
    <w:p>
      <w:pPr>
        <w:ind w:left="200" w:firstLine="996"/>
        <w:spacing w:after="0" w:line="297" w:lineRule="auto"/>
        <w:tabs>
          <w:tab w:leader="none" w:pos="149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50" w:lineRule="exact"/>
        <w:rPr>
          <w:rFonts w:ascii="Arial" w:cs="Arial" w:eastAsia="Arial" w:hAnsi="Arial"/>
          <w:sz w:val="16"/>
          <w:szCs w:val="16"/>
          <w:color w:val="auto"/>
        </w:rPr>
      </w:pPr>
    </w:p>
    <w:p>
      <w:pPr>
        <w:ind w:left="1460" w:hanging="264"/>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117" w:lineRule="exact"/>
        <w:rPr>
          <w:rFonts w:ascii="Arial" w:cs="Arial" w:eastAsia="Arial" w:hAnsi="Arial"/>
          <w:sz w:val="18"/>
          <w:szCs w:val="18"/>
          <w:color w:val="auto"/>
        </w:rPr>
      </w:pPr>
    </w:p>
    <w:p>
      <w:pPr>
        <w:ind w:left="200" w:right="480" w:firstLine="996"/>
        <w:spacing w:after="0" w:line="277" w:lineRule="auto"/>
        <w:tabs>
          <w:tab w:leader="none" w:pos="14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impose such additional terms and conditions upon the grant, exercise or retention of Awards as the Committee may, before or concurrently with the grant thereof, deem</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24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appropriate, including limiting the percentage of Awards which may from time to time be exercised by a Grantee;</w:t>
      </w:r>
    </w:p>
    <w:p>
      <w:pPr>
        <w:spacing w:after="0" w:line="225" w:lineRule="exact"/>
        <w:rPr>
          <w:sz w:val="20"/>
          <w:szCs w:val="20"/>
          <w:color w:val="auto"/>
        </w:rPr>
      </w:pPr>
    </w:p>
    <w:p>
      <w:pPr>
        <w:jc w:val="both"/>
        <w:ind w:left="200" w:right="560" w:firstLine="996"/>
        <w:spacing w:after="0" w:line="264" w:lineRule="auto"/>
        <w:tabs>
          <w:tab w:leader="none" w:pos="14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73" w:lineRule="exact"/>
        <w:rPr>
          <w:rFonts w:ascii="Arial" w:cs="Arial" w:eastAsia="Arial" w:hAnsi="Arial"/>
          <w:sz w:val="18"/>
          <w:szCs w:val="18"/>
          <w:color w:val="auto"/>
        </w:rPr>
      </w:pPr>
    </w:p>
    <w:p>
      <w:pPr>
        <w:ind w:left="200" w:right="560" w:firstLine="996"/>
        <w:spacing w:after="0" w:line="277" w:lineRule="auto"/>
        <w:tabs>
          <w:tab w:leader="none" w:pos="14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62" w:lineRule="exact"/>
        <w:rPr>
          <w:rFonts w:ascii="Arial" w:cs="Arial" w:eastAsia="Arial" w:hAnsi="Arial"/>
          <w:sz w:val="18"/>
          <w:szCs w:val="18"/>
          <w:color w:val="auto"/>
        </w:rPr>
      </w:pPr>
    </w:p>
    <w:p>
      <w:pPr>
        <w:ind w:left="200" w:right="120" w:firstLine="996"/>
        <w:spacing w:after="0" w:line="342" w:lineRule="auto"/>
        <w:tabs>
          <w:tab w:leader="none" w:pos="141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24"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Repricings</w:t>
      </w:r>
      <w:r>
        <w:rPr>
          <w:rFonts w:ascii="Arial" w:cs="Arial" w:eastAsia="Arial" w:hAnsi="Arial"/>
          <w:sz w:val="18"/>
          <w:szCs w:val="18"/>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except as provided in Section 5.6(b), the maximum number of Shares hereby reserved for delivery under the Plan shall be 2,600,000 Shares. Up to a maximum of 2,600,000 Shares may be delivered pursuant to the exercise of Incentive Stock Options granted hereunder.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If any Shares subject to an Award granted hereunder (other than a Substitute Award granted pursuant to Section 5.6(b)) are forfeited or such Award otherwise terminates without payment or delivery of such Shares, the Shares subject to such Award, to the extent of any such forfeiture or termination, shall again be available for grant under the Plan. For avoidance of doubt, however, if any Shares subject to an Award granted hereunder are withheld or applied as payment in connection with the exercise of an Award or the withholding or payment of taxes related thereto (“Returned Shares”), such Returned Shares will be treated as having been delivered for purposes of determining the maximum number of Shares available for grant under the Plan and shall not again be treated as available for grant under the Plan. Moreover, the number of Shares available for issuance under the Plan may not be increased through the Company’s purchase of Shares on the open market with the proceeds obtained from the exercise of any Options granted hereunder. Upon settlement of an SAR, the number of Shares underlying the portion of the SAR that is exercised will be treated as having been delivered for purposes of determining the maximum number of Shares available for grant under the Plan and shall not again be treated as available for issuance under the Plan.</w:t>
      </w:r>
    </w:p>
    <w:p>
      <w:pPr>
        <w:spacing w:after="0" w:line="178"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w:t>
      </w:r>
    </w:p>
    <w:p>
      <w:pPr>
        <w:spacing w:after="0" w:line="117" w:lineRule="exact"/>
        <w:rPr>
          <w:sz w:val="20"/>
          <w:szCs w:val="20"/>
          <w:color w:val="auto"/>
        </w:rPr>
      </w:pPr>
    </w:p>
    <w:p>
      <w:pPr>
        <w:ind w:left="200" w:right="40" w:firstLine="996"/>
        <w:spacing w:after="0" w:line="268" w:lineRule="auto"/>
        <w:tabs>
          <w:tab w:leader="none" w:pos="143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Adjustment in Authorized Shares and Awards</w:t>
      </w:r>
      <w:r>
        <w:rPr>
          <w:rFonts w:ascii="Arial" w:cs="Arial" w:eastAsia="Arial" w:hAnsi="Arial"/>
          <w:sz w:val="17"/>
          <w:szCs w:val="17"/>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number of Shares subject to any Award denominated in Shares shall always be a whole number.</w:t>
      </w:r>
    </w:p>
    <w:p>
      <w:pPr>
        <w:spacing w:after="0" w:line="79" w:lineRule="exact"/>
        <w:rPr>
          <w:rFonts w:ascii="Arial" w:cs="Arial" w:eastAsia="Arial" w:hAnsi="Arial"/>
          <w:sz w:val="17"/>
          <w:szCs w:val="17"/>
          <w:color w:val="auto"/>
        </w:rPr>
      </w:pPr>
    </w:p>
    <w:p>
      <w:pPr>
        <w:ind w:left="200" w:firstLine="996"/>
        <w:spacing w:after="0" w:line="277" w:lineRule="auto"/>
        <w:tabs>
          <w:tab w:leader="none" w:pos="144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Similar Corporate Transaction</w:t>
      </w:r>
      <w:r>
        <w:rPr>
          <w:rFonts w:ascii="Arial" w:cs="Arial" w:eastAsia="Arial" w:hAnsi="Arial"/>
          <w:sz w:val="18"/>
          <w:szCs w:val="18"/>
          <w:color w:val="auto"/>
        </w:rPr>
        <w:t>. In the event of a merger or consolidation of the Company with or into another corporation or a sale of substantially all of the stock of the Company (a “Corporate Transaction”), unless an outstanding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w:t>
      </w:r>
    </w:p>
    <w:p>
      <w:pPr>
        <w:spacing w:after="0" w:line="2" w:lineRule="exact"/>
        <w:rPr>
          <w:sz w:val="20"/>
          <w:szCs w:val="20"/>
          <w:color w:val="auto"/>
        </w:rPr>
      </w:pPr>
    </w:p>
    <w:p>
      <w:pPr>
        <w:ind w:left="200" w:firstLine="4"/>
        <w:spacing w:after="0" w:line="270" w:lineRule="auto"/>
        <w:tabs>
          <w:tab w:leader="none" w:pos="4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70" w:lineRule="exact"/>
        <w:rPr>
          <w:rFonts w:ascii="Arial" w:cs="Arial" w:eastAsia="Arial" w:hAnsi="Arial"/>
          <w:sz w:val="17"/>
          <w:szCs w:val="17"/>
          <w:color w:val="auto"/>
        </w:rPr>
      </w:pPr>
    </w:p>
    <w:p>
      <w:pPr>
        <w:ind w:left="200" w:right="160" w:firstLine="996"/>
        <w:spacing w:after="0" w:line="273" w:lineRule="auto"/>
        <w:tabs>
          <w:tab w:leader="none" w:pos="1436"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70" w:lineRule="exact"/>
        <w:rPr>
          <w:rFonts w:ascii="Arial" w:cs="Arial" w:eastAsia="Arial" w:hAnsi="Arial"/>
          <w:sz w:val="17"/>
          <w:szCs w:val="17"/>
          <w:color w:val="auto"/>
        </w:rPr>
      </w:pPr>
    </w:p>
    <w:p>
      <w:pPr>
        <w:ind w:left="200" w:right="20" w:firstLine="996"/>
        <w:spacing w:after="0" w:line="286" w:lineRule="auto"/>
        <w:tabs>
          <w:tab w:leader="none" w:pos="1447"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Award Agreement</w:t>
      </w:r>
      <w:r>
        <w:rPr>
          <w:rFonts w:ascii="Arial" w:cs="Arial" w:eastAsia="Arial" w:hAnsi="Arial"/>
          <w:sz w:val="16"/>
          <w:szCs w:val="16"/>
          <w:color w:val="auto"/>
        </w:rPr>
        <w:t>. To the extent not set forth in the Plan, the terms and conditions of each Award shall be set forth in an Award Agreement.</w:t>
      </w:r>
    </w:p>
    <w:p>
      <w:pPr>
        <w:spacing w:after="0" w:line="14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8" w:lineRule="auto"/>
        <w:rPr>
          <w:sz w:val="20"/>
          <w:szCs w:val="20"/>
          <w:color w:val="auto"/>
        </w:rPr>
      </w:pPr>
      <w:r>
        <w:rPr>
          <w:rFonts w:ascii="Arial" w:cs="Arial" w:eastAsia="Arial" w:hAnsi="Arial"/>
          <w:sz w:val="16"/>
          <w:szCs w:val="16"/>
          <w:color w:val="auto"/>
        </w:rPr>
        <w:t>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w:t>
      </w:r>
    </w:p>
    <w:p>
      <w:pPr>
        <w:ind w:left="200" w:right="100" w:firstLine="4"/>
        <w:spacing w:after="0" w:line="302" w:lineRule="auto"/>
        <w:tabs>
          <w:tab w:leader="none" w:pos="4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117" w:lineRule="exact"/>
        <w:rPr>
          <w:sz w:val="20"/>
          <w:szCs w:val="20"/>
          <w:color w:val="auto"/>
        </w:rPr>
      </w:pPr>
    </w:p>
    <w:p>
      <w:pPr>
        <w:ind w:left="200" w:firstLine="996"/>
        <w:spacing w:after="0" w:line="312" w:lineRule="auto"/>
        <w:tabs>
          <w:tab w:leader="none" w:pos="14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38" w:lineRule="exact"/>
        <w:rPr>
          <w:rFonts w:ascii="Arial" w:cs="Arial" w:eastAsia="Arial" w:hAnsi="Arial"/>
          <w:sz w:val="16"/>
          <w:szCs w:val="16"/>
          <w:color w:val="auto"/>
        </w:rPr>
      </w:pPr>
    </w:p>
    <w:p>
      <w:pPr>
        <w:ind w:left="200" w:right="260" w:firstLine="996"/>
        <w:spacing w:after="0" w:line="255" w:lineRule="auto"/>
        <w:tabs>
          <w:tab w:leader="none" w:pos="14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85" w:lineRule="exact"/>
        <w:rPr>
          <w:rFonts w:ascii="Arial" w:cs="Arial" w:eastAsia="Arial" w:hAnsi="Arial"/>
          <w:sz w:val="18"/>
          <w:szCs w:val="18"/>
          <w:color w:val="auto"/>
        </w:rPr>
      </w:pPr>
    </w:p>
    <w:p>
      <w:pPr>
        <w:ind w:left="200" w:right="20" w:firstLine="996"/>
        <w:spacing w:after="0" w:line="287" w:lineRule="auto"/>
        <w:tabs>
          <w:tab w:leader="none" w:pos="14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 Nothing herein shall be construed as requiring the Committee to honor a QDRO except to the extent required under applicable law.</w:t>
      </w:r>
    </w:p>
    <w:p>
      <w:pPr>
        <w:spacing w:after="0" w:line="14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117" w:lineRule="exact"/>
        <w:rPr>
          <w:sz w:val="20"/>
          <w:szCs w:val="20"/>
          <w:color w:val="auto"/>
        </w:rPr>
      </w:pPr>
    </w:p>
    <w:p>
      <w:pPr>
        <w:ind w:left="200" w:right="20" w:firstLine="996"/>
        <w:spacing w:after="0" w:line="254" w:lineRule="auto"/>
        <w:tabs>
          <w:tab w:leader="none" w:pos="14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84" w:lineRule="exact"/>
        <w:rPr>
          <w:rFonts w:ascii="Arial" w:cs="Arial" w:eastAsia="Arial" w:hAnsi="Arial"/>
          <w:sz w:val="18"/>
          <w:szCs w:val="18"/>
          <w:color w:val="auto"/>
        </w:rPr>
      </w:pPr>
    </w:p>
    <w:p>
      <w:pPr>
        <w:ind w:left="200" w:right="120" w:firstLine="996"/>
        <w:spacing w:after="0" w:line="254" w:lineRule="auto"/>
        <w:tabs>
          <w:tab w:leader="none" w:pos="14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84"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 The provisions of this Section 5.7will not apply unless and until the Company has a class of stock that is registered under Section 12 of the Exchange Act.</w:t>
      </w:r>
    </w:p>
    <w:p>
      <w:pPr>
        <w:spacing w:after="0" w:line="62" w:lineRule="exact"/>
        <w:rPr>
          <w:sz w:val="20"/>
          <w:szCs w:val="20"/>
          <w:color w:val="auto"/>
        </w:rPr>
      </w:pPr>
    </w:p>
    <w:p>
      <w:pPr>
        <w:ind w:left="200" w:right="60" w:firstLine="996"/>
        <w:spacing w:after="0" w:line="257" w:lineRule="auto"/>
        <w:tabs>
          <w:tab w:leader="none" w:pos="143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the Plan other than upon exercise or conversion of a derivative security must be held for at least six months from the date of grant of an Award.</w:t>
      </w:r>
    </w:p>
    <w:p>
      <w:pPr>
        <w:spacing w:after="0" w:line="140" w:lineRule="exact"/>
        <w:rPr>
          <w:sz w:val="20"/>
          <w:szCs w:val="20"/>
          <w:color w:val="auto"/>
        </w:rPr>
      </w:pPr>
    </w:p>
    <w:p>
      <w:pPr>
        <w:ind w:left="200" w:right="60" w:firstLine="996"/>
        <w:spacing w:after="0" w:line="255" w:lineRule="auto"/>
        <w:tabs>
          <w:tab w:leader="none" w:pos="144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Reformation to Comply with Exchange Act Rules</w:t>
      </w:r>
      <w:r>
        <w:rPr>
          <w:rFonts w:ascii="Arial" w:cs="Arial" w:eastAsia="Arial" w:hAnsi="Arial"/>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85" w:lineRule="exact"/>
        <w:rPr>
          <w:rFonts w:ascii="Arial" w:cs="Arial" w:eastAsia="Arial" w:hAnsi="Arial"/>
          <w:sz w:val="18"/>
          <w:szCs w:val="18"/>
          <w:color w:val="auto"/>
        </w:rPr>
      </w:pPr>
    </w:p>
    <w:p>
      <w:pPr>
        <w:ind w:left="200" w:right="220" w:firstLine="996"/>
        <w:spacing w:after="0" w:line="255" w:lineRule="auto"/>
        <w:tabs>
          <w:tab w:leader="none" w:pos="143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Rule 16b-3 Administration</w:t>
      </w:r>
      <w:r>
        <w:rPr>
          <w:rFonts w:ascii="Arial" w:cs="Arial" w:eastAsia="Arial" w:hAnsi="Arial"/>
          <w:sz w:val="18"/>
          <w:szCs w:val="18"/>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8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which the Option pertains, the time or times at which such Option shall be exercisable and such other provisions as the Committee shall determine.</w:t>
      </w:r>
    </w:p>
    <w:p>
      <w:pPr>
        <w:spacing w:after="0" w:line="14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of an Option under this Plan shall be determined in the sole discretion of the Committee but may not be less than 100% of the Fair Market Value of a Share on the Grant Date.</w:t>
      </w:r>
    </w:p>
    <w:p>
      <w:pPr>
        <w:spacing w:after="0" w:line="62"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 w:lineRule="exact"/>
        <w:rPr>
          <w:sz w:val="20"/>
          <w:szCs w:val="20"/>
          <w:color w:val="auto"/>
        </w:rPr>
      </w:pPr>
    </w:p>
    <w:p>
      <w:pPr>
        <w:ind w:left="1440" w:hanging="244"/>
        <w:spacing w:after="0"/>
        <w:tabs>
          <w:tab w:leader="none" w:pos="1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117" w:lineRule="exact"/>
        <w:rPr>
          <w:rFonts w:ascii="Arial" w:cs="Arial" w:eastAsia="Arial" w:hAnsi="Arial"/>
          <w:sz w:val="18"/>
          <w:szCs w:val="18"/>
          <w:color w:val="auto"/>
        </w:rPr>
      </w:pPr>
    </w:p>
    <w:p>
      <w:pPr>
        <w:jc w:val="both"/>
        <w:ind w:left="200" w:right="140" w:firstLine="996"/>
        <w:spacing w:after="0" w:line="259" w:lineRule="auto"/>
        <w:tabs>
          <w:tab w:leader="none" w:pos="14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78" w:lineRule="exact"/>
        <w:rPr>
          <w:rFonts w:ascii="Arial" w:cs="Arial" w:eastAsia="Arial" w:hAnsi="Arial"/>
          <w:sz w:val="18"/>
          <w:szCs w:val="18"/>
          <w:color w:val="auto"/>
        </w:rPr>
      </w:pPr>
    </w:p>
    <w:p>
      <w:pPr>
        <w:ind w:left="200" w:right="60" w:firstLine="996"/>
        <w:spacing w:after="0" w:line="277" w:lineRule="auto"/>
        <w:tabs>
          <w:tab w:leader="none" w:pos="14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62" w:lineRule="exact"/>
        <w:rPr>
          <w:rFonts w:ascii="Arial" w:cs="Arial" w:eastAsia="Arial" w:hAnsi="Arial"/>
          <w:sz w:val="18"/>
          <w:szCs w:val="18"/>
          <w:color w:val="auto"/>
        </w:rPr>
      </w:pPr>
    </w:p>
    <w:p>
      <w:pPr>
        <w:ind w:left="200" w:right="120" w:firstLine="996"/>
        <w:spacing w:after="0" w:line="259" w:lineRule="auto"/>
        <w:tabs>
          <w:tab w:leader="none" w:pos="14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78" w:lineRule="exact"/>
        <w:rPr>
          <w:rFonts w:ascii="Arial" w:cs="Arial" w:eastAsia="Arial" w:hAnsi="Arial"/>
          <w:sz w:val="18"/>
          <w:szCs w:val="18"/>
          <w:color w:val="auto"/>
        </w:rPr>
      </w:pPr>
    </w:p>
    <w:p>
      <w:pPr>
        <w:ind w:left="200" w:firstLine="996"/>
        <w:spacing w:after="0" w:line="259" w:lineRule="auto"/>
        <w:tabs>
          <w:tab w:leader="none" w:pos="14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78" w:lineRule="exact"/>
        <w:rPr>
          <w:rFonts w:ascii="Arial" w:cs="Arial" w:eastAsia="Arial" w:hAnsi="Arial"/>
          <w:sz w:val="18"/>
          <w:szCs w:val="18"/>
          <w:color w:val="auto"/>
        </w:rPr>
      </w:pPr>
    </w:p>
    <w:p>
      <w:pPr>
        <w:ind w:left="200" w:right="220" w:firstLine="996"/>
        <w:spacing w:after="0" w:line="264" w:lineRule="auto"/>
        <w:tabs>
          <w:tab w:leader="none" w:pos="14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73" w:lineRule="exact"/>
        <w:rPr>
          <w:rFonts w:ascii="Arial" w:cs="Arial" w:eastAsia="Arial" w:hAnsi="Arial"/>
          <w:sz w:val="18"/>
          <w:szCs w:val="18"/>
          <w:color w:val="auto"/>
        </w:rPr>
      </w:pPr>
    </w:p>
    <w:p>
      <w:pPr>
        <w:ind w:left="200" w:right="380" w:firstLine="996"/>
        <w:spacing w:after="0" w:line="342" w:lineRule="auto"/>
        <w:tabs>
          <w:tab w:leader="none" w:pos="1447"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manner specified by the Committee, designate in writing a beneficiary to exercise his or her Incentive Stock Option after the Grantee’s death; and</w:t>
      </w:r>
    </w:p>
    <w:p>
      <w:pPr>
        <w:spacing w:after="0" w:line="129" w:lineRule="exact"/>
        <w:rPr>
          <w:sz w:val="20"/>
          <w:szCs w:val="20"/>
          <w:color w:val="auto"/>
        </w:rPr>
      </w:pPr>
    </w:p>
    <w:p>
      <w:pPr>
        <w:jc w:val="both"/>
        <w:ind w:left="200" w:right="160" w:firstLine="996"/>
        <w:spacing w:after="0" w:line="264" w:lineRule="auto"/>
        <w:tabs>
          <w:tab w:leader="none" w:pos="14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73" w:lineRule="exact"/>
        <w:rPr>
          <w:sz w:val="20"/>
          <w:szCs w:val="20"/>
          <w:color w:val="auto"/>
        </w:rPr>
      </w:pPr>
    </w:p>
    <w:p>
      <w:pPr>
        <w:ind w:left="1440" w:hanging="244"/>
        <w:spacing w:after="0"/>
        <w:tabs>
          <w:tab w:leader="none" w:pos="1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117" w:lineRule="exact"/>
        <w:rPr>
          <w:rFonts w:ascii="Arial" w:cs="Arial" w:eastAsia="Arial" w:hAnsi="Arial"/>
          <w:sz w:val="18"/>
          <w:szCs w:val="18"/>
          <w:color w:val="auto"/>
        </w:rPr>
      </w:pPr>
    </w:p>
    <w:p>
      <w:pPr>
        <w:ind w:left="200" w:right="200" w:firstLine="996"/>
        <w:spacing w:after="0" w:line="277" w:lineRule="auto"/>
        <w:tabs>
          <w:tab w:leader="none" w:pos="14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62" w:lineRule="exact"/>
        <w:rPr>
          <w:rFonts w:ascii="Arial" w:cs="Arial" w:eastAsia="Arial" w:hAnsi="Arial"/>
          <w:sz w:val="18"/>
          <w:szCs w:val="18"/>
          <w:color w:val="auto"/>
        </w:rPr>
      </w:pPr>
    </w:p>
    <w:p>
      <w:pPr>
        <w:ind w:left="1440" w:hanging="244"/>
        <w:spacing w:after="0"/>
        <w:tabs>
          <w:tab w:leader="none" w:pos="1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with the approval of the Committee, Shares acquired upon the exercise of such Option, such Shares valued at Fair Market Value on the</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date of exercise;</w:t>
      </w:r>
    </w:p>
    <w:p>
      <w:pPr>
        <w:spacing w:after="0" w:line="102" w:lineRule="exact"/>
        <w:rPr>
          <w:rFonts w:ascii="Arial" w:cs="Arial" w:eastAsia="Arial" w:hAnsi="Arial"/>
          <w:sz w:val="16"/>
          <w:szCs w:val="16"/>
          <w:color w:val="auto"/>
        </w:rPr>
      </w:pPr>
    </w:p>
    <w:p>
      <w:pPr>
        <w:ind w:left="200" w:right="260" w:firstLine="996"/>
        <w:spacing w:after="0" w:line="277" w:lineRule="auto"/>
        <w:tabs>
          <w:tab w:leader="none" w:pos="14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62" w:lineRule="exact"/>
        <w:rPr>
          <w:rFonts w:ascii="Arial" w:cs="Arial" w:eastAsia="Arial" w:hAnsi="Arial"/>
          <w:sz w:val="18"/>
          <w:szCs w:val="18"/>
          <w:color w:val="auto"/>
        </w:rPr>
      </w:pPr>
    </w:p>
    <w:p>
      <w:pPr>
        <w:ind w:left="200" w:right="40" w:firstLine="996"/>
        <w:spacing w:after="0" w:line="279" w:lineRule="auto"/>
        <w:tabs>
          <w:tab w:leader="none" w:pos="1437"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Committee may in its discretion specify that, if any Restricted Shares (“Tendered Restricted Shares”) are used to pay the Exercise Price,</w:t>
      </w:r>
    </w:p>
    <w:p>
      <w:pPr>
        <w:spacing w:after="0" w:line="46" w:lineRule="exact"/>
        <w:rPr>
          <w:sz w:val="20"/>
          <w:szCs w:val="20"/>
          <w:color w:val="auto"/>
        </w:rPr>
      </w:pPr>
    </w:p>
    <w:p>
      <w:pPr>
        <w:ind w:left="200" w:firstLine="4"/>
        <w:spacing w:after="0" w:line="277" w:lineRule="auto"/>
        <w:tabs>
          <w:tab w:leader="none" w:pos="4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Issuance</w:t>
      </w:r>
      <w:r>
        <w:rPr>
          <w:rFonts w:ascii="Arial" w:cs="Arial" w:eastAsia="Arial" w:hAnsi="Arial"/>
          <w:sz w:val="18"/>
          <w:szCs w:val="18"/>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79"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Award Agreements</w:t>
      </w:r>
      <w:r>
        <w:rPr>
          <w:rFonts w:ascii="Arial" w:cs="Arial" w:eastAsia="Arial" w:hAnsi="Arial"/>
          <w:sz w:val="16"/>
          <w:szCs w:val="16"/>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SAR Exercise Price</w:t>
      </w:r>
      <w:r>
        <w:rPr>
          <w:rFonts w:ascii="Arial" w:cs="Arial" w:eastAsia="Arial" w:hAnsi="Arial"/>
          <w:sz w:val="18"/>
          <w:szCs w:val="18"/>
          <w:color w:val="auto"/>
        </w:rPr>
        <w:t>. The Exercise Price of a SAR shall be determined by the Committee in its sole discretion; provided that the Exercise Price shall not be less than 100% of the Fair Market Value of a Share on the date of the grant of the SAR.</w:t>
      </w:r>
    </w:p>
    <w:p>
      <w:pPr>
        <w:spacing w:after="0" w:line="62"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62" w:lineRule="exact"/>
        <w:rPr>
          <w:sz w:val="20"/>
          <w:szCs w:val="20"/>
          <w:color w:val="auto"/>
        </w:rPr>
      </w:pPr>
    </w:p>
    <w:p>
      <w:pPr>
        <w:ind w:left="1440" w:hanging="244"/>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117" w:lineRule="exact"/>
        <w:rPr>
          <w:rFonts w:ascii="Arial" w:cs="Arial" w:eastAsia="Arial" w:hAnsi="Arial"/>
          <w:sz w:val="18"/>
          <w:szCs w:val="18"/>
          <w:color w:val="auto"/>
        </w:rPr>
      </w:pPr>
    </w:p>
    <w:p>
      <w:pPr>
        <w:ind w:left="1460" w:hanging="264"/>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62"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Grantee’s Termination of Affiliation due to death, Disability, or involuntary termination by the Company or an Affiliate without Cause.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The Committee shall determine the amount, if any, that a Grantee shall pay for Restricted Shares.</w:t>
      </w:r>
    </w:p>
    <w:p>
      <w:pPr>
        <w:spacing w:after="0" w:line="1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left="200" w:firstLine="4"/>
        <w:spacing w:after="0" w:line="261" w:lineRule="auto"/>
        <w:tabs>
          <w:tab w:leader="none" w:pos="4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62" w:lineRule="exact"/>
        <w:rPr>
          <w:sz w:val="20"/>
          <w:szCs w:val="20"/>
          <w:color w:val="auto"/>
        </w:rPr>
      </w:pPr>
    </w:p>
    <w:p>
      <w:pPr>
        <w:ind w:left="1440" w:hanging="244"/>
        <w:spacing w:after="0"/>
        <w:tabs>
          <w:tab w:leader="none" w:pos="14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Performance Unit</w:t>
      </w:r>
      <w:r>
        <w:rPr>
          <w:rFonts w:ascii="Arial" w:cs="Arial" w:eastAsia="Arial" w:hAnsi="Arial"/>
          <w:sz w:val="17"/>
          <w:szCs w:val="17"/>
          <w:color w:val="auto"/>
        </w:rPr>
        <w:t>. Each Performance Unit shall have an initial value that is established by the Committee at the time of grant.</w:t>
      </w:r>
    </w:p>
    <w:p>
      <w:pPr>
        <w:spacing w:after="0" w:line="128" w:lineRule="exact"/>
        <w:rPr>
          <w:rFonts w:ascii="Arial" w:cs="Arial" w:eastAsia="Arial" w:hAnsi="Arial"/>
          <w:sz w:val="17"/>
          <w:szCs w:val="17"/>
          <w:color w:val="auto"/>
        </w:rPr>
      </w:pPr>
    </w:p>
    <w:p>
      <w:pPr>
        <w:ind w:left="1460" w:hanging="264"/>
        <w:spacing w:after="0"/>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14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Earning of Performance Units and Performance Shares</w:t>
      </w:r>
      <w:r>
        <w:rPr>
          <w:rFonts w:ascii="Arial" w:cs="Arial" w:eastAsia="Arial" w:hAnsi="Arial"/>
          <w:sz w:val="16"/>
          <w:szCs w:val="16"/>
          <w:color w:val="auto"/>
        </w:rPr>
        <w:t>. After the applicable Performance Period has ended, the holder of Performance Units or Performance Shares shall be entitled to payment based on the level of achievement of performance goals set by the Committee.</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40"/>
          </w:cols>
          <w:pgMar w:left="24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At the discretion of the Committee, the settlement of Performance Units or Performance Shares may be in cash, Shares of equivalent value, or in some combination thereof, as set forth in the Award Agreement.</w:t>
      </w:r>
    </w:p>
    <w:p>
      <w:pPr>
        <w:spacing w:after="0" w:line="170"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71"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Deferred Stock and Restricted Stock Units</w:t>
      </w:r>
      <w:r>
        <w:rPr>
          <w:rFonts w:ascii="Arial" w:cs="Arial" w:eastAsia="Arial" w:hAnsi="Arial"/>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117" w:lineRule="exact"/>
        <w:rPr>
          <w:sz w:val="20"/>
          <w:szCs w:val="20"/>
          <w:color w:val="auto"/>
        </w:rPr>
      </w:pPr>
    </w:p>
    <w:p>
      <w:pPr>
        <w:ind w:left="200" w:right="40" w:firstLine="996"/>
        <w:spacing w:after="0" w:line="271" w:lineRule="auto"/>
        <w:tabs>
          <w:tab w:leader="none" w:pos="143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0" w:lineRule="exact"/>
        <w:rPr>
          <w:rFonts w:ascii="Arial" w:cs="Arial" w:eastAsia="Arial" w:hAnsi="Arial"/>
          <w:sz w:val="17"/>
          <w:szCs w:val="17"/>
          <w:color w:val="auto"/>
        </w:rPr>
      </w:pPr>
    </w:p>
    <w:p>
      <w:pPr>
        <w:ind w:left="200" w:right="40" w:firstLine="996"/>
        <w:spacing w:after="0" w:line="279" w:lineRule="auto"/>
        <w:tabs>
          <w:tab w:leader="none" w:pos="144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Restricted Stock Units</w:t>
      </w:r>
      <w:r>
        <w:rPr>
          <w:rFonts w:ascii="Arial" w:cs="Arial" w:eastAsia="Arial" w:hAnsi="Arial"/>
          <w:sz w:val="17"/>
          <w:szCs w:val="17"/>
          <w:color w:val="auto"/>
        </w:rPr>
        <w:t>. Delivery of Shares subject to a grant of Restricted Stock Units shall occur no later than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3"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Voting and Dividend Equivalent Rights Attributable to Deferred Stock and Restricted Stock Units</w:t>
      </w:r>
      <w:r>
        <w:rPr>
          <w:rFonts w:ascii="Arial" w:cs="Arial" w:eastAsia="Arial" w:hAnsi="Arial"/>
          <w:sz w:val="17"/>
          <w:szCs w:val="17"/>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$500,000 in a single calendar year.</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6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7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Deferral and/or Distribution Elections</w:t>
      </w:r>
      <w:r>
        <w:rPr>
          <w:rFonts w:ascii="Arial" w:cs="Arial" w:eastAsia="Arial" w:hAnsi="Arial"/>
          <w:sz w:val="18"/>
          <w:szCs w:val="18"/>
          <w:color w:val="auto"/>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996"/>
        <w:spacing w:after="0" w:line="342" w:lineRule="auto"/>
        <w:tabs>
          <w:tab w:leader="none" w:pos="143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5" w:lineRule="exact"/>
        <w:rPr>
          <w:rFonts w:ascii="Arial" w:cs="Arial" w:eastAsia="Arial" w:hAnsi="Arial"/>
          <w:sz w:val="16"/>
          <w:szCs w:val="16"/>
          <w:color w:val="auto"/>
        </w:rPr>
      </w:pPr>
    </w:p>
    <w:p>
      <w:pPr>
        <w:ind w:left="200" w:right="20" w:firstLine="996"/>
        <w:spacing w:after="0" w:line="259" w:lineRule="auto"/>
        <w:tabs>
          <w:tab w:leader="none" w:pos="14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78" w:lineRule="exact"/>
        <w:rPr>
          <w:rFonts w:ascii="Arial" w:cs="Arial" w:eastAsia="Arial" w:hAnsi="Arial"/>
          <w:sz w:val="18"/>
          <w:szCs w:val="18"/>
          <w:color w:val="auto"/>
        </w:rPr>
      </w:pPr>
    </w:p>
    <w:p>
      <w:pPr>
        <w:ind w:left="200" w:right="400" w:firstLine="996"/>
        <w:spacing w:after="0" w:line="277" w:lineRule="auto"/>
        <w:tabs>
          <w:tab w:leader="none" w:pos="14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u w:val="single" w:color="auto"/>
          <w:color w:val="auto"/>
        </w:rPr>
        <w:t>Subsequent Elections</w:t>
      </w:r>
      <w:r>
        <w:rPr>
          <w:rFonts w:ascii="Arial" w:cs="Arial" w:eastAsia="Arial" w:hAnsi="Arial"/>
          <w:sz w:val="17"/>
          <w:szCs w:val="17"/>
          <w:color w:val="auto"/>
        </w:rPr>
        <w:t>. Except as otherwise permitted or required by Code Section 409A, any 409A Award which permits a subsequent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Election to further defer the distribution or change the form of distribution shall comply with the following requirements:</w:t>
      </w:r>
    </w:p>
    <w:p>
      <w:pPr>
        <w:spacing w:after="0" w:line="103" w:lineRule="exact"/>
        <w:rPr>
          <w:sz w:val="20"/>
          <w:szCs w:val="20"/>
          <w:color w:val="auto"/>
        </w:rPr>
      </w:pPr>
    </w:p>
    <w:p>
      <w:pPr>
        <w:ind w:left="1440" w:hanging="244"/>
        <w:spacing w:after="0"/>
        <w:tabs>
          <w:tab w:leader="none" w:pos="14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128" w:lineRule="exact"/>
        <w:rPr>
          <w:rFonts w:ascii="Arial" w:cs="Arial" w:eastAsia="Arial" w:hAnsi="Arial"/>
          <w:sz w:val="17"/>
          <w:szCs w:val="17"/>
          <w:color w:val="auto"/>
        </w:rPr>
      </w:pPr>
    </w:p>
    <w:p>
      <w:pPr>
        <w:ind w:left="200" w:right="40" w:firstLine="996"/>
        <w:spacing w:after="0" w:line="308" w:lineRule="auto"/>
        <w:tabs>
          <w:tab w:leader="none" w:pos="1447"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38" w:lineRule="exact"/>
        <w:rPr>
          <w:rFonts w:ascii="Arial" w:cs="Arial" w:eastAsia="Arial" w:hAnsi="Arial"/>
          <w:sz w:val="17"/>
          <w:szCs w:val="17"/>
          <w:color w:val="auto"/>
        </w:rPr>
      </w:pPr>
    </w:p>
    <w:p>
      <w:pPr>
        <w:ind w:left="200" w:right="180" w:firstLine="996"/>
        <w:spacing w:after="0" w:line="277" w:lineRule="auto"/>
        <w:tabs>
          <w:tab w:leader="none" w:pos="14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62"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Distributions Pursuant to Deferral Elections</w:t>
      </w:r>
      <w:r>
        <w:rPr>
          <w:rFonts w:ascii="Arial" w:cs="Arial" w:eastAsia="Arial" w:hAnsi="Arial"/>
          <w:sz w:val="18"/>
          <w:szCs w:val="18"/>
          <w:color w:val="auto"/>
        </w:rPr>
        <w:t>. Except as otherwise permitted or required by Code Section 409A, no distribution in settlement of a 409A Award may commence earlier than:</w:t>
      </w:r>
    </w:p>
    <w:p>
      <w:pPr>
        <w:spacing w:after="0" w:line="62" w:lineRule="exact"/>
        <w:rPr>
          <w:sz w:val="20"/>
          <w:szCs w:val="20"/>
          <w:color w:val="auto"/>
        </w:rPr>
      </w:pPr>
    </w:p>
    <w:p>
      <w:pPr>
        <w:ind w:left="1440" w:hanging="244"/>
        <w:spacing w:after="0"/>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17" w:lineRule="exact"/>
        <w:rPr>
          <w:rFonts w:ascii="Arial" w:cs="Arial" w:eastAsia="Arial" w:hAnsi="Arial"/>
          <w:sz w:val="18"/>
          <w:szCs w:val="18"/>
          <w:color w:val="auto"/>
        </w:rPr>
      </w:pPr>
    </w:p>
    <w:p>
      <w:pPr>
        <w:ind w:left="1440" w:hanging="244"/>
        <w:spacing w:after="0"/>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117" w:lineRule="exact"/>
        <w:rPr>
          <w:rFonts w:ascii="Arial" w:cs="Arial" w:eastAsia="Arial" w:hAnsi="Arial"/>
          <w:sz w:val="18"/>
          <w:szCs w:val="18"/>
          <w:color w:val="auto"/>
        </w:rPr>
      </w:pPr>
    </w:p>
    <w:p>
      <w:pPr>
        <w:ind w:left="1440" w:hanging="244"/>
        <w:spacing w:after="0"/>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left="200" w:firstLine="996"/>
        <w:spacing w:after="0" w:line="342" w:lineRule="auto"/>
        <w:tabs>
          <w:tab w:leader="none" w:pos="14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5" w:lineRule="exact"/>
        <w:rPr>
          <w:rFonts w:ascii="Arial" w:cs="Arial" w:eastAsia="Arial" w:hAnsi="Arial"/>
          <w:sz w:val="16"/>
          <w:szCs w:val="16"/>
          <w:color w:val="auto"/>
        </w:rPr>
      </w:pPr>
    </w:p>
    <w:p>
      <w:pPr>
        <w:ind w:left="1440" w:hanging="244"/>
        <w:spacing w:after="0"/>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in ownership of the Company or a substantial portion of its assets within the meaning of Treasury Regulation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1.409A-3(i)(5)(v) or (vii) or a change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effective control of the Company within the meaning of Treasury Regulation Section 1.409A-3(i)(5)(vi)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Six Month Delay</w:t>
      </w:r>
      <w:r>
        <w:rPr>
          <w:rFonts w:ascii="Arial" w:cs="Arial" w:eastAsia="Arial" w:hAnsi="Arial"/>
          <w:sz w:val="16"/>
          <w:szCs w:val="16"/>
          <w:color w:val="auto"/>
        </w:rPr>
        <w:t>. Notwithstanding anything herein or in any Award Agreement or Election to the contrary, to the extent that distribution of a</w:t>
      </w:r>
    </w:p>
    <w:p>
      <w:pPr>
        <w:spacing w:after="0" w:line="4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spacing w:after="0" w:line="82"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79"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117" w:lineRule="exact"/>
        <w:rPr>
          <w:sz w:val="20"/>
          <w:szCs w:val="20"/>
          <w:color w:val="auto"/>
        </w:rPr>
      </w:pPr>
    </w:p>
    <w:p>
      <w:pPr>
        <w:ind w:left="200" w:right="60" w:firstLine="996"/>
        <w:spacing w:after="0" w:line="257" w:lineRule="auto"/>
        <w:tabs>
          <w:tab w:leader="none" w:pos="14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80" w:lineRule="exact"/>
        <w:rPr>
          <w:rFonts w:ascii="Arial" w:cs="Arial" w:eastAsia="Arial" w:hAnsi="Arial"/>
          <w:sz w:val="18"/>
          <w:szCs w:val="18"/>
          <w:color w:val="auto"/>
        </w:rPr>
      </w:pPr>
    </w:p>
    <w:p>
      <w:pPr>
        <w:ind w:left="1200" w:right="40" w:firstLine="397"/>
        <w:spacing w:after="0" w:line="312" w:lineRule="auto"/>
        <w:tabs>
          <w:tab w:leader="none" w:pos="1816" w:val="left"/>
        </w:tabs>
        <w:numPr>
          <w:ilvl w:val="1"/>
          <w:numId w:val="65"/>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38" w:lineRule="exact"/>
        <w:rPr>
          <w:rFonts w:ascii="Arial" w:cs="Arial" w:eastAsia="Arial" w:hAnsi="Arial"/>
          <w:sz w:val="16"/>
          <w:szCs w:val="16"/>
          <w:color w:val="auto"/>
        </w:rPr>
      </w:pPr>
    </w:p>
    <w:p>
      <w:pPr>
        <w:ind w:left="1860" w:hanging="263"/>
        <w:spacing w:after="0"/>
        <w:tabs>
          <w:tab w:leader="none" w:pos="18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delivering part or all of the amount to be withheld in the form of Common Stock valued at its Fair Market Value on the Tax Date;</w:t>
      </w:r>
    </w:p>
    <w:p>
      <w:pPr>
        <w:spacing w:after="0" w:line="140" w:lineRule="exact"/>
        <w:rPr>
          <w:rFonts w:ascii="Arial" w:cs="Arial" w:eastAsia="Arial" w:hAnsi="Arial"/>
          <w:sz w:val="16"/>
          <w:szCs w:val="16"/>
          <w:color w:val="auto"/>
        </w:rPr>
      </w:pPr>
    </w:p>
    <w:p>
      <w:pPr>
        <w:ind w:left="1200" w:right="240" w:firstLine="397"/>
        <w:spacing w:after="0" w:line="277" w:lineRule="auto"/>
        <w:tabs>
          <w:tab w:leader="none" w:pos="1916"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Shares having a Fair Market Value on the Tax Date equal to the amount to be withheld; or</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(iv) withholding from any compensation otherwise due to the Grantee.</w:t>
      </w:r>
    </w:p>
    <w:p>
      <w:pPr>
        <w:spacing w:after="0" w:line="117" w:lineRule="exact"/>
        <w:rPr>
          <w:sz w:val="20"/>
          <w:szCs w:val="20"/>
          <w:color w:val="auto"/>
        </w:rPr>
      </w:pPr>
    </w:p>
    <w:p>
      <w:pPr>
        <w:ind w:left="640" w:right="20" w:firstLine="423"/>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57" w:lineRule="exact"/>
        <w:rPr>
          <w:sz w:val="20"/>
          <w:szCs w:val="20"/>
          <w:color w:val="auto"/>
        </w:rPr>
      </w:pPr>
    </w:p>
    <w:p>
      <w:pPr>
        <w:ind w:left="200" w:right="40" w:firstLine="996"/>
        <w:spacing w:after="0" w:line="342" w:lineRule="auto"/>
        <w:tabs>
          <w:tab w:leader="none" w:pos="14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7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7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117" w:lineRule="exact"/>
        <w:rPr>
          <w:sz w:val="20"/>
          <w:szCs w:val="20"/>
          <w:color w:val="auto"/>
        </w:rPr>
      </w:pPr>
    </w:p>
    <w:p>
      <w:pPr>
        <w:ind w:left="200" w:firstLine="996"/>
        <w:spacing w:after="0" w:line="287" w:lineRule="auto"/>
        <w:tabs>
          <w:tab w:leader="none" w:pos="1437"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60" w:lineRule="exact"/>
        <w:rPr>
          <w:rFonts w:ascii="Arial" w:cs="Arial" w:eastAsia="Arial" w:hAnsi="Arial"/>
          <w:sz w:val="16"/>
          <w:szCs w:val="16"/>
          <w:color w:val="auto"/>
        </w:rPr>
      </w:pPr>
    </w:p>
    <w:p>
      <w:pPr>
        <w:jc w:val="both"/>
        <w:ind w:left="200" w:right="100" w:firstLine="996"/>
        <w:spacing w:after="0" w:line="302" w:lineRule="auto"/>
        <w:tabs>
          <w:tab w:leader="none" w:pos="14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46"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Forfeiture Events</w:t>
      </w:r>
      <w:r>
        <w:rPr>
          <w:rFonts w:ascii="Arial" w:cs="Arial" w:eastAsia="Arial" w:hAnsi="Arial"/>
          <w:sz w:val="16"/>
          <w:szCs w:val="16"/>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4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5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8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7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80"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Unfunded Status of Awards; Creation of Trusts</w:t>
      </w:r>
      <w:r>
        <w:rPr>
          <w:rFonts w:ascii="Arial" w:cs="Arial" w:eastAsia="Arial" w:hAnsi="Arial"/>
          <w:sz w:val="17"/>
          <w:szCs w:val="17"/>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cash, Shares or other property pursuant to any Award which trusts or other arrangements shall be consistent with the “unfunded” status of the Plan unless the Committee otherwise determines.</w:t>
      </w:r>
    </w:p>
    <w:p>
      <w:pPr>
        <w:spacing w:after="0" w:line="6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Construction</w:t>
      </w:r>
      <w:r>
        <w:rPr>
          <w:rFonts w:ascii="Arial" w:cs="Arial" w:eastAsia="Arial" w:hAnsi="Arial"/>
          <w:sz w:val="16"/>
          <w:szCs w:val="16"/>
          <w:color w:val="auto"/>
        </w:rPr>
        <w:t>. The following rules of construction will apply to the Plan: (a) the word “or” is disjunctive but not necessarily exclusive, and</w:t>
      </w:r>
    </w:p>
    <w:p>
      <w:pPr>
        <w:spacing w:after="0" w:line="46" w:lineRule="exact"/>
        <w:rPr>
          <w:sz w:val="20"/>
          <w:szCs w:val="20"/>
          <w:color w:val="auto"/>
        </w:rPr>
      </w:pPr>
    </w:p>
    <w:p>
      <w:pPr>
        <w:ind w:left="200" w:right="120" w:firstLine="4"/>
        <w:spacing w:after="0" w:line="261" w:lineRule="auto"/>
        <w:tabs>
          <w:tab w:leader="none" w:pos="4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7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7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No Right to Continue as Director</w:t>
      </w:r>
      <w:r>
        <w:rPr>
          <w:rFonts w:ascii="Arial" w:cs="Arial" w:eastAsia="Arial" w:hAnsi="Arial"/>
          <w:sz w:val="18"/>
          <w:szCs w:val="18"/>
          <w:color w:val="auto"/>
        </w:rPr>
        <w:t>. Nothing in the Plan or any Award Agreement shall confer upon any Non-Employee Director the right to continue to serve as a director of the Company.</w:t>
      </w:r>
    </w:p>
    <w:p>
      <w:pPr>
        <w:spacing w:after="0" w:line="6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220345</wp:posOffset>
            </wp:positionV>
            <wp:extent cx="6028690" cy="78041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28690" cy="78041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220345</wp:posOffset>
            </wp:positionV>
            <wp:extent cx="6028690" cy="78041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28690" cy="780415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lvl w:ilvl="1">
      <w:lvlJc w:val="left"/>
      <w:lvlText w:val="%2)"/>
      <w:numFmt w:val="decimal"/>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lowerRoman"/>
      <w:start w:val="2"/>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lowerRoman"/>
      <w:start w:val="2"/>
    </w:lvl>
    <w:lvl w:ilvl="1">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lowerLetter"/>
      <w:start w:val="1"/>
    </w:lvl>
    <w:lvl w:ilvl="1">
      <w:lvlJc w:val="left"/>
      <w:lvlText w:val="(%2)"/>
      <w:numFmt w:val="lowerLetter"/>
      <w:start w:val="2"/>
    </w:lvl>
  </w:abstractNum>
  <w:abstractNum w:abstractNumId="38">
    <w:nsid w:val="520EEDD1"/>
    <w:multiLevelType w:val="hybridMultilevel"/>
    <w:lvl w:ilvl="0">
      <w:lvlJc w:val="left"/>
      <w:lvlText w:val="(%1)"/>
      <w:numFmt w:val="lowerLetter"/>
      <w:start w:val="9"/>
    </w:lvl>
    <w:lvl w:ilvl="1">
      <w:lvlJc w:val="left"/>
      <w:lvlText w:val="(%2)"/>
      <w:numFmt w:val="lowerLetter"/>
      <w:start w:val="3"/>
    </w:lvl>
  </w:abstractNum>
  <w:abstractNum w:abstractNumId="39">
    <w:nsid w:val="374A3FE6"/>
    <w:multiLevelType w:val="hybridMultilevel"/>
    <w:lvl w:ilvl="0">
      <w:lvlJc w:val="left"/>
      <w:lvlText w:val="(%1)"/>
      <w:numFmt w:val="lowerLetter"/>
      <w:start w:val="1"/>
    </w:lvl>
    <w:lvl w:ilvl="1">
      <w:lvlJc w:val="left"/>
      <w:lvlText w:val="(%2)"/>
      <w:numFmt w:val="lowerRoman"/>
      <w:start w:val="1"/>
    </w:lvl>
  </w:abstractNum>
  <w:abstractNum w:abstractNumId="40">
    <w:nsid w:val="4F4EF005"/>
    <w:multiLevelType w:val="hybridMultilevel"/>
    <w:lvl w:ilvl="0">
      <w:lvlJc w:val="left"/>
      <w:lvlText w:val="(%1)"/>
      <w:numFmt w:val="lowerLetter"/>
      <w:start w:val="2"/>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2"/>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5"/>
    </w:lvl>
  </w:abstractNum>
  <w:abstractNum w:abstractNumId="45">
    <w:nsid w:val="1CF10FD8"/>
    <w:multiLevelType w:val="hybridMultilevel"/>
    <w:lvl w:ilvl="0">
      <w:lvlJc w:val="left"/>
      <w:lvlText w:val="(%1)"/>
      <w:numFmt w:val="lowerLetter"/>
      <w:start w:val="16"/>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35"/>
    </w:lvl>
    <w:lvl w:ilvl="1">
      <w:lvlJc w:val="left"/>
      <w:lvlText w:val="(%2)"/>
      <w:numFmt w:val="lowerLetter"/>
      <w:start w:val="3"/>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2"/>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8"/>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Roman"/>
      <w:start w:val="10"/>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25"/>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1"/>
    </w:lvl>
    <w:lvl w:ilvl="1">
      <w:lvlJc w:val="left"/>
      <w:lvlText w:val="(%2)"/>
      <w:numFmt w:val="lowerRoman"/>
      <w:start w:val="1"/>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2019-12-15T20:34:17Z</dcterms:created>
  <dcterms:modified xsi:type="dcterms:W3CDTF">2019-12-15T20:34:17Z</dcterms:modified>
</cp:coreProperties>
</file>