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April 28, 2017</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207"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365" w:lineRule="exact"/>
        <w:rPr>
          <w:sz w:val="24"/>
          <w:szCs w:val="24"/>
          <w:color w:val="auto"/>
        </w:rPr>
      </w:pPr>
    </w:p>
    <w:p>
      <w:pPr>
        <w:sectPr>
          <w:pgSz w:w="11900" w:h="16838" w:orient="portrait"/>
          <w:cols w:equalWidth="0" w:num="2">
            <w:col w:w="6540" w:space="720"/>
            <w:col w:w="4160"/>
          </w:cols>
          <w:pgMar w:left="240" w:top="47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Azrieli Triangle Building, 132 Derech Menachem Begin, 39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Tel Aviv 6701101 Israel</w:t>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Ltd. 2010 Incentive Option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 West Germantown Pike, Suite 400, Plymouth Meeting, PA, 19462 Tel: (610)-940-1631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1" w:lineRule="exact"/>
        <w:rPr>
          <w:sz w:val="24"/>
          <w:szCs w:val="24"/>
          <w:color w:val="auto"/>
        </w:rPr>
      </w:pPr>
    </w:p>
    <w:tbl>
      <w:tblPr>
        <w:tblLayout w:type="fixed"/>
        <w:tblInd w:w="8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COPIES TO:</w:t>
            </w:r>
          </w:p>
        </w:tc>
      </w:tr>
      <w:tr>
        <w:trPr>
          <w:trHeight w:val="418"/>
        </w:trPr>
        <w:tc>
          <w:tcPr>
            <w:tcW w:w="4220" w:type="dxa"/>
            <w:vAlign w:val="bottom"/>
          </w:tcPr>
          <w:p>
            <w:pPr>
              <w:jc w:val="center"/>
              <w:ind w:right="90"/>
              <w:spacing w:after="0"/>
              <w:rPr>
                <w:sz w:val="20"/>
                <w:szCs w:val="20"/>
                <w:color w:val="auto"/>
              </w:rPr>
            </w:pPr>
            <w:r>
              <w:rPr>
                <w:rFonts w:ascii="Arial" w:cs="Arial" w:eastAsia="Arial" w:hAnsi="Arial"/>
                <w:sz w:val="18"/>
                <w:szCs w:val="18"/>
                <w:color w:val="auto"/>
                <w:w w:val="92"/>
              </w:rPr>
              <w:t>Howard E. Berkenblit, Esq.</w:t>
            </w:r>
          </w:p>
        </w:tc>
        <w:tc>
          <w:tcPr>
            <w:tcW w:w="4640" w:type="dxa"/>
            <w:vAlign w:val="bottom"/>
          </w:tcPr>
          <w:p>
            <w:pPr>
              <w:jc w:val="center"/>
              <w:ind w:left="2310"/>
              <w:spacing w:after="0"/>
              <w:rPr>
                <w:sz w:val="20"/>
                <w:szCs w:val="20"/>
                <w:color w:val="auto"/>
              </w:rPr>
            </w:pPr>
            <w:r>
              <w:rPr>
                <w:rFonts w:ascii="Arial" w:cs="Arial" w:eastAsia="Arial" w:hAnsi="Arial"/>
                <w:sz w:val="18"/>
                <w:szCs w:val="18"/>
                <w:color w:val="auto"/>
                <w:w w:val="92"/>
              </w:rPr>
              <w:t>Eran Ben-Dor, Adv.</w:t>
            </w:r>
          </w:p>
        </w:tc>
      </w:tr>
      <w:tr>
        <w:trPr>
          <w:trHeight w:val="216"/>
        </w:trPr>
        <w:tc>
          <w:tcPr>
            <w:tcW w:w="4220" w:type="dxa"/>
            <w:vAlign w:val="bottom"/>
          </w:tcPr>
          <w:p>
            <w:pPr>
              <w:jc w:val="center"/>
              <w:ind w:right="90"/>
              <w:spacing w:after="0"/>
              <w:rPr>
                <w:sz w:val="20"/>
                <w:szCs w:val="20"/>
                <w:color w:val="auto"/>
              </w:rPr>
            </w:pPr>
            <w:r>
              <w:rPr>
                <w:rFonts w:ascii="Arial" w:cs="Arial" w:eastAsia="Arial" w:hAnsi="Arial"/>
                <w:sz w:val="18"/>
                <w:szCs w:val="18"/>
                <w:color w:val="auto"/>
                <w:w w:val="88"/>
              </w:rPr>
              <w:t>Shy S. Baranov, Esq.</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2"/>
              </w:rPr>
              <w:t>Zysman, Aharoni, Gayer &amp; Co.</w:t>
            </w:r>
          </w:p>
        </w:tc>
      </w:tr>
      <w:tr>
        <w:trPr>
          <w:trHeight w:val="216"/>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2"/>
              </w:rPr>
              <w:t>Zysman, Aharoni, Gayer and Sullivan &amp; Worcester LLP</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4"/>
              </w:rPr>
              <w:t>41-45 Rothschild Blvd.</w:t>
            </w:r>
          </w:p>
        </w:tc>
      </w:tr>
      <w:tr>
        <w:trPr>
          <w:trHeight w:val="216"/>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1"/>
              </w:rPr>
              <w:t>1633 Broadway</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8"/>
              </w:rPr>
              <w:t>Beit Zion</w:t>
            </w:r>
          </w:p>
        </w:tc>
      </w:tr>
      <w:tr>
        <w:trPr>
          <w:trHeight w:val="216"/>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3"/>
              </w:rPr>
              <w:t>New York, NY 10019</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3"/>
              </w:rPr>
              <w:t>Tel Aviv 65784, Israel</w:t>
            </w:r>
          </w:p>
        </w:tc>
      </w:tr>
      <w:tr>
        <w:trPr>
          <w:trHeight w:val="230"/>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1"/>
              </w:rPr>
              <w:t>(212)-660-3000</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1"/>
              </w:rPr>
              <w:t>Tel: +972-3-7955555</w:t>
            </w:r>
          </w:p>
        </w:tc>
      </w:tr>
    </w:tbl>
    <w:p>
      <w:pPr>
        <w:spacing w:after="0" w:line="200" w:lineRule="exact"/>
        <w:rPr>
          <w:sz w:val="24"/>
          <w:szCs w:val="24"/>
          <w:color w:val="auto"/>
        </w:rPr>
      </w:pPr>
    </w:p>
    <w:p>
      <w:pPr>
        <w:spacing w:after="0" w:line="218"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1820" w:val="left"/>
          <w:tab w:leader="none" w:pos="35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rFonts w:ascii="MS PGothic" w:cs="MS PGothic" w:eastAsia="MS PGothic" w:hAnsi="MS PGothic"/>
          <w:sz w:val="18"/>
          <w:szCs w:val="18"/>
          <w:color w:val="auto"/>
        </w:rPr>
        <w:tab/>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80" w:type="dxa"/>
            <w:vAlign w:val="bottom"/>
            <w:tcBorders>
              <w:top w:val="single" w:sz="8" w:color="auto"/>
              <w:right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spacing w:after="0"/>
              <w:rPr>
                <w:sz w:val="19"/>
                <w:szCs w:val="19"/>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800" w:type="dxa"/>
            <w:vAlign w:val="bottom"/>
            <w:tcBorders>
              <w:top w:val="single" w:sz="8" w:color="auto"/>
            </w:tcBorders>
          </w:tcPr>
          <w:p>
            <w:pPr>
              <w:spacing w:after="0"/>
              <w:rPr>
                <w:sz w:val="19"/>
                <w:szCs w:val="19"/>
                <w:color w:val="auto"/>
              </w:rPr>
            </w:pPr>
          </w:p>
        </w:tc>
      </w:tr>
      <w:tr>
        <w:trPr>
          <w:trHeight w:val="216"/>
        </w:trPr>
        <w:tc>
          <w:tcPr>
            <w:tcW w:w="4480" w:type="dxa"/>
            <w:vAlign w:val="bottom"/>
            <w:tcBorders>
              <w:right w:val="single" w:sz="8" w:color="auto"/>
            </w:tcBorders>
          </w:tcPr>
          <w:p>
            <w:pPr>
              <w:ind w:left="920"/>
              <w:spacing w:after="0"/>
              <w:rPr>
                <w:sz w:val="20"/>
                <w:szCs w:val="20"/>
                <w:color w:val="auto"/>
              </w:rPr>
            </w:pPr>
            <w:r>
              <w:rPr>
                <w:rFonts w:ascii="Arial" w:cs="Arial" w:eastAsia="Arial" w:hAnsi="Arial"/>
                <w:sz w:val="18"/>
                <w:szCs w:val="18"/>
                <w:b w:val="1"/>
                <w:bCs w:val="1"/>
                <w:color w:val="auto"/>
              </w:rPr>
              <w:t>Title of Securities to be Registered</w:t>
            </w:r>
          </w:p>
        </w:tc>
        <w:tc>
          <w:tcPr>
            <w:tcW w:w="15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Amount to be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offering price per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4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registered (2)</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34"/>
        </w:trPr>
        <w:tc>
          <w:tcPr>
            <w:tcW w:w="4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price</w:t>
            </w:r>
          </w:p>
        </w:tc>
        <w:tc>
          <w:tcPr>
            <w:tcW w:w="1800" w:type="dxa"/>
            <w:vAlign w:val="bottom"/>
            <w:tcBorders>
              <w:bottom w:val="single" w:sz="8" w:color="auto"/>
            </w:tcBorders>
          </w:tcPr>
          <w:p>
            <w:pPr>
              <w:spacing w:after="0"/>
              <w:rPr>
                <w:sz w:val="20"/>
                <w:szCs w:val="20"/>
                <w:color w:val="auto"/>
              </w:rPr>
            </w:pPr>
          </w:p>
        </w:tc>
      </w:tr>
      <w:tr>
        <w:trPr>
          <w:trHeight w:val="210"/>
        </w:trPr>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Ordinary Shares (1)</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$5.53 (3)</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$ 276,500</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$32.05</w:t>
            </w:r>
          </w:p>
        </w:tc>
      </w:tr>
      <w:tr>
        <w:trPr>
          <w:trHeight w:val="210"/>
        </w:trPr>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Ordinary Shares (1)</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1,359,232</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$1.19 (3)</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$1,617,486</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$187.47</w:t>
            </w:r>
          </w:p>
        </w:tc>
      </w:tr>
      <w:tr>
        <w:trPr>
          <w:trHeight w:val="210"/>
        </w:trPr>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1,409,232</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1,893,986</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219.52</w:t>
            </w:r>
          </w:p>
        </w:tc>
      </w:tr>
    </w:tbl>
    <w:p>
      <w:pPr>
        <w:spacing w:after="0" w:line="20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 value NIS 0.01 per share.</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or the Securities Act, this Registration Statement also covers an indeterminate number of additional securities which may be offered and issued to prevent dilution resulting from stock splits, stock dividends, recapitalizations or similar transactions.</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Computed in accordance with Rule 457(h) promulgated under the Securities Act based on the exercise price of the options underlying the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are filing this Registration Statement on Form S-8 in connection with 1,409,232 ordinary shares issuable to eligible directors, employees, office holders, service providers and consultants of Alcobra Ltd., or the Company or the Registrant, and its affiliates, under the Company’s 2010 Incentive Option Plan, or the Plan, which are in addition to the 1,364,533 ordinary shares under the Plan registered on the Company’s Form S-8 filed on March 28, 2014 (Commission File No. 333-194875), the 481,565 ordinary shares under the Plan registered on the Company’s Form S-8 filed on February 27, 2015 (Commission File No. 333-202394) and the 959,571 ordinary shares under the Plan registered on the Company’s Form S-8 filed on March 4, 2016 (Commission File No. 333-209947), or, collectively, the Prior Registration Statements. The aggregate number of ordinary shares the Company has registered under this Registration Statement on Form S-8 and the Prior Registration Statements is 4,214,901.</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Registration Statement relates to securities of the same class as those to which the Prior Registration Statements relate, and is submitted in accordance with General Instruction E to Form S-8 regarding Registration of Additional Securities. Pursuant to Instruction E of Form S-8, the contents of the Prior Registration Statements are incorporated herein by reference and made part of this Registration Statement, except as amended hereby.</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Increases in the number of ordinary shares authorized for issuance under the Plan were approved by the board of directors of the Company on March 26, 2014, August 10, 2014, December 16, 2014, March 2, 2016 and March 13, 2017.</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All information required by Part I to be contained in the prospectus is omitted from this Registration Statement in accordance with Rule 428 and the introductory note to Part I of Form S-8, in each case under the Securities Act of 1933, as amended.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documents filed with or furnished to the Securities and Exchange Commission, or the SEC, by the Registrant are incorporated herein by reference and made a part hereof:</w:t>
      </w:r>
    </w:p>
    <w:p>
      <w:pPr>
        <w:spacing w:after="0" w:line="170"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Annual Report on Form 20-F for the fiscal year ended December 31, 2016, filed with the SEC on April 27, 2017;</w:t>
      </w:r>
    </w:p>
    <w:p>
      <w:pPr>
        <w:spacing w:after="0" w:line="23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par value NIS 0.01 per share contained in the Registrant’s registration statement on Form 8-A filed pursuant to the Securities the Exchange Act of 1934, as amended, or the Exchange Act, on May 17, 2013 (File No. 001-35932), including any amendment or report filed for the purpose of updating such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both"/>
        <w:ind w:firstLine="648"/>
        <w:spacing w:after="0" w:line="279" w:lineRule="auto"/>
        <w:rPr>
          <w:sz w:val="20"/>
          <w:szCs w:val="20"/>
          <w:color w:val="auto"/>
        </w:rPr>
      </w:pPr>
      <w:r>
        <w:rPr>
          <w:rFonts w:ascii="Arial" w:cs="Arial" w:eastAsia="Arial" w:hAnsi="Arial"/>
          <w:sz w:val="17"/>
          <w:szCs w:val="17"/>
          <w:color w:val="auto"/>
        </w:rPr>
        <w:t>In addition to the foregoing, all documents subsequently filed by the Registrant pursuant to Sections 13(a), 13(c), 14 and 15(d) of the Exchange Act, and all reports on Form 6-K subsequently filed by the Registrant which state that they are incorporated by reference herein, prior to the filing of a post-effective amendment which indicates that all securities offered hereunder have been sold or which deregisters all securities then remaining unsold, shall be deemed to be incorporated by reference herein and to be part hereof from the date of filing of such documents and reports.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modifies or supersedes such statement. Any statement so modified or superseded shall not be deemed, except as so modified or superseded, to constitute a part of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Articles of Association of the Registrant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Zysman, Aharoni, Gayer &amp; Co.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Kost Forer Gabbay &amp; Kasierer, Certified Public Accountants (Israel) (a Member of Ernst &amp; Young Global)</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Zysman, Aharoni, Gayer &amp; Co. (included in the opinion filed as Exhibit 5.1 to this Registration Statement)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99.1(2)  Alcobra Ltd. 2010 Incentive Option Plan,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w:t>
      </w:r>
    </w:p>
    <w:p>
      <w:pPr>
        <w:spacing w:after="0" w:line="225" w:lineRule="exact"/>
        <w:rPr>
          <w:sz w:val="20"/>
          <w:szCs w:val="20"/>
          <w:color w:val="auto"/>
        </w:rPr>
      </w:pPr>
    </w:p>
    <w:p>
      <w:pPr>
        <w:ind w:left="1620" w:hanging="315"/>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3.2 to Form F-1/A filed with the SEC on March 19, 2013 (File No. 333-186003), and incorporated herein by reference.</w:t>
      </w:r>
    </w:p>
    <w:p>
      <w:pPr>
        <w:spacing w:after="0" w:line="170" w:lineRule="exact"/>
        <w:rPr>
          <w:rFonts w:ascii="Arial" w:cs="Arial" w:eastAsia="Arial" w:hAnsi="Arial"/>
          <w:sz w:val="18"/>
          <w:szCs w:val="18"/>
          <w:color w:val="auto"/>
        </w:rPr>
      </w:pPr>
    </w:p>
    <w:p>
      <w:pPr>
        <w:ind w:left="1620" w:hanging="315"/>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4.3 to Form 20-F filed with the SEC on April 28, 2017 (File No. 001-35932),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Tel-Aviv, State of Israel, on April 28, 2017.</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ALCOBRA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the undersigned officers and directors of Alcobra Ltd., hereby severally constitute and appoint Yaron Daniely and Tomer Berkovitz,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S-8 has been signed below by the following persons in the capacities and on the dates indicated.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9"/>
          </w:tcPr>
          <w:p>
            <w:pPr>
              <w:jc w:val="center"/>
              <w:ind w:right="1000"/>
              <w:spacing w:after="0"/>
              <w:rPr>
                <w:sz w:val="20"/>
                <w:szCs w:val="20"/>
                <w:color w:val="auto"/>
              </w:rPr>
            </w:pPr>
            <w:r>
              <w:rPr>
                <w:rFonts w:ascii="Arial" w:cs="Arial" w:eastAsia="Arial" w:hAnsi="Arial"/>
                <w:sz w:val="18"/>
                <w:szCs w:val="18"/>
                <w:b w:val="1"/>
                <w:bCs w:val="1"/>
                <w:color w:val="auto"/>
                <w:w w:val="89"/>
              </w:rPr>
              <w:t>Signature</w:t>
            </w:r>
          </w:p>
        </w:tc>
        <w:tc>
          <w:tcPr>
            <w:tcW w:w="5020" w:type="dxa"/>
            <w:vAlign w:val="bottom"/>
            <w:gridSpan w:val="3"/>
          </w:tcPr>
          <w:p>
            <w:pPr>
              <w:ind w:left="2280"/>
              <w:spacing w:after="0"/>
              <w:rPr>
                <w:sz w:val="20"/>
                <w:szCs w:val="20"/>
                <w:color w:val="auto"/>
              </w:rPr>
            </w:pPr>
            <w:r>
              <w:rPr>
                <w:rFonts w:ascii="Arial" w:cs="Arial" w:eastAsia="Arial" w:hAnsi="Arial"/>
                <w:sz w:val="18"/>
                <w:szCs w:val="18"/>
                <w:b w:val="1"/>
                <w:bCs w:val="1"/>
                <w:color w:val="auto"/>
              </w:rPr>
              <w:t>Title</w:t>
            </w:r>
          </w:p>
        </w:tc>
        <w:tc>
          <w:tcPr>
            <w:tcW w:w="1080" w:type="dxa"/>
            <w:vAlign w:val="bottom"/>
          </w:tcPr>
          <w:p>
            <w:pPr>
              <w:spacing w:after="0"/>
              <w:rPr>
                <w:sz w:val="18"/>
                <w:szCs w:val="18"/>
                <w:color w:val="auto"/>
              </w:rPr>
            </w:pPr>
          </w:p>
        </w:tc>
        <w:tc>
          <w:tcPr>
            <w:tcW w:w="206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Borders>
              <w:bottom w:val="single" w:sz="8" w:color="auto"/>
            </w:tcBorders>
            <w:gridSpan w:val="12"/>
          </w:tcPr>
          <w:p>
            <w:pPr>
              <w:jc w:val="center"/>
              <w:ind w:right="20"/>
              <w:spacing w:after="0"/>
              <w:rPr>
                <w:sz w:val="20"/>
                <w:szCs w:val="20"/>
                <w:color w:val="auto"/>
              </w:rPr>
            </w:pPr>
            <w:r>
              <w:rPr>
                <w:rFonts w:ascii="Arial" w:cs="Arial" w:eastAsia="Arial" w:hAnsi="Arial"/>
                <w:sz w:val="18"/>
                <w:szCs w:val="18"/>
                <w:color w:val="auto"/>
                <w:w w:val="92"/>
              </w:rPr>
              <w:t>/s/ Dr. Yaron Daniely</w:t>
            </w:r>
          </w:p>
        </w:tc>
        <w:tc>
          <w:tcPr>
            <w:tcW w:w="580" w:type="dxa"/>
            <w:vAlign w:val="bottom"/>
            <w:gridSpan w:val="2"/>
          </w:tcPr>
          <w:p>
            <w:pPr>
              <w:spacing w:after="0"/>
              <w:rPr>
                <w:sz w:val="24"/>
                <w:szCs w:val="24"/>
                <w:color w:val="auto"/>
              </w:rPr>
            </w:pP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Chief Executive Officer, President and Director</w:t>
            </w:r>
          </w:p>
        </w:tc>
        <w:tc>
          <w:tcPr>
            <w:tcW w:w="314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April 28, 2017</w:t>
            </w:r>
          </w:p>
        </w:tc>
      </w:tr>
      <w:tr>
        <w:trPr>
          <w:trHeight w:val="237"/>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gridSpan w:val="12"/>
          </w:tcPr>
          <w:p>
            <w:pPr>
              <w:jc w:val="center"/>
              <w:ind w:right="640"/>
              <w:spacing w:after="0"/>
              <w:rPr>
                <w:sz w:val="20"/>
                <w:szCs w:val="20"/>
                <w:color w:val="auto"/>
              </w:rPr>
            </w:pPr>
            <w:r>
              <w:rPr>
                <w:rFonts w:ascii="Arial" w:cs="Arial" w:eastAsia="Arial" w:hAnsi="Arial"/>
                <w:sz w:val="18"/>
                <w:szCs w:val="18"/>
                <w:color w:val="auto"/>
                <w:w w:val="92"/>
              </w:rPr>
              <w:t>Dr. Yaron Daniely</w:t>
            </w: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(principal executive 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3260" w:type="dxa"/>
            <w:vAlign w:val="bottom"/>
            <w:gridSpan w:val="16"/>
          </w:tcPr>
          <w:p>
            <w:pPr>
              <w:jc w:val="center"/>
              <w:ind w:left="430"/>
              <w:spacing w:after="0"/>
              <w:rPr>
                <w:sz w:val="20"/>
                <w:szCs w:val="20"/>
                <w:color w:val="auto"/>
              </w:rPr>
            </w:pPr>
            <w:r>
              <w:rPr>
                <w:rFonts w:ascii="Arial" w:cs="Arial" w:eastAsia="Arial" w:hAnsi="Arial"/>
                <w:sz w:val="18"/>
                <w:szCs w:val="18"/>
                <w:color w:val="auto"/>
                <w:w w:val="92"/>
              </w:rPr>
              <w:t>/s/ Dr. Tomer Berkovitz</w:t>
            </w: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Chief Operating Officer and Chief Financial Officer</w:t>
            </w:r>
          </w:p>
        </w:tc>
        <w:tc>
          <w:tcPr>
            <w:tcW w:w="314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April 28, 2017</w:t>
            </w:r>
          </w:p>
        </w:tc>
      </w:tr>
      <w:tr>
        <w:trPr>
          <w:trHeight w:val="222"/>
        </w:trPr>
        <w:tc>
          <w:tcPr>
            <w:tcW w:w="1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12"/>
          </w:tcPr>
          <w:p>
            <w:pPr>
              <w:jc w:val="center"/>
              <w:ind w:right="100"/>
              <w:spacing w:after="0"/>
              <w:rPr>
                <w:sz w:val="20"/>
                <w:szCs w:val="20"/>
                <w:color w:val="auto"/>
              </w:rPr>
            </w:pPr>
            <w:r>
              <w:rPr>
                <w:rFonts w:ascii="Arial" w:cs="Arial" w:eastAsia="Arial" w:hAnsi="Arial"/>
                <w:sz w:val="18"/>
                <w:szCs w:val="18"/>
                <w:color w:val="auto"/>
                <w:w w:val="93"/>
              </w:rPr>
              <w:t>Dr. Tomer Berkovitz</w:t>
            </w:r>
          </w:p>
        </w:tc>
        <w:tc>
          <w:tcPr>
            <w:tcW w:w="520" w:type="dxa"/>
            <w:vAlign w:val="bottom"/>
          </w:tcPr>
          <w:p>
            <w:pPr>
              <w:spacing w:after="0"/>
              <w:rPr>
                <w:sz w:val="19"/>
                <w:szCs w:val="19"/>
                <w:color w:val="auto"/>
              </w:rPr>
            </w:pP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(principal financial officer and principal accounting</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13"/>
          </w:tcPr>
          <w:p>
            <w:pPr>
              <w:jc w:val="center"/>
              <w:ind w:right="620"/>
              <w:spacing w:after="0"/>
              <w:rPr>
                <w:sz w:val="20"/>
                <w:szCs w:val="20"/>
                <w:color w:val="auto"/>
              </w:rPr>
            </w:pPr>
            <w:r>
              <w:rPr>
                <w:rFonts w:ascii="Arial" w:cs="Arial" w:eastAsia="Arial" w:hAnsi="Arial"/>
                <w:sz w:val="18"/>
                <w:szCs w:val="18"/>
                <w:color w:val="auto"/>
                <w:w w:val="90"/>
              </w:rPr>
              <w:t>/s/ Howard B. Rosen</w:t>
            </w: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Chairman of the Board</w:t>
            </w:r>
          </w:p>
        </w:tc>
        <w:tc>
          <w:tcPr>
            <w:tcW w:w="314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April 28, 2017</w:t>
            </w:r>
          </w:p>
        </w:tc>
      </w:tr>
      <w:tr>
        <w:trPr>
          <w:trHeight w:val="237"/>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7"/>
          </w:tcPr>
          <w:p>
            <w:pPr>
              <w:jc w:val="center"/>
              <w:ind w:right="100"/>
              <w:spacing w:after="0"/>
              <w:rPr>
                <w:sz w:val="20"/>
                <w:szCs w:val="20"/>
                <w:color w:val="auto"/>
              </w:rPr>
            </w:pPr>
            <w:r>
              <w:rPr>
                <w:rFonts w:ascii="Arial" w:cs="Arial" w:eastAsia="Arial" w:hAnsi="Arial"/>
                <w:sz w:val="18"/>
                <w:szCs w:val="18"/>
                <w:color w:val="auto"/>
                <w:w w:val="92"/>
              </w:rPr>
              <w:t>Howard B. Rosen</w:t>
            </w:r>
          </w:p>
        </w:tc>
        <w:tc>
          <w:tcPr>
            <w:tcW w:w="620" w:type="dxa"/>
            <w:vAlign w:val="bottom"/>
            <w:gridSpan w:val="4"/>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12"/>
          </w:tcPr>
          <w:p>
            <w:pPr>
              <w:jc w:val="center"/>
              <w:ind w:right="660"/>
              <w:spacing w:after="0"/>
              <w:rPr>
                <w:sz w:val="20"/>
                <w:szCs w:val="20"/>
                <w:color w:val="auto"/>
              </w:rPr>
            </w:pPr>
            <w:r>
              <w:rPr>
                <w:rFonts w:ascii="Arial" w:cs="Arial" w:eastAsia="Arial" w:hAnsi="Arial"/>
                <w:sz w:val="18"/>
                <w:szCs w:val="18"/>
                <w:color w:val="auto"/>
                <w:w w:val="92"/>
              </w:rPr>
              <w:t>/s/ Arieh Ben Yosef</w:t>
            </w: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Director</w:t>
            </w:r>
          </w:p>
        </w:tc>
        <w:tc>
          <w:tcPr>
            <w:tcW w:w="314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April 27, 2017</w:t>
            </w:r>
          </w:p>
        </w:tc>
      </w:tr>
      <w:tr>
        <w:trPr>
          <w:trHeight w:val="237"/>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92"/>
              </w:rPr>
              <w:t>Arieh Ben Yosef</w:t>
            </w:r>
          </w:p>
        </w:tc>
        <w:tc>
          <w:tcPr>
            <w:tcW w:w="660" w:type="dxa"/>
            <w:vAlign w:val="bottom"/>
            <w:gridSpan w:val="5"/>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color w:val="auto"/>
                <w:w w:val="93"/>
              </w:rPr>
              <w:t>/s/ Daniel E. Geffken</w:t>
            </w:r>
          </w:p>
        </w:tc>
        <w:tc>
          <w:tcPr>
            <w:tcW w:w="600" w:type="dxa"/>
            <w:vAlign w:val="bottom"/>
            <w:gridSpan w:val="3"/>
          </w:tcPr>
          <w:p>
            <w:pPr>
              <w:spacing w:after="0"/>
              <w:rPr>
                <w:sz w:val="24"/>
                <w:szCs w:val="24"/>
                <w:color w:val="auto"/>
              </w:rPr>
            </w:pP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Director</w:t>
            </w:r>
          </w:p>
        </w:tc>
        <w:tc>
          <w:tcPr>
            <w:tcW w:w="314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April 27, 2017</w:t>
            </w:r>
          </w:p>
        </w:tc>
      </w:tr>
      <w:tr>
        <w:trPr>
          <w:trHeight w:val="237"/>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20" w:type="dxa"/>
            <w:vAlign w:val="bottom"/>
            <w:gridSpan w:val="11"/>
          </w:tcPr>
          <w:p>
            <w:pPr>
              <w:jc w:val="center"/>
              <w:ind w:right="720"/>
              <w:spacing w:after="0"/>
              <w:rPr>
                <w:sz w:val="20"/>
                <w:szCs w:val="20"/>
                <w:color w:val="auto"/>
              </w:rPr>
            </w:pPr>
            <w:r>
              <w:rPr>
                <w:rFonts w:ascii="Arial" w:cs="Arial" w:eastAsia="Arial" w:hAnsi="Arial"/>
                <w:sz w:val="18"/>
                <w:szCs w:val="18"/>
                <w:color w:val="auto"/>
                <w:w w:val="92"/>
              </w:rPr>
              <w:t>Daniel E. Geffken</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3260" w:type="dxa"/>
            <w:vAlign w:val="bottom"/>
            <w:gridSpan w:val="16"/>
          </w:tcPr>
          <w:p>
            <w:pPr>
              <w:jc w:val="right"/>
              <w:ind w:right="520"/>
              <w:spacing w:after="0"/>
              <w:rPr>
                <w:sz w:val="20"/>
                <w:szCs w:val="20"/>
                <w:color w:val="auto"/>
              </w:rPr>
            </w:pPr>
            <w:r>
              <w:rPr>
                <w:rFonts w:ascii="Arial" w:cs="Arial" w:eastAsia="Arial" w:hAnsi="Arial"/>
                <w:sz w:val="18"/>
                <w:szCs w:val="18"/>
                <w:color w:val="auto"/>
              </w:rPr>
              <w:t>___________________</w:t>
            </w: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Director</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gridSpan w:val="14"/>
          </w:tcPr>
          <w:p>
            <w:pPr>
              <w:jc w:val="center"/>
              <w:ind w:right="600"/>
              <w:spacing w:after="0"/>
              <w:rPr>
                <w:sz w:val="20"/>
                <w:szCs w:val="20"/>
                <w:color w:val="auto"/>
              </w:rPr>
            </w:pPr>
            <w:r>
              <w:rPr>
                <w:rFonts w:ascii="Arial" w:cs="Arial" w:eastAsia="Arial" w:hAnsi="Arial"/>
                <w:sz w:val="18"/>
                <w:szCs w:val="18"/>
                <w:color w:val="auto"/>
                <w:w w:val="92"/>
              </w:rPr>
              <w:t>Dr. Aharon Schwartz</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2560" w:type="dxa"/>
            <w:vAlign w:val="bottom"/>
            <w:gridSpan w:val="10"/>
          </w:tcPr>
          <w:p>
            <w:pPr>
              <w:jc w:val="right"/>
              <w:ind w:right="40"/>
              <w:spacing w:after="0"/>
              <w:rPr>
                <w:sz w:val="20"/>
                <w:szCs w:val="20"/>
                <w:color w:val="auto"/>
              </w:rPr>
            </w:pPr>
            <w:r>
              <w:rPr>
                <w:rFonts w:ascii="Arial" w:cs="Arial" w:eastAsia="Arial" w:hAnsi="Arial"/>
                <w:sz w:val="18"/>
                <w:szCs w:val="18"/>
                <w:color w:val="auto"/>
              </w:rPr>
              <w:t>______________</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Director</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10"/>
          </w:tcPr>
          <w:p>
            <w:pPr>
              <w:jc w:val="center"/>
              <w:ind w:right="940"/>
              <w:spacing w:after="0"/>
              <w:rPr>
                <w:sz w:val="20"/>
                <w:szCs w:val="20"/>
                <w:color w:val="auto"/>
              </w:rPr>
            </w:pPr>
            <w:r>
              <w:rPr>
                <w:rFonts w:ascii="Arial" w:cs="Arial" w:eastAsia="Arial" w:hAnsi="Arial"/>
                <w:sz w:val="18"/>
                <w:szCs w:val="18"/>
                <w:color w:val="auto"/>
                <w:w w:val="90"/>
              </w:rPr>
              <w:t>Ofer Segev</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12"/>
          </w:tcPr>
          <w:p>
            <w:pPr>
              <w:jc w:val="center"/>
              <w:ind w:right="640"/>
              <w:spacing w:after="0"/>
              <w:rPr>
                <w:sz w:val="20"/>
                <w:szCs w:val="20"/>
                <w:color w:val="auto"/>
              </w:rPr>
            </w:pPr>
            <w:r>
              <w:rPr>
                <w:rFonts w:ascii="Arial" w:cs="Arial" w:eastAsia="Arial" w:hAnsi="Arial"/>
                <w:sz w:val="18"/>
                <w:szCs w:val="18"/>
                <w:color w:val="auto"/>
                <w:w w:val="91"/>
              </w:rPr>
              <w:t>/s/ Dr. Joao Siffert</w:t>
            </w: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Director</w:t>
            </w:r>
          </w:p>
        </w:tc>
        <w:tc>
          <w:tcPr>
            <w:tcW w:w="314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April 27, 2017</w:t>
            </w:r>
          </w:p>
        </w:tc>
      </w:tr>
      <w:tr>
        <w:trPr>
          <w:trHeight w:val="237"/>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1"/>
              </w:rPr>
              <w:t>Dr. Joao Siffert</w:t>
            </w:r>
          </w:p>
        </w:tc>
        <w:tc>
          <w:tcPr>
            <w:tcW w:w="700" w:type="dxa"/>
            <w:vAlign w:val="bottom"/>
            <w:gridSpan w:val="6"/>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92"/>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Orli Tori</w:t>
            </w:r>
          </w:p>
        </w:tc>
        <w:tc>
          <w:tcPr>
            <w:tcW w:w="940" w:type="dxa"/>
            <w:vAlign w:val="bottom"/>
            <w:gridSpan w:val="7"/>
          </w:tcPr>
          <w:p>
            <w:pPr>
              <w:spacing w:after="0"/>
              <w:rPr>
                <w:sz w:val="24"/>
                <w:szCs w:val="24"/>
                <w:color w:val="auto"/>
              </w:rPr>
            </w:pP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Director</w:t>
            </w:r>
          </w:p>
        </w:tc>
        <w:tc>
          <w:tcPr>
            <w:tcW w:w="314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April 27, 2017</w:t>
            </w:r>
          </w:p>
        </w:tc>
      </w:tr>
      <w:tr>
        <w:trPr>
          <w:trHeight w:val="237"/>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gridSpan w:val="9"/>
          </w:tcPr>
          <w:p>
            <w:pPr>
              <w:jc w:val="center"/>
              <w:ind w:right="1000"/>
              <w:spacing w:after="0"/>
              <w:rPr>
                <w:sz w:val="20"/>
                <w:szCs w:val="20"/>
                <w:color w:val="auto"/>
              </w:rPr>
            </w:pPr>
            <w:r>
              <w:rPr>
                <w:rFonts w:ascii="Arial" w:cs="Arial" w:eastAsia="Arial" w:hAnsi="Arial"/>
                <w:sz w:val="18"/>
                <w:szCs w:val="18"/>
                <w:color w:val="auto"/>
                <w:w w:val="96"/>
              </w:rPr>
              <w:t>Orli Tori</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891"/>
        </w:trPr>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Alcobra Ltd., has signed this Registration Statement on Form S-8 on April 28, 2017.</w:t>
      </w:r>
    </w:p>
    <w:p>
      <w:pPr>
        <w:spacing w:after="0" w:line="383"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ALCOBRA INC.</w:t>
      </w:r>
    </w:p>
    <w:p>
      <w:pPr>
        <w:spacing w:after="0" w:line="200" w:lineRule="exact"/>
        <w:rPr>
          <w:sz w:val="20"/>
          <w:szCs w:val="20"/>
          <w:color w:val="auto"/>
        </w:rPr>
      </w:pP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5.1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Zysman, Aharoni, Gayer &amp; Co.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Azrieli Triangle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6701101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acting as Israeli counsel for Alcobra Ltd., an Israeli company (the “Company”), in connection with the preparation of a Registration Statement on Form S-8 (the “Registration Statement”) under the Securities Act of 1933, as amended (the “Act”), pertaining to the registration of an additional 1,409,232 Ordinary Shares nominal value NIS 0.01 per share of the Company (the “Plan Shares”) under the Alcobra Ltd. 2010 Incentive Option Plan (the “Plan”).</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rendering our opinion, we have examined, and have relied as to factual matters solely upon, originals or copies certified, or otherwise identified to our satisfaction, of such documents, corporate records or other instruments as we have deemed necessary or appropriate for the purposes of this opinion. In our examination we have assumed the genuineness of all signatures, the authenticity of all documents submitted to us as originals, and the conformity with the originals of all documents submitted to us as copies. We have, when relevant facts material to our opinion were not independently established by us, relied to the extent we deemed such reliance proper upon written or oral statements of officers and other representatives of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giving the opinion expressed herein, no opinion is expressed as to the laws of any jurisdiction other than the State of Israel.</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Based upon and subject to the foregoing, we are of the opinion that the Plan Shares, when issued pursuant to the terms of the Plan, and the terms of any agreements relating to such issuance, will be upon receipt of the consideration provided for in the Plan, validly issued, fully paid and nonassessable.</w:t>
      </w:r>
    </w:p>
    <w:p>
      <w:pPr>
        <w:spacing w:after="0" w:line="12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This opinion is intended solely for the benefit and use of the Company and other persons who are entitled to rely on the Registration Statement, and is not to be used, released, quoted, or relied upon by anyone else for any purpose (other than as required by law), without our prior written consent.</w:t>
      </w:r>
    </w:p>
    <w:p>
      <w:pPr>
        <w:spacing w:after="0" w:line="12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hereby consent to the filing of this opinion as Exhibit 5.1 to the Registration Statement, and to the use of our name wherever appearing in the Registration Statement in connection with Israeli law. In giving such consent, we do not thereby admit that we are in the category of persons whose consent is required under Section 7 of the Act or the rules and regulations of the Securities and Exchange Commission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ZYSMAN AHARONI GAYER &amp; CO., LAW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Zysman, Aharoni, Gayer &amp; Co.,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Alcobra Ltd. 2010 Incentive Option Plan of our report dated April 27, 2017 with respect to the consolidated financial statements of Alcobra Ltd. and its subsidiary included in the Annual Report on Form 20-F of Alcobra Ltd. for the year ended December 31, 2016 filed with the Securities and Exchange Commission.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 Kost Forer Gabbay &amp; Kasierer</w:t>
            </w:r>
          </w:p>
        </w:tc>
      </w:tr>
      <w:tr>
        <w:trPr>
          <w:trHeight w:val="20"/>
        </w:trPr>
        <w:tc>
          <w:tcPr>
            <w:tcW w:w="686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Tel-Aviv, Israel</w:t>
            </w:r>
          </w:p>
        </w:tc>
        <w:tc>
          <w:tcPr>
            <w:tcW w:w="4560" w:type="dxa"/>
            <w:vAlign w:val="bottom"/>
            <w:gridSpan w:val="2"/>
          </w:tcPr>
          <w:p>
            <w:pPr>
              <w:spacing w:after="0"/>
              <w:rPr>
                <w:sz w:val="20"/>
                <w:szCs w:val="20"/>
                <w:color w:val="auto"/>
              </w:rPr>
            </w:pPr>
            <w:r>
              <w:rPr>
                <w:rFonts w:ascii="Arial" w:cs="Arial" w:eastAsia="Arial" w:hAnsi="Arial"/>
                <w:sz w:val="18"/>
                <w:szCs w:val="18"/>
                <w:color w:val="auto"/>
              </w:rPr>
              <w:t>KOST FORER GABBAY &amp; KASIERER</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April 27, 2017</w:t>
            </w:r>
          </w:p>
        </w:tc>
        <w:tc>
          <w:tcPr>
            <w:tcW w:w="4560" w:type="dxa"/>
            <w:vAlign w:val="bottom"/>
            <w:gridSpan w:val="2"/>
          </w:tcPr>
          <w:p>
            <w:pPr>
              <w:spacing w:after="0"/>
              <w:rPr>
                <w:sz w:val="20"/>
                <w:szCs w:val="20"/>
                <w:color w:val="auto"/>
              </w:rPr>
            </w:pPr>
            <w:r>
              <w:rPr>
                <w:rFonts w:ascii="Arial" w:cs="Arial" w:eastAsia="Arial" w:hAnsi="Arial"/>
                <w:sz w:val="18"/>
                <w:szCs w:val="18"/>
                <w:color w:val="auto"/>
              </w:rPr>
              <w:t>A Member of EY Global</w:t>
            </w:r>
          </w:p>
        </w:tc>
      </w:tr>
      <w:tr>
        <w:trPr>
          <w:trHeight w:val="675"/>
        </w:trPr>
        <w:tc>
          <w:tcPr>
            <w:tcW w:w="68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2019-12-07T19:09:39Z</dcterms:created>
  <dcterms:modified xsi:type="dcterms:W3CDTF">2019-12-07T19:09:39Z</dcterms:modified>
</cp:coreProperties>
</file>