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3496_8k-arct.htm"/>
      <w:bookmarkStart w:id="1" w:name="kse663496_8karct"/>
      <w:bookmarkEnd w:id="0"/>
      <w:bookmarkEnd w:id="1"/>
      <w:r>
        <w:rPr/>
        <w:t> </w:t>
      </w:r>
    </w:p>
    <w:tbl>
      <w:tblPr>
        <w:tblW w:w="90" w:type="dxa"/>
        <w:jc w:val="left"/>
        <w:tblInd w:w="-10" w:type="dxa"/>
        <w:tblLayout w:type="fixed"/>
        <w:tblCellMar>
          <w:top w:w="0" w:type="dxa"/>
          <w:left w:w="28" w:type="dxa"/>
          <w:bottom w:w="28" w:type="dxa"/>
          <w:right w:w="28" w:type="dxa"/>
        </w:tblCellMar>
      </w:tblPr>
      <w:tblGrid>
        <w:gridCol w:w="90"/>
      </w:tblGrid>
      <w:tr>
        <w:trPr/>
        <w:tc>
          <w:tcPr>
            <w:tcW w:w="90" w:type="dxa"/>
            <w:tcBorders>
              <w:left w:val="single" w:sz="8" w:space="0" w:color="000000"/>
              <w:bottom w:val="single" w:sz="12" w:space="0" w:color="000000"/>
              <w:right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Washington, D.C. 20549</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 </w:t>
      </w:r>
      <w:bookmarkStart w:id="2" w:name="xdx_90E_edei--DocumentType_c20240405__20"/>
      <w:bookmarkEnd w:id="2"/>
      <w:r>
        <w:rPr>
          <w:rFonts w:ascii="Times New Roman;Times;Serif" w:hAnsi="Times New Roman;Times;Serif"/>
          <w:b/>
          <w:i w:val="false"/>
          <w:caps w:val="false"/>
          <w:smallCaps w:val="false"/>
          <w:color w:val="212529"/>
          <w:sz w:val="20"/>
        </w:rPr>
        <w:t>8-K</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of the Securities Exchange Act of 1934</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Date of Report (Date of earliest event reported): </w:t>
      </w:r>
      <w:bookmarkStart w:id="3" w:name="xdx_90E_edei--DocumentPeriodEndDate_c202"/>
      <w:bookmarkEnd w:id="3"/>
      <w:r>
        <w:rPr>
          <w:rFonts w:ascii="Times New Roman;Times;Serif" w:hAnsi="Times New Roman;Times;Serif"/>
          <w:b/>
          <w:i w:val="false"/>
          <w:caps w:val="false"/>
          <w:smallCaps w:val="false"/>
          <w:color w:val="212529"/>
          <w:sz w:val="20"/>
        </w:rPr>
        <w:t>April 5, 2024</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36"/>
        </w:rPr>
      </w:pPr>
      <w:bookmarkStart w:id="4" w:name="xdx_908_edei--EntityRegistrantName_c2024"/>
      <w:bookmarkEnd w:id="4"/>
      <w:r>
        <w:rPr>
          <w:rFonts w:ascii="Times New Roman;Times;Serif" w:hAnsi="Times New Roman;Times;Serif"/>
          <w:b/>
          <w:i w:val="false"/>
          <w:caps w:val="false"/>
          <w:smallCaps w:val="false"/>
          <w:color w:val="212529"/>
          <w:sz w:val="36"/>
        </w:rPr>
        <w:t>ARCTURUS THERAPEUTICS HOLDINGS INC.</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(Exact name of registrant as specified in its charter)</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40405"/>
            <w:bookmarkEnd w:id="6"/>
            <w:r>
              <w:rPr>
                <w:rFonts w:ascii="Times New Roman;Times;Serif" w:hAnsi="Times New Roman;Times;Serif"/>
                <w:b/>
                <w:sz w:val="20"/>
              </w:rPr>
              <w:t>001-38942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32-0595345</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8" w:name="xdx_903_edei--EntityAddressAddressLine1_"/>
      <w:bookmarkEnd w:id="8"/>
      <w:r>
        <w:rPr>
          <w:rFonts w:ascii="Times New Roman;Times;Serif" w:hAnsi="Times New Roman;Times;Serif"/>
          <w:b/>
          <w:i w:val="false"/>
          <w:caps w:val="false"/>
          <w:smallCaps w:val="false"/>
          <w:color w:val="212529"/>
          <w:sz w:val="20"/>
        </w:rPr>
        <w:t>10628 Science Center Drive,</w:t>
      </w:r>
      <w:bookmarkStart w:id="9" w:name="xdx_905_edei--EntityAddressAddressLine2_"/>
      <w:bookmarkEnd w:id="9"/>
      <w:r>
        <w:rPr>
          <w:rFonts w:ascii="Times New Roman;Times;Serif" w:hAnsi="Times New Roman;Times;Serif"/>
          <w:b/>
          <w:i w:val="false"/>
          <w:caps w:val="false"/>
          <w:smallCaps w:val="false"/>
          <w:color w:val="212529"/>
          <w:sz w:val="20"/>
        </w:rPr>
        <w:t> Suite 250</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10" w:name="xdx_900_edei--EntityAddressCityOrTown_c2"/>
      <w:bookmarkEnd w:id="10"/>
      <w:r>
        <w:rPr>
          <w:rFonts w:ascii="Times New Roman;Times;Serif" w:hAnsi="Times New Roman;Times;Serif"/>
          <w:b/>
          <w:i w:val="false"/>
          <w:caps w:val="false"/>
          <w:smallCaps w:val="false"/>
          <w:color w:val="212529"/>
          <w:sz w:val="20"/>
        </w:rPr>
        <w:t>San Diego, </w:t>
      </w:r>
      <w:bookmarkStart w:id="11" w:name="xdx_901_edei--EntityAddressStateOrProvin"/>
      <w:bookmarkEnd w:id="11"/>
      <w:r>
        <w:rPr>
          <w:rFonts w:ascii="Times New Roman;Times;Serif" w:hAnsi="Times New Roman;Times;Serif"/>
          <w:b/>
          <w:i w:val="false"/>
          <w:caps w:val="false"/>
          <w:smallCaps w:val="false"/>
          <w:color w:val="212529"/>
          <w:sz w:val="20"/>
        </w:rPr>
        <w:t>California </w:t>
      </w:r>
      <w:bookmarkStart w:id="12" w:name="xdx_906_edei--EntityAddressPostalZipCode"/>
      <w:bookmarkEnd w:id="12"/>
      <w:r>
        <w:rPr>
          <w:rFonts w:ascii="Times New Roman;Times;Serif" w:hAnsi="Times New Roman;Times;Serif"/>
          <w:b/>
          <w:i w:val="false"/>
          <w:caps w:val="false"/>
          <w:smallCaps w:val="false"/>
          <w:color w:val="212529"/>
          <w:sz w:val="20"/>
        </w:rPr>
        <w:t>92121</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(Address of principal executive offices)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Registrant’s telephone number, including area code: </w:t>
      </w:r>
      <w:bookmarkStart w:id="13" w:name="xdx_907_edei--CityAreaCode_c20240405__20"/>
      <w:bookmarkEnd w:id="13"/>
      <w:r>
        <w:rPr>
          <w:rFonts w:ascii="Times New Roman;Times;Serif" w:hAnsi="Times New Roman;Times;Serif"/>
          <w:b/>
          <w:i w:val="false"/>
          <w:caps w:val="false"/>
          <w:smallCaps w:val="false"/>
          <w:color w:val="212529"/>
          <w:sz w:val="20"/>
        </w:rPr>
        <w:t>(858) </w:t>
      </w:r>
      <w:bookmarkStart w:id="14" w:name="xdx_90E_edei--LocalPhoneNumber_c20240405"/>
      <w:bookmarkEnd w:id="14"/>
      <w:r>
        <w:rPr>
          <w:rFonts w:ascii="Times New Roman;Times;Serif" w:hAnsi="Times New Roman;Times;Serif"/>
          <w:b/>
          <w:i w:val="false"/>
          <w:caps w:val="false"/>
          <w:smallCaps w:val="false"/>
          <w:color w:val="212529"/>
          <w:sz w:val="20"/>
        </w:rPr>
        <w:t>900-2660</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(Former name or former address, if changed since last report)</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3_edei--SolicitingMaterial_c202404"/>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Securities registered pursuant to Section 12(b) of the Act:</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7470" w:type="dxa"/>
        <w:jc w:val="left"/>
        <w:tblInd w:w="0" w:type="dxa"/>
        <w:tblLayout w:type="fixed"/>
        <w:tblCellMar>
          <w:top w:w="0" w:type="dxa"/>
          <w:left w:w="0" w:type="dxa"/>
          <w:bottom w:w="28" w:type="dxa"/>
          <w:right w:w="0" w:type="dxa"/>
        </w:tblCellMar>
      </w:tblPr>
      <w:tblGrid>
        <w:gridCol w:w="3650"/>
        <w:gridCol w:w="60"/>
        <w:gridCol w:w="860"/>
        <w:gridCol w:w="60"/>
        <w:gridCol w:w="2840"/>
      </w:tblGrid>
      <w:tr>
        <w:trPr/>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D_edei--Security12bTitle_c20240405"/>
            <w:bookmarkEnd w:id="19"/>
            <w:r>
              <w:rPr>
                <w:rFonts w:ascii="Times New Roman;Times;Serif" w:hAnsi="Times New Roman;Times;Serif"/>
                <w:b/>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9_edei--TradingSymbol_c20240405__2"/>
            <w:bookmarkEnd w:id="20"/>
            <w:r>
              <w:rPr>
                <w:rFonts w:ascii="Times New Roman;Times;Serif" w:hAnsi="Times New Roman;Times;Serif"/>
                <w:b/>
                <w:sz w:val="20"/>
              </w:rPr>
              <w:t>ARCT</w:t>
            </w:r>
          </w:p>
        </w:tc>
        <w:tc>
          <w:tcPr>
            <w:tcW w:w="60" w:type="dxa"/>
            <w:tcBorders/>
            <w:tcMar>
              <w:bottom w:w="0" w:type="dxa"/>
            </w:tcMar>
            <w:vAlign w:val="center"/>
          </w:tcPr>
          <w:p>
            <w:pPr>
              <w:pStyle w:val="TableContents"/>
              <w:bidi w:val="0"/>
              <w:spacing w:before="0" w:after="283"/>
              <w:jc w:val="left"/>
              <w:rPr/>
            </w:pPr>
            <w:r>
              <w:rPr/>
              <w:t> </w:t>
            </w:r>
          </w:p>
        </w:tc>
        <w:tc>
          <w:tcPr>
            <w:tcW w:w="284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5_edei--SecurityExchangeName_c2024"/>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Emerging growth company </w:t>
      </w:r>
      <w:bookmarkStart w:id="22" w:name="xdx_90B_edei--EntityEmergingGrowthCompan"/>
      <w:bookmarkEnd w:id="22"/>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825" w:type="dxa"/>
        <w:jc w:val="left"/>
        <w:tblInd w:w="0" w:type="dxa"/>
        <w:tblLayout w:type="fixed"/>
        <w:tblCellMar>
          <w:top w:w="0" w:type="dxa"/>
          <w:left w:w="0" w:type="dxa"/>
          <w:bottom w:w="0" w:type="dxa"/>
          <w:right w:w="0" w:type="dxa"/>
        </w:tblCellMar>
      </w:tblPr>
      <w:tblGrid>
        <w:gridCol w:w="830"/>
        <w:gridCol w:w="39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4.01</w:t>
            </w:r>
          </w:p>
        </w:tc>
        <w:tc>
          <w:tcPr>
            <w:tcW w:w="3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in Registrant’s Certifying Accountant.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Dismissal of Previous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2024, the audit committee of the board of directors (the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of Arcturus Therapeutics Holdings Inc.’s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Arcturus</w:t>
      </w:r>
      <w:r>
        <w:rPr>
          <w:rFonts w:ascii="Times New Roman;Times;Serif" w:hAnsi="Times New Roman;Times;Serif"/>
          <w:b w:val="false"/>
          <w:i w:val="false"/>
          <w:caps w:val="false"/>
          <w:smallCaps w:val="false"/>
          <w:sz w:val="20"/>
        </w:rPr>
        <w:t>”) authorized the dismissal of Ernst &amp; Young LLP (“</w:t>
      </w:r>
      <w:r>
        <w:rPr>
          <w:rFonts w:ascii="Times New Roman;Times;Serif" w:hAnsi="Times New Roman;Times;Serif"/>
          <w:b w:val="false"/>
          <w:i w:val="false"/>
          <w:caps w:val="false"/>
          <w:smallCaps w:val="false"/>
          <w:sz w:val="20"/>
          <w:u w:val="single"/>
        </w:rPr>
        <w:t>EY</w:t>
      </w:r>
      <w:r>
        <w:rPr>
          <w:rFonts w:ascii="Times New Roman;Times;Serif" w:hAnsi="Times New Roman;Times;Serif"/>
          <w:b w:val="false"/>
          <w:i w:val="false"/>
          <w:caps w:val="false"/>
          <w:smallCaps w:val="false"/>
          <w:sz w:val="20"/>
        </w:rPr>
        <w:t>”) as the Company’s independent registered public accounting firm, and EY was dismissed as the Company’s independent registered public accounting firm as of such date. EY served as the Company’s independent registered public accounting firm for the fiscal years ended December 31, 2023 and 2022 and the subsequent periods through April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EY’s report on the Company’s consolidated financial statements as of and for the years ended December 31, 2023 and 2022 did not contain an adverse opinion or disclaimer of opinion, and were not qualified or modified as to uncertainty, audit scope or accounting principles. EY’s report on the Company’s internal control over financial report as of December 31, 2023 contained an adverse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2023 and 2022 and the subsequent interim period through April 5, 2024: (1) there were no disagreements between the Company and EY on any matters of accounting principles or practices, financial statement disclosure, or auditing scope or procedure, which disagreements, if not resolved to the satisfaction of EY, would have caused them to make reference to the subject matter of the disagreements in connection with their opinion on the Company’s consolidated financial statements; and (2) there were no “reportable events” (as described in Item 304(a)(1)(v) of Regulation S-K), except that, as previously disclosed in the Company’s 2023 annual report filed on Form 10-K, management identified material weaknesses in the Company’s internal control over financial reporting for the fiscal year ended December 31, 2023 related to the Company’s (i) information technology general controls (“ITGCs”) that support the Company’s financial reporting processes; and (ii) controls over the review of costs incurred in satisfying its performance obligations on collaboration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EY with a copy of the disclosures under this Item 4.01(a), and has requested and received from EY a copy of the letter addressed to the Securities and Exchange Commission stating whether EY agrees with such disclosure. A copy of the letter from EY is attached as Exhibit 16.1 to this Current Report on Form 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Appointment of New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5, 2024, the Audit Committee authorized the appointment of Deloitte &amp; Touche LLP (“</w:t>
      </w:r>
      <w:r>
        <w:rPr>
          <w:rFonts w:ascii="Times New Roman;Times;Serif" w:hAnsi="Times New Roman;Times;Serif"/>
          <w:b w:val="false"/>
          <w:i w:val="false"/>
          <w:caps w:val="false"/>
          <w:smallCaps w:val="false"/>
          <w:sz w:val="20"/>
          <w:u w:val="single"/>
        </w:rPr>
        <w:t>Deloitte</w:t>
      </w:r>
      <w:r>
        <w:rPr>
          <w:rFonts w:ascii="Times New Roman;Times;Serif" w:hAnsi="Times New Roman;Times;Serif"/>
          <w:b w:val="false"/>
          <w:i w:val="false"/>
          <w:caps w:val="false"/>
          <w:smallCaps w:val="false"/>
          <w:sz w:val="20"/>
        </w:rPr>
        <w:t>”) as the Company’s new independent registered public accounting firm for the fiscal year ending December 31, 2024, and Deloitte was appointed as the Company’s independent registered public accounting firm. The decision to change the Company's principal independent accountants was the result of a competitive process undertaken by management and the Audit Committee. During the Company’s two most recent fiscal years ended December 31, 2023 and 2022, and the subsequent interim period through April 5, 2024, neither the Company nor anyone acting on behalf of the Company had consulted Deloitte regarding either: (i) the application of accounting principles to a specified transaction, either completed or proposed, or the type of audit opinion that might be rendered on the Company’s financial statements, nor did Deloitte provide a written report or oral advice to the Company that Deloitte concluded was an important factor considered by the Company in reaching a decision as to the accounting, auditing or financial reporting issues; or (ii) any matter that was either the subject of a “disagreement” (as defined in Item 304(a)(1)(iv) of Regulation S-K and the related instructions) or a “reportable event” (as described in Item 304(a)(1)(v) of Regulation S-K).</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Financial Statements and Exhibits</w:t>
            </w:r>
            <w:r>
              <w:rPr>
                <w:rFonts w:ascii="Times New Roman;Times;Serif" w:hAnsi="Times New Roman;Times;Serif"/>
                <w:sz w:val="20"/>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28" w:type="dxa"/>
          <w:right w:w="0" w:type="dxa"/>
        </w:tblCellMar>
      </w:tblPr>
      <w:tblGrid>
        <w:gridCol w:w="995"/>
        <w:gridCol w:w="60"/>
        <w:gridCol w:w="782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8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60" w:type="dxa"/>
            <w:tcBorders/>
            <w:tcMar>
              <w:bottom w:w="0" w:type="dxa"/>
            </w:tcMar>
            <w:vAlign w:val="center"/>
          </w:tcPr>
          <w:p>
            <w:pPr>
              <w:pStyle w:val="TableContents"/>
              <w:bidi w:val="0"/>
              <w:spacing w:before="0" w:after="283"/>
              <w:jc w:val="left"/>
              <w:rPr/>
            </w:pPr>
            <w:r>
              <w:rPr/>
              <w:t> </w:t>
            </w:r>
          </w:p>
        </w:tc>
        <w:tc>
          <w:tcPr>
            <w:tcW w:w="7820" w:type="dxa"/>
            <w:tcBorders/>
            <w:tcMar>
              <w:bottom w:w="0" w:type="dxa"/>
            </w:tcMar>
            <w:vAlign w:val="center"/>
          </w:tcPr>
          <w:p>
            <w:pPr>
              <w:pStyle w:val="TableContents"/>
              <w:bidi w:val="0"/>
              <w:spacing w:before="0" w:after="283"/>
              <w:jc w:val="both"/>
              <w:rPr/>
            </w:pPr>
            <w:hyperlink w:anchor="e663496_ex16-1.htm">
              <w:r>
                <w:rPr>
                  <w:rStyle w:val="InternetLink"/>
                  <w:rFonts w:ascii="Times New Roman;Times;Serif" w:hAnsi="Times New Roman;Times;Serif"/>
                  <w:sz w:val="20"/>
                </w:rPr>
                <w:t>Letter from Ernst &amp; Young LLP to the Securities and Exchange Commission dated April 5, 2024</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78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SIGNATURES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4704" w:type="dxa"/>
        <w:jc w:val="left"/>
        <w:tblInd w:w="0" w:type="dxa"/>
        <w:tblLayout w:type="fixed"/>
        <w:tblCellMar>
          <w:top w:w="0" w:type="dxa"/>
          <w:left w:w="0" w:type="dxa"/>
          <w:bottom w:w="0" w:type="dxa"/>
          <w:right w:w="0" w:type="dxa"/>
        </w:tblCellMar>
      </w:tblPr>
      <w:tblGrid>
        <w:gridCol w:w="1595"/>
        <w:gridCol w:w="677"/>
        <w:gridCol w:w="2432"/>
      </w:tblGrid>
      <w:tr>
        <w:trPr/>
        <w:tc>
          <w:tcPr>
            <w:tcW w:w="159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Arcturus Therapeutics Holdings Inc.</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5, 2024</w:t>
            </w:r>
          </w:p>
        </w:tc>
        <w:tc>
          <w:tcPr>
            <w:tcW w:w="3109" w:type="dxa"/>
            <w:gridSpan w:val="2"/>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32"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2"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159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E. Payne</w:t>
            </w:r>
          </w:p>
        </w:tc>
      </w:tr>
      <w:tr>
        <w:trPr/>
        <w:tc>
          <w:tcPr>
            <w:tcW w:w="159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3" w:name="e663496_ex16-1.htm"/>
      <w:bookmarkStart w:id="24" w:name="kse663496_ex161"/>
      <w:bookmarkEnd w:id="23"/>
      <w:bookmarkEnd w:id="24"/>
      <w:r>
        <w:rPr/>
        <w:t> </w:t>
      </w:r>
      <w:r>
        <w:br w:type="page"/>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Item 4.01 of Form 8-K dated April 5, 2024, of Arcturus Therapeutics Holdings, Inc. and are in agreement with the statements contained in the second and third paragraphs on page 1 therein. We have no basis to agree or disagree with other statements of the registrant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1075</Words>
  <Characters>5924</Characters>
  <CharactersWithSpaces>6991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