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18,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001-38942</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41"/>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14"/>
        </w:trPr>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Symbol(s)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0" w:type="dxa"/>
            <w:vAlign w:val="bottom"/>
          </w:tcPr>
          <w:p>
            <w:pPr>
              <w:spacing w:after="0"/>
              <w:rPr>
                <w:sz w:val="19"/>
                <w:szCs w:val="19"/>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22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June 18, 2021, Arcturus Therapeutics Holdings Inc. (the “Company”) held its annual meeting of stockholders (the “Meeting”). The total number of shares entitled to vote at the Meeting was 26,320,275 and there were present at the Meeting, in person or by proxy, 20,756,675 shares, which constituted a quorum for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the stockholders voted:</w:t>
      </w:r>
    </w:p>
    <w:p>
      <w:pPr>
        <w:spacing w:after="0" w:line="225" w:lineRule="exact"/>
        <w:rPr>
          <w:sz w:val="20"/>
          <w:szCs w:val="20"/>
          <w:color w:val="auto"/>
        </w:rPr>
      </w:pPr>
    </w:p>
    <w:p>
      <w:pPr>
        <w:ind w:right="14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election of Dr. Peter Farrell, Joseph E. Payne, Andy Sassine, James Barlow, Dr. Edward W. Holmes, Dr. Magda Marquet and Karah Parschauer to the Company’s Board of Directors; and</w:t>
      </w:r>
    </w:p>
    <w:p>
      <w:pPr>
        <w:spacing w:after="0" w:line="170" w:lineRule="exact"/>
        <w:rPr>
          <w:rFonts w:ascii="Arial" w:cs="Arial" w:eastAsia="Arial" w:hAnsi="Arial"/>
          <w:sz w:val="18"/>
          <w:szCs w:val="18"/>
          <w:color w:val="auto"/>
        </w:rPr>
      </w:pPr>
    </w:p>
    <w:p>
      <w:pPr>
        <w:ind w:right="8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the Company’s independent registered public accounting firm for the Company’s fiscal year ending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final results of the stockholder votes at the Meeting are set forth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gridSpan w:val="4"/>
          </w:tcPr>
          <w:p>
            <w:pPr>
              <w:spacing w:after="0"/>
              <w:rPr>
                <w:sz w:val="20"/>
                <w:szCs w:val="20"/>
                <w:color w:val="auto"/>
              </w:rPr>
            </w:pPr>
            <w:r>
              <w:rPr>
                <w:rFonts w:ascii="Arial" w:cs="Arial" w:eastAsia="Arial" w:hAnsi="Arial"/>
                <w:sz w:val="18"/>
                <w:szCs w:val="18"/>
                <w:color w:val="auto"/>
              </w:rPr>
              <w:t>Proposal No. 1</w:t>
            </w:r>
          </w:p>
        </w:tc>
        <w:tc>
          <w:tcPr>
            <w:tcW w:w="1380" w:type="dxa"/>
            <w:vAlign w:val="bottom"/>
            <w:gridSpan w:val="4"/>
            <w:vMerge w:val="restart"/>
          </w:tcPr>
          <w:p>
            <w:pPr>
              <w:ind w:left="280"/>
              <w:spacing w:after="0"/>
              <w:rPr>
                <w:sz w:val="20"/>
                <w:szCs w:val="20"/>
                <w:color w:val="auto"/>
              </w:rPr>
            </w:pPr>
            <w:r>
              <w:rPr>
                <w:rFonts w:ascii="Arial" w:cs="Arial" w:eastAsia="Arial" w:hAnsi="Arial"/>
                <w:sz w:val="18"/>
                <w:szCs w:val="18"/>
                <w:color w:val="auto"/>
              </w:rPr>
              <w:t>For</w:t>
            </w:r>
          </w:p>
        </w:tc>
        <w:tc>
          <w:tcPr>
            <w:tcW w:w="1100" w:type="dxa"/>
            <w:vAlign w:val="bottom"/>
            <w:gridSpan w:val="2"/>
            <w:vMerge w:val="restart"/>
          </w:tcPr>
          <w:p>
            <w:pPr>
              <w:ind w:left="380"/>
              <w:spacing w:after="0"/>
              <w:rPr>
                <w:sz w:val="20"/>
                <w:szCs w:val="20"/>
                <w:color w:val="auto"/>
              </w:rPr>
            </w:pPr>
            <w:r>
              <w:rPr>
                <w:rFonts w:ascii="Arial" w:cs="Arial" w:eastAsia="Arial" w:hAnsi="Arial"/>
                <w:sz w:val="18"/>
                <w:szCs w:val="18"/>
                <w:color w:val="auto"/>
                <w:w w:val="99"/>
              </w:rPr>
              <w:t>Withhold</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color w:val="auto"/>
                <w:w w:val="95"/>
              </w:rPr>
              <w:t>Broker Non-Votes</w:t>
            </w:r>
          </w:p>
        </w:tc>
        <w:tc>
          <w:tcPr>
            <w:tcW w:w="0" w:type="dxa"/>
            <w:vAlign w:val="bottom"/>
          </w:tcPr>
          <w:p>
            <w:pPr>
              <w:spacing w:after="0"/>
              <w:rPr>
                <w:sz w:val="1"/>
                <w:szCs w:val="1"/>
                <w:color w:val="auto"/>
              </w:rPr>
            </w:pPr>
          </w:p>
        </w:tc>
      </w:tr>
      <w:tr>
        <w:trPr>
          <w:trHeight w:val="250"/>
        </w:trPr>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4"/>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64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w w:val="96"/>
              </w:rPr>
              <w:t>Approval of the election of the following individuals as directors of the Company, as</w:t>
            </w:r>
          </w:p>
        </w:tc>
        <w:tc>
          <w:tcPr>
            <w:tcW w:w="3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provided in Proposal Number 1 of the Proxy Statement:</w:t>
            </w: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(1)</w:t>
            </w:r>
          </w:p>
        </w:tc>
        <w:tc>
          <w:tcPr>
            <w:tcW w:w="6520" w:type="dxa"/>
            <w:vAlign w:val="bottom"/>
            <w:gridSpan w:val="3"/>
          </w:tcPr>
          <w:p>
            <w:pPr>
              <w:ind w:left="20"/>
              <w:spacing w:after="0"/>
              <w:rPr>
                <w:sz w:val="20"/>
                <w:szCs w:val="20"/>
                <w:color w:val="auto"/>
              </w:rPr>
            </w:pPr>
            <w:r>
              <w:rPr>
                <w:rFonts w:ascii="Arial" w:cs="Arial" w:eastAsia="Arial" w:hAnsi="Arial"/>
                <w:sz w:val="18"/>
                <w:szCs w:val="18"/>
                <w:color w:val="auto"/>
              </w:rPr>
              <w:t>Dr. Peter Farrell</w:t>
            </w:r>
          </w:p>
        </w:tc>
        <w:tc>
          <w:tcPr>
            <w:tcW w:w="1060" w:type="dxa"/>
            <w:vAlign w:val="bottom"/>
          </w:tcPr>
          <w:p>
            <w:pPr>
              <w:jc w:val="right"/>
              <w:spacing w:after="0"/>
              <w:rPr>
                <w:sz w:val="20"/>
                <w:szCs w:val="20"/>
                <w:color w:val="auto"/>
              </w:rPr>
            </w:pPr>
            <w:r>
              <w:rPr>
                <w:rFonts w:ascii="Arial" w:cs="Arial" w:eastAsia="Arial" w:hAnsi="Arial"/>
                <w:sz w:val="18"/>
                <w:szCs w:val="18"/>
                <w:color w:val="auto"/>
              </w:rPr>
              <w:t>15,973,609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1,379,151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3,403,915</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(2)</w:t>
            </w:r>
          </w:p>
        </w:tc>
        <w:tc>
          <w:tcPr>
            <w:tcW w:w="6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Joseph E. Payne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15,069,355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2,283,405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3,403,915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(3)</w:t>
            </w:r>
          </w:p>
        </w:tc>
        <w:tc>
          <w:tcPr>
            <w:tcW w:w="6520" w:type="dxa"/>
            <w:vAlign w:val="bottom"/>
            <w:gridSpan w:val="3"/>
          </w:tcPr>
          <w:p>
            <w:pPr>
              <w:ind w:left="20"/>
              <w:spacing w:after="0"/>
              <w:rPr>
                <w:sz w:val="20"/>
                <w:szCs w:val="20"/>
                <w:color w:val="auto"/>
              </w:rPr>
            </w:pPr>
            <w:r>
              <w:rPr>
                <w:rFonts w:ascii="Arial" w:cs="Arial" w:eastAsia="Arial" w:hAnsi="Arial"/>
                <w:sz w:val="18"/>
                <w:szCs w:val="18"/>
                <w:color w:val="auto"/>
              </w:rPr>
              <w:t>Andy Sassine</w:t>
            </w:r>
          </w:p>
        </w:tc>
        <w:tc>
          <w:tcPr>
            <w:tcW w:w="1060" w:type="dxa"/>
            <w:vAlign w:val="bottom"/>
          </w:tcPr>
          <w:p>
            <w:pPr>
              <w:jc w:val="right"/>
              <w:spacing w:after="0"/>
              <w:rPr>
                <w:sz w:val="20"/>
                <w:szCs w:val="20"/>
                <w:color w:val="auto"/>
              </w:rPr>
            </w:pPr>
            <w:r>
              <w:rPr>
                <w:rFonts w:ascii="Arial" w:cs="Arial" w:eastAsia="Arial" w:hAnsi="Arial"/>
                <w:sz w:val="18"/>
                <w:szCs w:val="18"/>
                <w:color w:val="auto"/>
              </w:rPr>
              <w:t>14,308,064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3,044,696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3,403,915</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(4)</w:t>
            </w:r>
          </w:p>
        </w:tc>
        <w:tc>
          <w:tcPr>
            <w:tcW w:w="6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James Barlow</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15,993,962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1,358,798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3,403,915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(5)</w:t>
            </w:r>
          </w:p>
        </w:tc>
        <w:tc>
          <w:tcPr>
            <w:tcW w:w="6520" w:type="dxa"/>
            <w:vAlign w:val="bottom"/>
            <w:gridSpan w:val="3"/>
          </w:tcPr>
          <w:p>
            <w:pPr>
              <w:ind w:left="20"/>
              <w:spacing w:after="0"/>
              <w:rPr>
                <w:sz w:val="20"/>
                <w:szCs w:val="20"/>
                <w:color w:val="auto"/>
              </w:rPr>
            </w:pPr>
            <w:r>
              <w:rPr>
                <w:rFonts w:ascii="Arial" w:cs="Arial" w:eastAsia="Arial" w:hAnsi="Arial"/>
                <w:sz w:val="18"/>
                <w:szCs w:val="18"/>
                <w:color w:val="auto"/>
              </w:rPr>
              <w:t>Dr. Edward W. Holmes</w:t>
            </w:r>
          </w:p>
        </w:tc>
        <w:tc>
          <w:tcPr>
            <w:tcW w:w="1060" w:type="dxa"/>
            <w:vAlign w:val="bottom"/>
          </w:tcPr>
          <w:p>
            <w:pPr>
              <w:jc w:val="right"/>
              <w:spacing w:after="0"/>
              <w:rPr>
                <w:sz w:val="20"/>
                <w:szCs w:val="20"/>
                <w:color w:val="auto"/>
              </w:rPr>
            </w:pPr>
            <w:r>
              <w:rPr>
                <w:rFonts w:ascii="Arial" w:cs="Arial" w:eastAsia="Arial" w:hAnsi="Arial"/>
                <w:sz w:val="18"/>
                <w:szCs w:val="18"/>
                <w:color w:val="auto"/>
              </w:rPr>
              <w:t>17,096,507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256,253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3,403,915</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(6)</w:t>
            </w:r>
          </w:p>
        </w:tc>
        <w:tc>
          <w:tcPr>
            <w:tcW w:w="6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Dr. Magda Marquet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15,993,936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1,358,824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3,403,915</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99"/>
              </w:rPr>
              <w:t>(7)</w:t>
            </w:r>
          </w:p>
        </w:tc>
        <w:tc>
          <w:tcPr>
            <w:tcW w:w="6520" w:type="dxa"/>
            <w:vAlign w:val="bottom"/>
            <w:gridSpan w:val="3"/>
          </w:tcPr>
          <w:p>
            <w:pPr>
              <w:ind w:left="20"/>
              <w:spacing w:after="0"/>
              <w:rPr>
                <w:sz w:val="20"/>
                <w:szCs w:val="20"/>
                <w:color w:val="auto"/>
              </w:rPr>
            </w:pPr>
            <w:r>
              <w:rPr>
                <w:rFonts w:ascii="Arial" w:cs="Arial" w:eastAsia="Arial" w:hAnsi="Arial"/>
                <w:sz w:val="18"/>
                <w:szCs w:val="18"/>
                <w:color w:val="auto"/>
              </w:rPr>
              <w:t>Karah Parschauer</w:t>
            </w:r>
          </w:p>
        </w:tc>
        <w:tc>
          <w:tcPr>
            <w:tcW w:w="1060" w:type="dxa"/>
            <w:vAlign w:val="bottom"/>
          </w:tcPr>
          <w:p>
            <w:pPr>
              <w:jc w:val="right"/>
              <w:spacing w:after="0"/>
              <w:rPr>
                <w:sz w:val="20"/>
                <w:szCs w:val="20"/>
                <w:color w:val="auto"/>
              </w:rPr>
            </w:pPr>
            <w:r>
              <w:rPr>
                <w:rFonts w:ascii="Arial" w:cs="Arial" w:eastAsia="Arial" w:hAnsi="Arial"/>
                <w:sz w:val="18"/>
                <w:szCs w:val="18"/>
                <w:color w:val="auto"/>
              </w:rPr>
              <w:t>13,860,947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3,491,813</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3,403,915</w:t>
            </w:r>
          </w:p>
        </w:tc>
        <w:tc>
          <w:tcPr>
            <w:tcW w:w="0" w:type="dxa"/>
            <w:vAlign w:val="bottom"/>
          </w:tcPr>
          <w:p>
            <w:pPr>
              <w:spacing w:after="0"/>
              <w:rPr>
                <w:sz w:val="1"/>
                <w:szCs w:val="1"/>
                <w:color w:val="auto"/>
              </w:rPr>
            </w:pPr>
          </w:p>
        </w:tc>
      </w:tr>
      <w:tr>
        <w:trPr>
          <w:trHeight w:val="377"/>
        </w:trPr>
        <w:tc>
          <w:tcPr>
            <w:tcW w:w="6760" w:type="dxa"/>
            <w:vAlign w:val="bottom"/>
            <w:gridSpan w:val="4"/>
          </w:tcPr>
          <w:p>
            <w:pPr>
              <w:spacing w:after="0"/>
              <w:rPr>
                <w:sz w:val="20"/>
                <w:szCs w:val="20"/>
                <w:color w:val="auto"/>
              </w:rPr>
            </w:pPr>
            <w:r>
              <w:rPr>
                <w:rFonts w:ascii="Arial" w:cs="Arial" w:eastAsia="Arial" w:hAnsi="Arial"/>
                <w:sz w:val="18"/>
                <w:szCs w:val="18"/>
                <w:color w:val="auto"/>
              </w:rPr>
              <w:t>Proposal No. 2</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4"/>
              </w:rPr>
              <w:t>Broker</w:t>
            </w:r>
          </w:p>
        </w:tc>
        <w:tc>
          <w:tcPr>
            <w:tcW w:w="0" w:type="dxa"/>
            <w:vAlign w:val="bottom"/>
          </w:tcPr>
          <w:p>
            <w:pPr>
              <w:spacing w:after="0"/>
              <w:rPr>
                <w:sz w:val="1"/>
                <w:szCs w:val="1"/>
                <w:color w:val="auto"/>
              </w:rPr>
            </w:pPr>
          </w:p>
        </w:tc>
      </w:tr>
      <w:tr>
        <w:trPr>
          <w:trHeight w:val="222"/>
        </w:trPr>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4"/>
          </w:tcPr>
          <w:p>
            <w:pPr>
              <w:ind w:left="400"/>
              <w:spacing w:after="0"/>
              <w:rPr>
                <w:sz w:val="20"/>
                <w:szCs w:val="20"/>
                <w:color w:val="auto"/>
              </w:rPr>
            </w:pPr>
            <w:r>
              <w:rPr>
                <w:rFonts w:ascii="Arial" w:cs="Arial" w:eastAsia="Arial" w:hAnsi="Arial"/>
                <w:sz w:val="18"/>
                <w:szCs w:val="18"/>
                <w:color w:val="auto"/>
              </w:rPr>
              <w:t>For</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Against</w:t>
            </w:r>
          </w:p>
        </w:tc>
        <w:tc>
          <w:tcPr>
            <w:tcW w:w="1000" w:type="dxa"/>
            <w:vAlign w:val="bottom"/>
            <w:gridSpan w:val="3"/>
          </w:tcPr>
          <w:p>
            <w:pPr>
              <w:jc w:val="right"/>
              <w:ind w:right="130"/>
              <w:spacing w:after="0"/>
              <w:rPr>
                <w:sz w:val="20"/>
                <w:szCs w:val="20"/>
                <w:color w:val="auto"/>
              </w:rPr>
            </w:pPr>
            <w:r>
              <w:rPr>
                <w:rFonts w:ascii="Arial" w:cs="Arial" w:eastAsia="Arial" w:hAnsi="Arial"/>
                <w:sz w:val="18"/>
                <w:szCs w:val="18"/>
                <w:color w:val="auto"/>
              </w:rPr>
              <w:t>Abstain</w:t>
            </w:r>
          </w:p>
        </w:tc>
        <w:tc>
          <w:tcPr>
            <w:tcW w:w="2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Non-Votes</w:t>
            </w:r>
          </w:p>
        </w:tc>
        <w:tc>
          <w:tcPr>
            <w:tcW w:w="0" w:type="dxa"/>
            <w:vAlign w:val="bottom"/>
          </w:tcPr>
          <w:p>
            <w:pPr>
              <w:spacing w:after="0"/>
              <w:rPr>
                <w:sz w:val="1"/>
                <w:szCs w:val="1"/>
                <w:color w:val="auto"/>
              </w:rPr>
            </w:pPr>
          </w:p>
        </w:tc>
      </w:tr>
      <w:tr>
        <w:trPr>
          <w:trHeight w:val="182"/>
        </w:trPr>
        <w:tc>
          <w:tcPr>
            <w:tcW w:w="6760" w:type="dxa"/>
            <w:vAlign w:val="bottom"/>
            <w:tcBorders>
              <w:top w:val="single" w:sz="8" w:color="CCEEFF"/>
            </w:tcBorders>
            <w:gridSpan w:val="4"/>
            <w:shd w:val="clear" w:color="auto" w:fill="CCEEFF"/>
          </w:tcPr>
          <w:p>
            <w:pPr>
              <w:spacing w:after="0" w:line="182" w:lineRule="exact"/>
              <w:rPr>
                <w:sz w:val="20"/>
                <w:szCs w:val="20"/>
                <w:color w:val="auto"/>
              </w:rPr>
            </w:pPr>
            <w:r>
              <w:rPr>
                <w:rFonts w:ascii="Arial" w:cs="Arial" w:eastAsia="Arial" w:hAnsi="Arial"/>
                <w:sz w:val="18"/>
                <w:szCs w:val="18"/>
                <w:color w:val="auto"/>
                <w:w w:val="97"/>
              </w:rPr>
              <w:t>Approval of the ratification of the appointment of Ernst &amp; Young LLP as the Company’s</w:t>
            </w: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independent registered public accounting firm for the year ending December 31, 2021, as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provided in Proposal Number 2 of the Proxy Statement: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20,726,502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22,510</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7,663</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31"/>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2021</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2021-06-22T15:32:41Z</dcterms:created>
  <dcterms:modified xsi:type="dcterms:W3CDTF">2021-06-22T15:32:41Z</dcterms:modified>
</cp:coreProperties>
</file>