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8751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875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2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2"/>
                </w:rPr>
                <w:t>Marquet Magda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</w:tcPr>
          <w:p>
            <w:pPr>
              <w:ind w:left="80"/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1"/>
                  <w:szCs w:val="11"/>
                  <w:u w:val="single" w:color="auto"/>
                  <w:color w:val="0000EE"/>
                </w:rPr>
                <w:t>Arcturus Therapeutics Holdings Inc.</w:t>
              </w:r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ARCT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2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]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2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C/O ARCTURUS THERAPEUTICS HOLDINGS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06/22/2020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10628 SCIENCE CENTER DRIVE, SUITE 250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92121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5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2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7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40.7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06/22/2020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06/21/2030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-2833370</wp:posOffset>
            </wp:positionV>
            <wp:extent cx="7033895" cy="29724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972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underlying the options vest monthly over a one year period from the date of grant.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Ilan Katz, attorney-in-fact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06/24/2020</w:t>
            </w: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31486" TargetMode="External"/><Relationship Id="rId14" Type="http://schemas.openxmlformats.org/officeDocument/2006/relationships/hyperlink" Target="http://www.sec.gov/cgi-bin/browse-edgar?action=getcompany&amp;CIK=00017682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2020-06-24T19:02:37Z</dcterms:created>
  <dcterms:modified xsi:type="dcterms:W3CDTF">2020-06-24T19:02:37Z</dcterms:modified>
</cp:coreProperties>
</file>