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9, 2022, Arcturus Therapeutics Holdings Inc. (the “Company” or “Arcturus”) issued a press release, a copy of which is furnished herewith as Exhibit 99.1, announcing the Company’s financial results for the quarter ended September 30, 2022 and providing a corporate update (the “Press Release”).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including the press release,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strategy, future operations, the likelihood of success of the Company’s pipeline (including ARCT-032, ARCT-810 and ARCT-154) the expectations for beginning the collaboration with CSL Seqirus, including receiving clearance under the Hart-Scott-Rodino Antitrust Improvements Act and satisfying other closing conditions, or the likelihood of success of the collaboration with CSL Seqirus or any collaborations including the achievement of any milestones or other payments, the future activities under and fulfillment of the Company’s contract with BARDA, the ability of the Company’s influenza vaccine program to support U.S. government pandemic preparedness goals, the likelihood that preclinical (including for ARCT-032 therapeutic candidate) or clinical data will be predictive of future clinical results, the anticipated timing for filing of a CTA for ARCT-032, the ability of the Company to initiate, enroll and execute clinical trials (including the ARCT-810 trial), or to obtain clinical results for the ARCT-810 trial by 2023, the timing for sharing interim ARCT-810 clinical data or announcing additional liver therapeutic programs , the likelihood that results to date for ARCT-154 or any other clinical candidate will be predictive of future clinical results, including with respect to future variants of concern or sufficient for regulatory approval, the timing and nature of any study results, the potential administration regimen or dosage, or ability to administer multiple doses of, any of the Company’s drug candidates, the likelihood that a patent will issue from any patent application,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9, 2022</w:t>
            </w:r>
          </w:p>
        </w:tc>
      </w:tr>
      <w:tr>
        <w:trPr>
          <w:trHeight w:val="20"/>
        </w:trPr>
        <w:tc>
          <w:tcPr>
            <w:tcW w:w="9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9" w:lineRule="exact"/>
        <w:rPr>
          <w:sz w:val="20"/>
          <w:szCs w:val="20"/>
          <w:color w:val="auto"/>
        </w:rPr>
      </w:pPr>
    </w:p>
    <w:p>
      <w:pPr>
        <w:ind w:left="602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5715</wp:posOffset>
            </wp:positionV>
            <wp:extent cx="2974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18"/>
          <w:szCs w:val="18"/>
          <w:color w:val="auto"/>
        </w:rPr>
        <w:t>Name: Joseph E. Payne</w:t>
      </w:r>
    </w:p>
    <w:p>
      <w:pPr>
        <w:spacing w:after="0" w:line="23" w:lineRule="exact"/>
        <w:rPr>
          <w:sz w:val="20"/>
          <w:szCs w:val="20"/>
          <w:color w:val="auto"/>
        </w:rPr>
      </w:pPr>
    </w:p>
    <w:p>
      <w:pPr>
        <w:ind w:left="602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0920"/>
          </w:cols>
          <w:pgMar w:left="320" w:top="698" w:right="6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Announces Third Quarter 2022 Financial Update and Pipeline Progress</w:t>
      </w:r>
    </w:p>
    <w:p>
      <w:pPr>
        <w:spacing w:after="0" w:line="227" w:lineRule="exact"/>
        <w:rPr>
          <w:sz w:val="20"/>
          <w:szCs w:val="20"/>
          <w:color w:val="auto"/>
        </w:rPr>
      </w:pPr>
    </w:p>
    <w:p>
      <w:pPr>
        <w:jc w:val="center"/>
        <w:ind w:left="340" w:right="300"/>
        <w:spacing w:after="0" w:line="315" w:lineRule="auto"/>
        <w:rPr>
          <w:sz w:val="20"/>
          <w:szCs w:val="20"/>
          <w:color w:val="auto"/>
        </w:rPr>
      </w:pPr>
      <w:r>
        <w:rPr>
          <w:rFonts w:ascii="Times New Roman" w:cs="Times New Roman" w:eastAsia="Times New Roman" w:hAnsi="Times New Roman"/>
          <w:sz w:val="17"/>
          <w:szCs w:val="17"/>
          <w:i w:val="1"/>
          <w:iCs w:val="1"/>
          <w:color w:val="auto"/>
        </w:rPr>
        <w:t>Entered into global partnership with CSL to develop and commercialize self-amplifying mRNA vaccines targeting COVID-19, influenza, additional pathogens, and pandemic preparedness with $200 million upfront and up to $4.3 billion in potential development and commercial milestones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BARDA award announced for up to $63.2 million to support development of a self-amplifying mRNA vaccine for rapid pandemic influenza response</w:t>
      </w:r>
    </w:p>
    <w:p>
      <w:pPr>
        <w:spacing w:after="0" w:line="225"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New LUNAR-CF preclinical data demonstrates effective delivery of ARCT-032 with LUNAR®, resulting in functional restoration of chloride ion current in CF subject bronchial epithelial cells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EST today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SAN DIEGO--(BUSINESS WIRE)--November 9, 2022 -- Arcturus Therapeutics Holdings Inc. (the “Company”, “Arcturus”, “Arcturus Therapeutics”, Nasdaq: ARCT), a global late-stage clinical messenger RNA medicines company focused on the development of infectious disease vaccines and significant opportunities within liver and respiratory rare diseases, today announced its financial results for the third quarter ended September 30, 2022, and provided corporate updates.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"Arcturus continues to execute on the promise of our next-generation self-amplifying mRNA vaccine franchise through engagements with CSL and BARDA," said Joseph Payne, President and CEO of Arcturus Therapeutics. "These new partnerships expand the scope of our technology while providing substantial capital to accelerate the development of our vaccine and therapeutic programs. In addition, promising new data from ARCT-032, our CF therapeutic candidate, was recently featured at the North American Cystic Fibrosis Conference and we expect to file a CTA before year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ind w:left="660" w:right="4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strategic collaboration with CSL Seqirus, one of the top two global influenza vaccine companies, for the development, manufacture, and commercialization of mRNA-based vaccines. Arcturus will receive $200 million upfront, up to $4.3 billion in potential development and commercial milestones, 40% profit sharing for COVID-19 vaccines and up to double digit royalties for influenza and three additional respiratory infectious disease vaccines. The collaboration combines CSL Seqirus’ established global vaccine commercial and manufacturing infrastructure with Arcturus’ expertise in mRNA design and modification, LUNAR® lipid nanoparticle (LNP) technology and manufacturing know-how. Previously reported clinical results from ongoing ARCT-154 studies have demonstrated a favorable efficacy and safety profile with sustained neutralizing antibodies against COVID-19, including recent variants of concern.</w:t>
      </w:r>
    </w:p>
    <w:p>
      <w:pPr>
        <w:spacing w:after="0" w:line="2"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Biomedical Advanced Research and Development Authority (BARDA) provided Arcturus with an award valued at up to $63.2 million over three years to support preclinical, manufacturing, nonclinical safety studies, along with development and regulatory support for Arcturus’ self-amplifying mRNA vaccine platform technology for rapid pandemic influenza response through Phase 1 clinical studies.</w:t>
      </w:r>
    </w:p>
    <w:p>
      <w:pPr>
        <w:spacing w:after="0" w:line="1" w:lineRule="exact"/>
        <w:rPr>
          <w:rFonts w:ascii="Times New Roman" w:cs="Times New Roman" w:eastAsia="Times New Roman" w:hAnsi="Times New Roman"/>
          <w:sz w:val="18"/>
          <w:szCs w:val="18"/>
          <w:color w:val="auto"/>
        </w:rPr>
      </w:pPr>
    </w:p>
    <w:p>
      <w:pPr>
        <w:ind w:left="660" w:right="12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the Company’s mRNA therapeutic candidate for OTC deficiency is being evaluated in a randomized, double-blind, placebo-controlled, nested single and multiple ascending dose Phase 2 study in 24 adolescents and adults with OTC deficiency. Participating sites have identified several dozen patients in pre-screening with dosing to begin Q4 2022. All subjects in the Phase 1b single ascending dose (SAD) study have completed dosing, including the cohort dosed at 0.4 mg/kg, without requiring steroid co-treatment. The Company will share interim ARCT-810 clinical data when we announce additional liver therapeutic programs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ind w:left="660" w:right="8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preclinical data from ARCT-032, the Company’s inhaled mRNA therapeutic for cystic fibrosis, demonstrated effective delivery of mRNA to bronchial and tracheal epithelial cells in the presence of CF sputum utilizing Arcturus’ proprietary LUNAR® technology (CF Ferret G551D model). Additional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demonstrated robust restoration of CFTR activity. Bronchial epithelial cells (BECs) obtained from human CF donors were treated with ARCT-032 and exhibited a significant increase in chloride ion current compared to control BECs obtained from non-CF donors (see Figure). ARCT-032 remains on track for CTA filing by year end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128270</wp:posOffset>
            </wp:positionV>
            <wp:extent cx="2082800" cy="194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Figure: Bronchial epithelial cells (BECs) obtained from human CF donors were treated with ARCT-032 and demonstrated robust restoration of CFTR activity (chloride ion current) vs. control BECs obtained from human non-CF donors.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Third Quarter Ended September 30, 2022</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Revenues in conjunction with strategic alliances and collaborations: </w:t>
      </w:r>
      <w:r>
        <w:rPr>
          <w:rFonts w:ascii="Times New Roman" w:cs="Times New Roman" w:eastAsia="Times New Roman" w:hAnsi="Times New Roman"/>
          <w:sz w:val="18"/>
          <w:szCs w:val="18"/>
          <w:color w:val="auto"/>
        </w:rPr>
        <w:t>Arcturus’ primary sources of revenues were from consulting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transfer fees, reservation fees, license fees and collaborative payments received from research and development arrangements with pharmaceutical and biotechnology partners. For the three months ended September 30, 2022, the Company reported revenue of $13.4 million compared with $2.4 million for the three months ended September 30, 2021, and $27.1 million for the three months ended June 30, 2022. Revenue increased by $10.9 million during the three months ended September 30, 2022, as compared to the three months ended September 30, 2021, which primarily relates to an increase in revenue related to the agreement with Vinbiocare.</w:t>
      </w:r>
    </w:p>
    <w:p>
      <w:pPr>
        <w:spacing w:after="0" w:line="18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for the three months ended September 30, 2022, were $50.2 million compared with $56.3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September 30, 2021, and $49.2 million for the three months ended June 30, 2022. The decline in operating expenses when compared to the three months ended September 30, 2021 was primarily due to lower manufacturing related expenses.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September 30, 2022, were $37.7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$45.4 million for the three months ended September 30, 2021, and $38.2 million for the three months ended June 30, 2022. The decline in research and development expenses when compared to the three months ended September 30, 2021 was primarily due to lower manufacturing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September 30, 2022, Arcturus reported a net loss of approximately $35.3 million, or ($1.33) per basic and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compared with a net loss of $54.1 million, or ($2.05) per basic and diluted share in the three months ended September 30, 2021, and a net loss of $21.6 million, or ($0.82) per basic and diluted share in the three months ended June 30, 2022.</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Company’s cash balance totaled $237.7 million as of September 30, 2022, compared to a cash balance of $370.5 million at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Wednesday, November 9, 2022 @ 4:30 pm 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1-888-204-4368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1-323-994-2093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2581187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t>
      </w:r>
      <w:r>
        <w:rPr>
          <w:rFonts w:ascii="Times New Roman" w:cs="Times New Roman" w:eastAsia="Times New Roman" w:hAnsi="Times New Roman"/>
          <w:sz w:val="18"/>
          <w:szCs w:val="18"/>
          <w:color w:val="0563C1"/>
        </w:rPr>
        <w:t>www.ArcturusRx.com</w:t>
      </w:r>
      <w:r>
        <w:rPr>
          <w:rFonts w:ascii="Times New Roman" w:cs="Times New Roman" w:eastAsia="Times New Roman" w:hAnsi="Times New Roman"/>
          <w:sz w:val="18"/>
          <w:szCs w:val="18"/>
          <w:color w:val="auto"/>
        </w:rPr>
        <w:t xml:space="preserve">. In addition, please connect with us on </w:t>
      </w:r>
      <w:r>
        <w:rPr>
          <w:rFonts w:ascii="Times New Roman" w:cs="Times New Roman" w:eastAsia="Times New Roman" w:hAnsi="Times New Roman"/>
          <w:sz w:val="18"/>
          <w:szCs w:val="18"/>
          <w:color w:val="0563C1"/>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563C1"/>
        </w:rPr>
        <w:t>LinkedIn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ARCT-810 and ARCT-154) the expectations for beginning the collaboration with CSL Seqirus, including receiving clearance under the Hart-Scott-Rodino Antitrust Improvements Act and satisfying other closing conditions, or the likelihood of success of the collaboration with CSL Seqirus or any collaborations including the achievement of any milestones or other payments, the future activities under and fulfillment of the Company’s contract with BARDA, the ability of the Company’s influenza vaccine program to support U.S. government pandemic preparedness goals, the likelihood that preclinical (including for ARCT-032 therapeutic candidate) or clinical data will be predictive of future clinical results, the anticipated timing for filing of a CTA for ARCT-032, the ability of the Company to initiate, enroll and execute clinical trials (including the ARCT-810 trial), or to obtain clinical results for the ARCT-810 trial by 2023, the timing for sharing interim ARCT-810 clinical data or announcing additional liver therapeutic programs , the likelihood that results to date for ARCT-154 or any other clinical candidate will be predictive of future clinical results, including with respect to future variants of concern or sufficient for regulatory approval, the timing and nature of any study results, the potential administration regimen or dosage, or ability to administer multiple doses of, any of the Company’s drug candidates, the likelihood that a patent will issue from any patent application,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par value information)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237,676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370,492</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246,680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378,961</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Equity-method investment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293,627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392,814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17,962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23,523</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22,474</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43,482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99,537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19,931</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147,960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164,603</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 26,492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September 30, 2022 and 26,372 at December 31, 2021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601,129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575,675</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(455,488)</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(347,490)</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145,667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228,211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293,627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392,814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37,688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38,189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12,488</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50,176</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49,182</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Gain from foreign currency</w:t>
            </w: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26,467</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26,338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26,425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7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(54,084)</w:t>
            </w:r>
          </w:p>
        </w:tc>
        <w:tc>
          <w:tcPr>
            <w:tcW w:w="10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914-0008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ctanzi@kendallir.com</w:t>
      </w: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2022-11-09T15:24:59Z</dcterms:created>
  <dcterms:modified xsi:type="dcterms:W3CDTF">2022-11-09T15:24:59Z</dcterms:modified>
</cp:coreProperties>
</file>