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9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w:t>
      </w: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(Amendment No. )*</w:t>
      </w:r>
    </w:p>
    <w:p>
      <w:pPr>
        <w:spacing w:after="0" w:line="40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Arcturus Therapeutics Ltd.</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Ordinary Shares, par value NIS 0.01 per share</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M1492T105</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December 31, 2017</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[_] Rule 13d-1(b)</w:t>
      </w:r>
    </w:p>
    <w:p>
      <w:pPr>
        <w:spacing w:after="0" w:line="225" w:lineRule="exact"/>
        <w:rPr>
          <w:sz w:val="24"/>
          <w:szCs w:val="24"/>
          <w:color w:val="auto"/>
        </w:rPr>
      </w:pPr>
    </w:p>
    <w:p>
      <w:pPr>
        <w:jc w:val="both"/>
        <w:ind w:left="1300" w:right="8800" w:firstLine="5"/>
        <w:spacing w:after="0" w:line="572" w:lineRule="auto"/>
        <w:tabs>
          <w:tab w:leader="none" w:pos="15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[_] Rule 13d-1(d)</w:t>
      </w:r>
    </w:p>
    <w:p>
      <w:pPr>
        <w:spacing w:after="0" w:line="238" w:lineRule="auto"/>
        <w:rPr>
          <w:sz w:val="20"/>
          <w:szCs w:val="20"/>
          <w:color w:val="auto"/>
        </w:rPr>
      </w:pPr>
      <w:r>
        <w:rPr>
          <w:rFonts w:ascii="Courier New" w:cs="Courier New" w:eastAsia="Courier New" w:hAnsi="Courier New"/>
          <w:sz w:val="18"/>
          <w:szCs w:val="18"/>
          <w:color w:val="auto"/>
        </w:rPr>
        <w:t>__________</w:t>
      </w:r>
    </w:p>
    <w:p>
      <w:pPr>
        <w:ind w:right="20"/>
        <w:spacing w:after="0" w:line="263"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516255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CUSIP No</w:t>
            </w:r>
          </w:p>
        </w:tc>
        <w:tc>
          <w:tcPr>
            <w:tcW w:w="3200" w:type="dxa"/>
            <w:vAlign w:val="bottom"/>
          </w:tcPr>
          <w:p>
            <w:pPr>
              <w:ind w:left="100"/>
              <w:spacing w:after="0"/>
              <w:rPr>
                <w:sz w:val="20"/>
                <w:szCs w:val="20"/>
                <w:color w:val="auto"/>
              </w:rPr>
            </w:pPr>
            <w:r>
              <w:rPr>
                <w:rFonts w:ascii="Arial" w:cs="Arial" w:eastAsia="Arial" w:hAnsi="Arial"/>
                <w:sz w:val="18"/>
                <w:szCs w:val="18"/>
                <w:color w:val="auto"/>
              </w:rPr>
              <w:t>M1492T105</w:t>
            </w:r>
          </w:p>
        </w:tc>
      </w:tr>
      <w:tr>
        <w:trPr>
          <w:trHeight w:val="27"/>
        </w:trPr>
        <w:tc>
          <w:tcPr>
            <w:tcW w:w="11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ind w:left="920" w:hanging="915"/>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36" w:lineRule="exact"/>
        <w:rPr>
          <w:rFonts w:ascii="Arial" w:cs="Arial" w:eastAsia="Arial" w:hAnsi="Arial"/>
          <w:sz w:val="18"/>
          <w:szCs w:val="18"/>
          <w:color w:val="auto"/>
        </w:rPr>
      </w:pPr>
    </w:p>
    <w:p>
      <w:pPr>
        <w:ind w:left="920" w:right="4320"/>
        <w:spacing w:after="0" w:line="56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Broadfin Capital, LLC</w:t>
      </w:r>
    </w:p>
    <w:p>
      <w:pPr>
        <w:spacing w:after="0" w:line="1" w:lineRule="exact"/>
        <w:rPr>
          <w:rFonts w:ascii="Arial" w:cs="Arial" w:eastAsia="Arial" w:hAnsi="Arial"/>
          <w:sz w:val="18"/>
          <w:szCs w:val="18"/>
          <w:color w:val="auto"/>
        </w:rPr>
      </w:pPr>
    </w:p>
    <w:p>
      <w:pPr>
        <w:ind w:left="920" w:hanging="915"/>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(a) [_]</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79" w:lineRule="exact"/>
        <w:rPr>
          <w:sz w:val="20"/>
          <w:szCs w:val="20"/>
          <w:color w:val="auto"/>
        </w:rPr>
      </w:pPr>
    </w:p>
    <w:p>
      <w:pPr>
        <w:ind w:left="920" w:hanging="915"/>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920" w:right="6240" w:hanging="915"/>
        <w:spacing w:after="0" w:line="590"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0" w:lineRule="exact"/>
        <w:rPr>
          <w:sz w:val="20"/>
          <w:szCs w:val="20"/>
          <w:color w:val="auto"/>
        </w:rPr>
      </w:pPr>
    </w:p>
    <w:p>
      <w:pPr>
        <w:spacing w:after="0" w:line="214" w:lineRule="exact"/>
        <w:rPr>
          <w:sz w:val="20"/>
          <w:szCs w:val="20"/>
          <w:color w:val="auto"/>
        </w:rPr>
      </w:pPr>
    </w:p>
    <w:p>
      <w:pPr>
        <w:ind w:left="920" w:right="8060" w:hanging="915"/>
        <w:spacing w:after="0" w:line="563"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920" w:right="7780" w:hanging="915"/>
        <w:spacing w:after="0" w:line="563"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0</w:t>
      </w:r>
    </w:p>
    <w:p>
      <w:pPr>
        <w:spacing w:after="0" w:line="1" w:lineRule="exact"/>
        <w:rPr>
          <w:rFonts w:ascii="Arial" w:cs="Arial" w:eastAsia="Arial" w:hAnsi="Arial"/>
          <w:sz w:val="18"/>
          <w:szCs w:val="18"/>
          <w:color w:val="auto"/>
        </w:rPr>
      </w:pPr>
    </w:p>
    <w:p>
      <w:pPr>
        <w:ind w:left="920" w:right="7660" w:hanging="915"/>
        <w:spacing w:after="0" w:line="563"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920" w:right="7380" w:hanging="915"/>
        <w:spacing w:after="0" w:line="563"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920" w:right="3360" w:hanging="915"/>
        <w:spacing w:after="0" w:line="548"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ind w:left="920" w:hanging="915"/>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36"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[_]</w:t>
      </w:r>
    </w:p>
    <w:p>
      <w:pPr>
        <w:spacing w:after="0" w:line="279" w:lineRule="exact"/>
        <w:rPr>
          <w:sz w:val="20"/>
          <w:szCs w:val="20"/>
          <w:color w:val="auto"/>
        </w:rPr>
      </w:pPr>
    </w:p>
    <w:p>
      <w:pPr>
        <w:ind w:left="920" w:right="4860" w:hanging="915"/>
        <w:spacing w:after="0" w:line="563"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1" w:lineRule="exact"/>
        <w:rPr>
          <w:rFonts w:ascii="Arial" w:cs="Arial" w:eastAsia="Arial" w:hAnsi="Arial"/>
          <w:sz w:val="18"/>
          <w:szCs w:val="18"/>
          <w:color w:val="auto"/>
        </w:rPr>
      </w:pPr>
    </w:p>
    <w:p>
      <w:pPr>
        <w:ind w:left="920" w:right="5580" w:hanging="915"/>
        <w:spacing w:after="0" w:line="590"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 OO,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134620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840"/>
          </w:cols>
          <w:pgMar w:left="340" w:top="692" w:right="7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CUSIP No</w:t>
            </w:r>
          </w:p>
        </w:tc>
        <w:tc>
          <w:tcPr>
            <w:tcW w:w="3200" w:type="dxa"/>
            <w:vAlign w:val="bottom"/>
          </w:tcPr>
          <w:p>
            <w:pPr>
              <w:ind w:left="100"/>
              <w:spacing w:after="0"/>
              <w:rPr>
                <w:sz w:val="20"/>
                <w:szCs w:val="20"/>
                <w:color w:val="auto"/>
              </w:rPr>
            </w:pPr>
            <w:r>
              <w:rPr>
                <w:rFonts w:ascii="Arial" w:cs="Arial" w:eastAsia="Arial" w:hAnsi="Arial"/>
                <w:sz w:val="18"/>
                <w:szCs w:val="18"/>
                <w:color w:val="auto"/>
              </w:rPr>
              <w:t>M1492T105</w:t>
            </w:r>
          </w:p>
        </w:tc>
      </w:tr>
      <w:tr>
        <w:trPr>
          <w:trHeight w:val="27"/>
        </w:trPr>
        <w:tc>
          <w:tcPr>
            <w:tcW w:w="11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ind w:left="920" w:hanging="915"/>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36" w:lineRule="exact"/>
        <w:rPr>
          <w:rFonts w:ascii="Arial" w:cs="Arial" w:eastAsia="Arial" w:hAnsi="Arial"/>
          <w:sz w:val="18"/>
          <w:szCs w:val="18"/>
          <w:color w:val="auto"/>
        </w:rPr>
      </w:pPr>
    </w:p>
    <w:p>
      <w:pPr>
        <w:ind w:left="920" w:right="4320"/>
        <w:spacing w:after="0" w:line="56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Broadfin Healthcare Master Fund, Ltd.</w:t>
      </w:r>
    </w:p>
    <w:p>
      <w:pPr>
        <w:spacing w:after="0" w:line="1" w:lineRule="exact"/>
        <w:rPr>
          <w:rFonts w:ascii="Arial" w:cs="Arial" w:eastAsia="Arial" w:hAnsi="Arial"/>
          <w:sz w:val="18"/>
          <w:szCs w:val="18"/>
          <w:color w:val="auto"/>
        </w:rPr>
      </w:pPr>
    </w:p>
    <w:p>
      <w:pPr>
        <w:ind w:left="920" w:hanging="915"/>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(a) [_]</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79" w:lineRule="exact"/>
        <w:rPr>
          <w:sz w:val="20"/>
          <w:szCs w:val="20"/>
          <w:color w:val="auto"/>
        </w:rPr>
      </w:pPr>
    </w:p>
    <w:p>
      <w:pPr>
        <w:ind w:left="920" w:hanging="915"/>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920" w:right="6240" w:hanging="915"/>
        <w:spacing w:after="0" w:line="590"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200" w:lineRule="exact"/>
        <w:rPr>
          <w:sz w:val="20"/>
          <w:szCs w:val="20"/>
          <w:color w:val="auto"/>
        </w:rPr>
      </w:pPr>
    </w:p>
    <w:p>
      <w:pPr>
        <w:spacing w:after="0" w:line="214" w:lineRule="exact"/>
        <w:rPr>
          <w:sz w:val="20"/>
          <w:szCs w:val="20"/>
          <w:color w:val="auto"/>
        </w:rPr>
      </w:pPr>
    </w:p>
    <w:p>
      <w:pPr>
        <w:ind w:left="920" w:right="8060" w:hanging="915"/>
        <w:spacing w:after="0" w:line="563"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920" w:right="7780" w:hanging="915"/>
        <w:spacing w:after="0" w:line="563"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VOTING POWER 0</w:t>
      </w:r>
    </w:p>
    <w:p>
      <w:pPr>
        <w:spacing w:after="0" w:line="1" w:lineRule="exact"/>
        <w:rPr>
          <w:rFonts w:ascii="Arial" w:cs="Arial" w:eastAsia="Arial" w:hAnsi="Arial"/>
          <w:sz w:val="18"/>
          <w:szCs w:val="18"/>
          <w:color w:val="auto"/>
        </w:rPr>
      </w:pPr>
    </w:p>
    <w:p>
      <w:pPr>
        <w:ind w:left="920" w:right="7660" w:hanging="915"/>
        <w:spacing w:after="0" w:line="563"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920" w:right="7380" w:hanging="915"/>
        <w:spacing w:after="0" w:line="563"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920" w:right="3360" w:hanging="915"/>
        <w:spacing w:after="0" w:line="548"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ind w:left="920" w:hanging="915"/>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36"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[_]</w:t>
      </w:r>
    </w:p>
    <w:p>
      <w:pPr>
        <w:spacing w:after="0" w:line="279" w:lineRule="exact"/>
        <w:rPr>
          <w:sz w:val="20"/>
          <w:szCs w:val="20"/>
          <w:color w:val="auto"/>
        </w:rPr>
      </w:pPr>
    </w:p>
    <w:p>
      <w:pPr>
        <w:ind w:left="920" w:right="4860" w:hanging="915"/>
        <w:spacing w:after="0" w:line="563"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1" w:lineRule="exact"/>
        <w:rPr>
          <w:rFonts w:ascii="Arial" w:cs="Arial" w:eastAsia="Arial" w:hAnsi="Arial"/>
          <w:sz w:val="18"/>
          <w:szCs w:val="18"/>
          <w:color w:val="auto"/>
        </w:rPr>
      </w:pPr>
    </w:p>
    <w:p>
      <w:pPr>
        <w:ind w:left="920" w:right="5580" w:hanging="915"/>
        <w:spacing w:after="0" w:line="590"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134620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840"/>
          </w:cols>
          <w:pgMar w:left="340" w:top="476" w:right="7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CUSIP No</w:t>
            </w:r>
          </w:p>
        </w:tc>
        <w:tc>
          <w:tcPr>
            <w:tcW w:w="3200" w:type="dxa"/>
            <w:vAlign w:val="bottom"/>
          </w:tcPr>
          <w:p>
            <w:pPr>
              <w:ind w:left="100"/>
              <w:spacing w:after="0"/>
              <w:rPr>
                <w:sz w:val="20"/>
                <w:szCs w:val="20"/>
                <w:color w:val="auto"/>
              </w:rPr>
            </w:pPr>
            <w:r>
              <w:rPr>
                <w:rFonts w:ascii="Arial" w:cs="Arial" w:eastAsia="Arial" w:hAnsi="Arial"/>
                <w:sz w:val="18"/>
                <w:szCs w:val="18"/>
                <w:color w:val="auto"/>
              </w:rPr>
              <w:t>M1492T105</w:t>
            </w:r>
          </w:p>
        </w:tc>
      </w:tr>
      <w:tr>
        <w:trPr>
          <w:trHeight w:val="27"/>
        </w:trPr>
        <w:tc>
          <w:tcPr>
            <w:tcW w:w="118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ind w:left="920" w:hanging="915"/>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36" w:lineRule="exact"/>
        <w:rPr>
          <w:rFonts w:ascii="Arial" w:cs="Arial" w:eastAsia="Arial" w:hAnsi="Arial"/>
          <w:sz w:val="18"/>
          <w:szCs w:val="18"/>
          <w:color w:val="auto"/>
        </w:rPr>
      </w:pPr>
    </w:p>
    <w:p>
      <w:pPr>
        <w:ind w:left="920" w:right="4320"/>
        <w:spacing w:after="0" w:line="56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Kevin Kotler</w:t>
      </w:r>
    </w:p>
    <w:p>
      <w:pPr>
        <w:spacing w:after="0" w:line="1" w:lineRule="exact"/>
        <w:rPr>
          <w:rFonts w:ascii="Arial" w:cs="Arial" w:eastAsia="Arial" w:hAnsi="Arial"/>
          <w:sz w:val="18"/>
          <w:szCs w:val="18"/>
          <w:color w:val="auto"/>
        </w:rPr>
      </w:pPr>
    </w:p>
    <w:p>
      <w:pPr>
        <w:ind w:left="920" w:hanging="915"/>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(a) [_]</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79" w:lineRule="exact"/>
        <w:rPr>
          <w:sz w:val="20"/>
          <w:szCs w:val="20"/>
          <w:color w:val="auto"/>
        </w:rPr>
      </w:pPr>
    </w:p>
    <w:p>
      <w:pPr>
        <w:ind w:left="920" w:hanging="915"/>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920" w:right="6240" w:hanging="915"/>
        <w:spacing w:after="0" w:line="590"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200" w:lineRule="exact"/>
        <w:rPr>
          <w:sz w:val="20"/>
          <w:szCs w:val="20"/>
          <w:color w:val="auto"/>
        </w:rPr>
      </w:pPr>
    </w:p>
    <w:p>
      <w:pPr>
        <w:spacing w:after="0" w:line="214" w:lineRule="exact"/>
        <w:rPr>
          <w:sz w:val="20"/>
          <w:szCs w:val="20"/>
          <w:color w:val="auto"/>
        </w:rPr>
      </w:pPr>
    </w:p>
    <w:p>
      <w:pPr>
        <w:ind w:left="920" w:right="8060" w:hanging="915"/>
        <w:spacing w:after="0" w:line="563"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920" w:right="7780" w:hanging="915"/>
        <w:spacing w:after="0" w:line="563"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VOTING POWER 0</w:t>
      </w:r>
    </w:p>
    <w:p>
      <w:pPr>
        <w:spacing w:after="0" w:line="1" w:lineRule="exact"/>
        <w:rPr>
          <w:rFonts w:ascii="Arial" w:cs="Arial" w:eastAsia="Arial" w:hAnsi="Arial"/>
          <w:sz w:val="18"/>
          <w:szCs w:val="18"/>
          <w:color w:val="auto"/>
        </w:rPr>
      </w:pPr>
    </w:p>
    <w:p>
      <w:pPr>
        <w:ind w:left="920" w:right="7660" w:hanging="915"/>
        <w:spacing w:after="0" w:line="563"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920" w:right="7380" w:hanging="915"/>
        <w:spacing w:after="0" w:line="563"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920" w:right="3360" w:hanging="915"/>
        <w:spacing w:after="0" w:line="548"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ind w:left="920" w:hanging="915"/>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36"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[_]</w:t>
      </w:r>
    </w:p>
    <w:p>
      <w:pPr>
        <w:spacing w:after="0" w:line="279" w:lineRule="exact"/>
        <w:rPr>
          <w:sz w:val="20"/>
          <w:szCs w:val="20"/>
          <w:color w:val="auto"/>
        </w:rPr>
      </w:pPr>
    </w:p>
    <w:p>
      <w:pPr>
        <w:ind w:left="920" w:right="4860" w:hanging="915"/>
        <w:spacing w:after="0" w:line="563"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1" w:lineRule="exact"/>
        <w:rPr>
          <w:rFonts w:ascii="Arial" w:cs="Arial" w:eastAsia="Arial" w:hAnsi="Arial"/>
          <w:sz w:val="18"/>
          <w:szCs w:val="18"/>
          <w:color w:val="auto"/>
        </w:rPr>
      </w:pPr>
    </w:p>
    <w:p>
      <w:pPr>
        <w:ind w:left="920" w:right="5580" w:hanging="915"/>
        <w:spacing w:after="0" w:line="590"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134620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840"/>
          </w:cols>
          <w:pgMar w:left="340" w:top="476" w:right="7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960" w:type="dxa"/>
            <w:vAlign w:val="bottom"/>
          </w:tcPr>
          <w:p>
            <w:pPr>
              <w:ind w:left="100"/>
              <w:spacing w:after="0"/>
              <w:rPr>
                <w:sz w:val="20"/>
                <w:szCs w:val="20"/>
                <w:color w:val="auto"/>
              </w:rPr>
            </w:pPr>
            <w:r>
              <w:rPr>
                <w:rFonts w:ascii="Arial" w:cs="Arial" w:eastAsia="Arial" w:hAnsi="Arial"/>
                <w:sz w:val="18"/>
                <w:szCs w:val="18"/>
                <w:color w:val="auto"/>
              </w:rPr>
              <w:t>CUSIP No</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560" w:type="dxa"/>
            <w:vAlign w:val="bottom"/>
            <w:gridSpan w:val="2"/>
          </w:tcPr>
          <w:p>
            <w:pPr>
              <w:ind w:left="100"/>
              <w:spacing w:after="0"/>
              <w:rPr>
                <w:sz w:val="20"/>
                <w:szCs w:val="20"/>
                <w:color w:val="auto"/>
              </w:rPr>
            </w:pPr>
            <w:r>
              <w:rPr>
                <w:rFonts w:ascii="Arial" w:cs="Arial" w:eastAsia="Arial" w:hAnsi="Arial"/>
                <w:sz w:val="18"/>
                <w:szCs w:val="18"/>
                <w:color w:val="auto"/>
              </w:rPr>
              <w:t>M1492T105</w:t>
            </w:r>
          </w:p>
        </w:tc>
        <w:tc>
          <w:tcPr>
            <w:tcW w:w="1140" w:type="dxa"/>
            <w:vAlign w:val="bottom"/>
          </w:tcPr>
          <w:p>
            <w:pPr>
              <w:spacing w:after="0"/>
              <w:rPr>
                <w:sz w:val="20"/>
                <w:szCs w:val="20"/>
                <w:color w:val="auto"/>
              </w:rPr>
            </w:pPr>
          </w:p>
        </w:tc>
      </w:tr>
      <w:tr>
        <w:trPr>
          <w:trHeight w:val="27"/>
        </w:trPr>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58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669"/>
        </w:trPr>
        <w:tc>
          <w:tcPr>
            <w:tcW w:w="960" w:type="dxa"/>
            <w:vAlign w:val="bottom"/>
          </w:tcPr>
          <w:p>
            <w:pPr>
              <w:ind w:left="100"/>
              <w:spacing w:after="0"/>
              <w:rPr>
                <w:sz w:val="20"/>
                <w:szCs w:val="20"/>
                <w:color w:val="auto"/>
              </w:rPr>
            </w:pPr>
            <w:r>
              <w:rPr>
                <w:rFonts w:ascii="Arial" w:cs="Arial" w:eastAsia="Arial" w:hAnsi="Arial"/>
                <w:sz w:val="18"/>
                <w:szCs w:val="18"/>
                <w:color w:val="auto"/>
              </w:rPr>
              <w:t>Item 1.</w:t>
            </w:r>
          </w:p>
        </w:tc>
        <w:tc>
          <w:tcPr>
            <w:tcW w:w="660" w:type="dxa"/>
            <w:vAlign w:val="bottom"/>
          </w:tcPr>
          <w:p>
            <w:pPr>
              <w:ind w:left="60"/>
              <w:spacing w:after="0"/>
              <w:rPr>
                <w:sz w:val="20"/>
                <w:szCs w:val="20"/>
                <w:color w:val="auto"/>
              </w:rPr>
            </w:pPr>
            <w:r>
              <w:rPr>
                <w:rFonts w:ascii="Arial" w:cs="Arial" w:eastAsia="Arial" w:hAnsi="Arial"/>
                <w:sz w:val="18"/>
                <w:szCs w:val="18"/>
                <w:color w:val="auto"/>
              </w:rPr>
              <w:t>(a).</w:t>
            </w: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Name of Issuer:</w:t>
            </w:r>
          </w:p>
        </w:tc>
        <w:tc>
          <w:tcPr>
            <w:tcW w:w="1140" w:type="dxa"/>
            <w:vAlign w:val="bottom"/>
          </w:tcPr>
          <w:p>
            <w:pPr>
              <w:spacing w:after="0"/>
              <w:rPr>
                <w:sz w:val="24"/>
                <w:szCs w:val="24"/>
                <w:color w:val="auto"/>
              </w:rPr>
            </w:pPr>
          </w:p>
        </w:tc>
      </w:tr>
      <w:tr>
        <w:trPr>
          <w:trHeight w:val="486"/>
        </w:trPr>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Arcturus Therapeutics Ltd.</w:t>
            </w:r>
          </w:p>
        </w:tc>
        <w:tc>
          <w:tcPr>
            <w:tcW w:w="1140" w:type="dxa"/>
            <w:vAlign w:val="bottom"/>
          </w:tcPr>
          <w:p>
            <w:pPr>
              <w:spacing w:after="0"/>
              <w:rPr>
                <w:sz w:val="24"/>
                <w:szCs w:val="24"/>
                <w:color w:val="auto"/>
              </w:rPr>
            </w:pPr>
          </w:p>
        </w:tc>
      </w:tr>
      <w:tr>
        <w:trPr>
          <w:trHeight w:val="27"/>
        </w:trPr>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60" w:type="dxa"/>
            <w:vAlign w:val="bottom"/>
            <w:tcBorders>
              <w:bottom w:val="single" w:sz="8" w:color="auto"/>
            </w:tcBorders>
            <w:gridSpan w:val="3"/>
          </w:tcPr>
          <w:p>
            <w:pPr>
              <w:spacing w:after="0"/>
              <w:rPr>
                <w:sz w:val="2"/>
                <w:szCs w:val="2"/>
                <w:color w:val="auto"/>
              </w:rPr>
            </w:pPr>
          </w:p>
        </w:tc>
        <w:tc>
          <w:tcPr>
            <w:tcW w:w="1140" w:type="dxa"/>
            <w:vAlign w:val="bottom"/>
          </w:tcPr>
          <w:p>
            <w:pPr>
              <w:spacing w:after="0"/>
              <w:rPr>
                <w:sz w:val="2"/>
                <w:szCs w:val="2"/>
                <w:color w:val="auto"/>
              </w:rPr>
            </w:pPr>
          </w:p>
        </w:tc>
      </w:tr>
      <w:tr>
        <w:trPr>
          <w:trHeight w:val="453"/>
        </w:trPr>
        <w:tc>
          <w:tcPr>
            <w:tcW w:w="96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(b).</w:t>
            </w: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Address of Issuer's Principal Executive Offices:</w:t>
            </w:r>
          </w:p>
        </w:tc>
        <w:tc>
          <w:tcPr>
            <w:tcW w:w="1140" w:type="dxa"/>
            <w:vAlign w:val="bottom"/>
          </w:tcPr>
          <w:p>
            <w:pPr>
              <w:spacing w:after="0"/>
              <w:rPr>
                <w:sz w:val="24"/>
                <w:szCs w:val="24"/>
                <w:color w:val="auto"/>
              </w:rPr>
            </w:pPr>
          </w:p>
        </w:tc>
      </w:tr>
      <w:tr>
        <w:trPr>
          <w:trHeight w:val="472"/>
        </w:trPr>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10628 Science Center Drive, Suite 200</w:t>
            </w:r>
          </w:p>
        </w:tc>
        <w:tc>
          <w:tcPr>
            <w:tcW w:w="1140" w:type="dxa"/>
            <w:vAlign w:val="bottom"/>
          </w:tcPr>
          <w:p>
            <w:pPr>
              <w:spacing w:after="0"/>
              <w:rPr>
                <w:sz w:val="24"/>
                <w:szCs w:val="24"/>
                <w:color w:val="auto"/>
              </w:rPr>
            </w:pPr>
          </w:p>
        </w:tc>
      </w:tr>
      <w:tr>
        <w:trPr>
          <w:trHeight w:val="230"/>
        </w:trPr>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San Diego, California 92121</w:t>
            </w:r>
          </w:p>
        </w:tc>
        <w:tc>
          <w:tcPr>
            <w:tcW w:w="1140" w:type="dxa"/>
            <w:vAlign w:val="bottom"/>
          </w:tcPr>
          <w:p>
            <w:pPr>
              <w:spacing w:after="0"/>
              <w:rPr>
                <w:sz w:val="20"/>
                <w:szCs w:val="20"/>
                <w:color w:val="auto"/>
              </w:rPr>
            </w:pPr>
          </w:p>
        </w:tc>
      </w:tr>
      <w:tr>
        <w:trPr>
          <w:trHeight w:val="696"/>
        </w:trPr>
        <w:tc>
          <w:tcPr>
            <w:tcW w:w="960" w:type="dxa"/>
            <w:vAlign w:val="bottom"/>
          </w:tcPr>
          <w:p>
            <w:pPr>
              <w:ind w:left="100"/>
              <w:spacing w:after="0"/>
              <w:rPr>
                <w:sz w:val="20"/>
                <w:szCs w:val="20"/>
                <w:color w:val="auto"/>
              </w:rPr>
            </w:pPr>
            <w:r>
              <w:rPr>
                <w:rFonts w:ascii="Arial" w:cs="Arial" w:eastAsia="Arial" w:hAnsi="Arial"/>
                <w:sz w:val="18"/>
                <w:szCs w:val="18"/>
                <w:color w:val="auto"/>
              </w:rPr>
              <w:t>Item 2.</w:t>
            </w:r>
          </w:p>
        </w:tc>
        <w:tc>
          <w:tcPr>
            <w:tcW w:w="660" w:type="dxa"/>
            <w:vAlign w:val="bottom"/>
          </w:tcPr>
          <w:p>
            <w:pPr>
              <w:ind w:left="60"/>
              <w:spacing w:after="0"/>
              <w:rPr>
                <w:sz w:val="20"/>
                <w:szCs w:val="20"/>
                <w:color w:val="auto"/>
              </w:rPr>
            </w:pPr>
            <w:r>
              <w:rPr>
                <w:rFonts w:ascii="Arial" w:cs="Arial" w:eastAsia="Arial" w:hAnsi="Arial"/>
                <w:sz w:val="18"/>
                <w:szCs w:val="18"/>
                <w:color w:val="auto"/>
              </w:rPr>
              <w:t>(a).</w:t>
            </w: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Name of Person Filing:</w:t>
            </w:r>
          </w:p>
        </w:tc>
        <w:tc>
          <w:tcPr>
            <w:tcW w:w="1140" w:type="dxa"/>
            <w:vAlign w:val="bottom"/>
          </w:tcPr>
          <w:p>
            <w:pPr>
              <w:spacing w:after="0"/>
              <w:rPr>
                <w:sz w:val="24"/>
                <w:szCs w:val="24"/>
                <w:color w:val="auto"/>
              </w:rPr>
            </w:pPr>
          </w:p>
        </w:tc>
      </w:tr>
      <w:tr>
        <w:trPr>
          <w:trHeight w:val="472"/>
        </w:trPr>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Broadfin Capital, LLC</w:t>
            </w:r>
          </w:p>
        </w:tc>
        <w:tc>
          <w:tcPr>
            <w:tcW w:w="114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Broadfin Healthcare Master Fund, Ltd.</w:t>
            </w:r>
          </w:p>
        </w:tc>
        <w:tc>
          <w:tcPr>
            <w:tcW w:w="114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Kevin Kotler</w:t>
            </w:r>
          </w:p>
        </w:tc>
        <w:tc>
          <w:tcPr>
            <w:tcW w:w="1140" w:type="dxa"/>
            <w:vAlign w:val="bottom"/>
          </w:tcPr>
          <w:p>
            <w:pPr>
              <w:spacing w:after="0"/>
              <w:rPr>
                <w:sz w:val="20"/>
                <w:szCs w:val="20"/>
                <w:color w:val="auto"/>
              </w:rPr>
            </w:pPr>
          </w:p>
        </w:tc>
      </w:tr>
      <w:tr>
        <w:trPr>
          <w:trHeight w:val="453"/>
        </w:trPr>
        <w:tc>
          <w:tcPr>
            <w:tcW w:w="96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(b).</w:t>
            </w: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Address of Principal Business Office, or if None, Residence:</w:t>
            </w:r>
          </w:p>
        </w:tc>
        <w:tc>
          <w:tcPr>
            <w:tcW w:w="1140" w:type="dxa"/>
            <w:vAlign w:val="bottom"/>
          </w:tcPr>
          <w:p>
            <w:pPr>
              <w:spacing w:after="0"/>
              <w:rPr>
                <w:sz w:val="24"/>
                <w:szCs w:val="24"/>
                <w:color w:val="auto"/>
              </w:rPr>
            </w:pPr>
          </w:p>
        </w:tc>
      </w:tr>
      <w:tr>
        <w:trPr>
          <w:trHeight w:val="476"/>
        </w:trPr>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Broadfin Capital, LLC</w:t>
            </w:r>
          </w:p>
        </w:tc>
        <w:tc>
          <w:tcPr>
            <w:tcW w:w="1140" w:type="dxa"/>
            <w:vAlign w:val="bottom"/>
          </w:tcPr>
          <w:p>
            <w:pPr>
              <w:spacing w:after="0"/>
              <w:rPr>
                <w:sz w:val="24"/>
                <w:szCs w:val="24"/>
                <w:color w:val="auto"/>
              </w:rPr>
            </w:pPr>
          </w:p>
        </w:tc>
      </w:tr>
      <w:tr>
        <w:trPr>
          <w:trHeight w:val="253"/>
        </w:trPr>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60" w:type="dxa"/>
            <w:vAlign w:val="bottom"/>
            <w:gridSpan w:val="3"/>
          </w:tcPr>
          <w:p>
            <w:pPr>
              <w:ind w:left="100"/>
              <w:spacing w:after="0" w:line="253" w:lineRule="exact"/>
              <w:rPr>
                <w:sz w:val="20"/>
                <w:szCs w:val="20"/>
                <w:color w:val="auto"/>
              </w:rPr>
            </w:pPr>
            <w:r>
              <w:rPr>
                <w:rFonts w:ascii="Arial" w:cs="Arial" w:eastAsia="Arial" w:hAnsi="Arial"/>
                <w:sz w:val="18"/>
                <w:szCs w:val="18"/>
                <w:color w:val="auto"/>
              </w:rPr>
              <w:t>300 Park Avenue,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140" w:type="dxa"/>
            <w:vAlign w:val="bottom"/>
          </w:tcPr>
          <w:p>
            <w:pPr>
              <w:spacing w:after="0"/>
              <w:rPr>
                <w:sz w:val="21"/>
                <w:szCs w:val="21"/>
                <w:color w:val="auto"/>
              </w:rPr>
            </w:pP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New York, New York 10022</w:t>
            </w:r>
          </w:p>
        </w:tc>
        <w:tc>
          <w:tcPr>
            <w:tcW w:w="114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United States of America</w:t>
            </w:r>
          </w:p>
        </w:tc>
        <w:tc>
          <w:tcPr>
            <w:tcW w:w="1140" w:type="dxa"/>
            <w:vAlign w:val="bottom"/>
          </w:tcPr>
          <w:p>
            <w:pPr>
              <w:spacing w:after="0"/>
              <w:rPr>
                <w:sz w:val="20"/>
                <w:szCs w:val="20"/>
                <w:color w:val="auto"/>
              </w:rPr>
            </w:pPr>
          </w:p>
        </w:tc>
      </w:tr>
      <w:tr>
        <w:trPr>
          <w:trHeight w:val="418"/>
        </w:trPr>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Broadfin Healthcare Master Fund, Ltd.</w:t>
            </w:r>
          </w:p>
        </w:tc>
        <w:tc>
          <w:tcPr>
            <w:tcW w:w="114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20 Genesis Close</w:t>
            </w:r>
          </w:p>
        </w:tc>
        <w:tc>
          <w:tcPr>
            <w:tcW w:w="11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Ansbacher House, Second Floor</w:t>
            </w:r>
          </w:p>
        </w:tc>
        <w:tc>
          <w:tcPr>
            <w:tcW w:w="11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P.O. Box 1344</w:t>
            </w:r>
          </w:p>
        </w:tc>
        <w:tc>
          <w:tcPr>
            <w:tcW w:w="11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Grand Cayman KY1-1108</w:t>
            </w:r>
          </w:p>
        </w:tc>
        <w:tc>
          <w:tcPr>
            <w:tcW w:w="114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Cayman Islands</w:t>
            </w:r>
          </w:p>
        </w:tc>
        <w:tc>
          <w:tcPr>
            <w:tcW w:w="1140" w:type="dxa"/>
            <w:vAlign w:val="bottom"/>
          </w:tcPr>
          <w:p>
            <w:pPr>
              <w:spacing w:after="0"/>
              <w:rPr>
                <w:sz w:val="20"/>
                <w:szCs w:val="20"/>
                <w:color w:val="auto"/>
              </w:rPr>
            </w:pPr>
          </w:p>
        </w:tc>
      </w:tr>
      <w:tr>
        <w:trPr>
          <w:trHeight w:val="418"/>
        </w:trPr>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Kevin Kotler</w:t>
            </w:r>
          </w:p>
        </w:tc>
        <w:tc>
          <w:tcPr>
            <w:tcW w:w="1140" w:type="dxa"/>
            <w:vAlign w:val="bottom"/>
          </w:tcPr>
          <w:p>
            <w:pPr>
              <w:spacing w:after="0"/>
              <w:rPr>
                <w:sz w:val="24"/>
                <w:szCs w:val="24"/>
                <w:color w:val="auto"/>
              </w:rPr>
            </w:pPr>
          </w:p>
        </w:tc>
      </w:tr>
      <w:tr>
        <w:trPr>
          <w:trHeight w:val="220"/>
        </w:trPr>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c/o Broadfin Capital, LLC</w:t>
            </w:r>
          </w:p>
        </w:tc>
        <w:tc>
          <w:tcPr>
            <w:tcW w:w="1140" w:type="dxa"/>
            <w:vAlign w:val="bottom"/>
          </w:tcPr>
          <w:p>
            <w:pPr>
              <w:spacing w:after="0"/>
              <w:rPr>
                <w:sz w:val="19"/>
                <w:szCs w:val="19"/>
                <w:color w:val="auto"/>
              </w:rPr>
            </w:pPr>
          </w:p>
        </w:tc>
      </w:tr>
      <w:tr>
        <w:trPr>
          <w:trHeight w:val="253"/>
        </w:trPr>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60" w:type="dxa"/>
            <w:vAlign w:val="bottom"/>
            <w:gridSpan w:val="3"/>
          </w:tcPr>
          <w:p>
            <w:pPr>
              <w:ind w:left="100"/>
              <w:spacing w:after="0" w:line="253" w:lineRule="exact"/>
              <w:rPr>
                <w:sz w:val="20"/>
                <w:szCs w:val="20"/>
                <w:color w:val="auto"/>
              </w:rPr>
            </w:pPr>
            <w:r>
              <w:rPr>
                <w:rFonts w:ascii="Arial" w:cs="Arial" w:eastAsia="Arial" w:hAnsi="Arial"/>
                <w:sz w:val="18"/>
                <w:szCs w:val="18"/>
                <w:color w:val="auto"/>
              </w:rPr>
              <w:t>300 Park Avenue,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140" w:type="dxa"/>
            <w:vAlign w:val="bottom"/>
          </w:tcPr>
          <w:p>
            <w:pPr>
              <w:spacing w:after="0"/>
              <w:rPr>
                <w:sz w:val="21"/>
                <w:szCs w:val="21"/>
                <w:color w:val="auto"/>
              </w:rPr>
            </w:pP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New York, New York 10022</w:t>
            </w:r>
          </w:p>
        </w:tc>
        <w:tc>
          <w:tcPr>
            <w:tcW w:w="114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United States of America</w:t>
            </w:r>
          </w:p>
        </w:tc>
        <w:tc>
          <w:tcPr>
            <w:tcW w:w="1140" w:type="dxa"/>
            <w:vAlign w:val="bottom"/>
          </w:tcPr>
          <w:p>
            <w:pPr>
              <w:spacing w:after="0"/>
              <w:rPr>
                <w:sz w:val="20"/>
                <w:szCs w:val="20"/>
                <w:color w:val="auto"/>
              </w:rPr>
            </w:pPr>
          </w:p>
        </w:tc>
      </w:tr>
      <w:tr>
        <w:trPr>
          <w:trHeight w:val="453"/>
        </w:trPr>
        <w:tc>
          <w:tcPr>
            <w:tcW w:w="96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(c)</w:t>
            </w: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Citizenship:</w:t>
            </w:r>
          </w:p>
        </w:tc>
        <w:tc>
          <w:tcPr>
            <w:tcW w:w="1140" w:type="dxa"/>
            <w:vAlign w:val="bottom"/>
          </w:tcPr>
          <w:p>
            <w:pPr>
              <w:spacing w:after="0"/>
              <w:rPr>
                <w:sz w:val="24"/>
                <w:szCs w:val="24"/>
                <w:color w:val="auto"/>
              </w:rPr>
            </w:pPr>
          </w:p>
        </w:tc>
      </w:tr>
      <w:tr>
        <w:trPr>
          <w:trHeight w:val="472"/>
        </w:trPr>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Broadfin Capital, LLC – Delaware</w:t>
            </w:r>
          </w:p>
        </w:tc>
        <w:tc>
          <w:tcPr>
            <w:tcW w:w="114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Broadfin Healthcare Master Fund, Ltd. – Cayman Islands</w:t>
            </w:r>
          </w:p>
        </w:tc>
        <w:tc>
          <w:tcPr>
            <w:tcW w:w="114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Kevin Kotler – United States of America</w:t>
            </w:r>
          </w:p>
        </w:tc>
        <w:tc>
          <w:tcPr>
            <w:tcW w:w="1140" w:type="dxa"/>
            <w:vAlign w:val="bottom"/>
          </w:tcPr>
          <w:p>
            <w:pPr>
              <w:spacing w:after="0"/>
              <w:rPr>
                <w:sz w:val="20"/>
                <w:szCs w:val="20"/>
                <w:color w:val="auto"/>
              </w:rPr>
            </w:pPr>
          </w:p>
        </w:tc>
      </w:tr>
      <w:tr>
        <w:trPr>
          <w:trHeight w:val="453"/>
        </w:trPr>
        <w:tc>
          <w:tcPr>
            <w:tcW w:w="96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(d).</w:t>
            </w: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Title of Class of Securities:</w:t>
            </w:r>
          </w:p>
        </w:tc>
        <w:tc>
          <w:tcPr>
            <w:tcW w:w="1140" w:type="dxa"/>
            <w:vAlign w:val="bottom"/>
          </w:tcPr>
          <w:p>
            <w:pPr>
              <w:spacing w:after="0"/>
              <w:rPr>
                <w:sz w:val="24"/>
                <w:szCs w:val="24"/>
                <w:color w:val="auto"/>
              </w:rPr>
            </w:pPr>
          </w:p>
        </w:tc>
      </w:tr>
      <w:tr>
        <w:trPr>
          <w:trHeight w:val="486"/>
        </w:trPr>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Ordinary Shares, par value NIS 0.01 per share</w:t>
            </w:r>
          </w:p>
        </w:tc>
        <w:tc>
          <w:tcPr>
            <w:tcW w:w="1140" w:type="dxa"/>
            <w:vAlign w:val="bottom"/>
          </w:tcPr>
          <w:p>
            <w:pPr>
              <w:spacing w:after="0"/>
              <w:rPr>
                <w:sz w:val="24"/>
                <w:szCs w:val="24"/>
                <w:color w:val="auto"/>
              </w:rPr>
            </w:pPr>
          </w:p>
        </w:tc>
      </w:tr>
      <w:tr>
        <w:trPr>
          <w:trHeight w:val="27"/>
        </w:trPr>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60" w:type="dxa"/>
            <w:vAlign w:val="bottom"/>
            <w:tcBorders>
              <w:bottom w:val="single" w:sz="8" w:color="auto"/>
            </w:tcBorders>
            <w:gridSpan w:val="3"/>
          </w:tcPr>
          <w:p>
            <w:pPr>
              <w:spacing w:after="0"/>
              <w:rPr>
                <w:sz w:val="2"/>
                <w:szCs w:val="2"/>
                <w:color w:val="auto"/>
              </w:rPr>
            </w:pPr>
          </w:p>
        </w:tc>
        <w:tc>
          <w:tcPr>
            <w:tcW w:w="1140" w:type="dxa"/>
            <w:vAlign w:val="bottom"/>
          </w:tcPr>
          <w:p>
            <w:pPr>
              <w:spacing w:after="0"/>
              <w:rPr>
                <w:sz w:val="2"/>
                <w:szCs w:val="2"/>
                <w:color w:val="auto"/>
              </w:rPr>
            </w:pPr>
          </w:p>
        </w:tc>
      </w:tr>
      <w:tr>
        <w:trPr>
          <w:trHeight w:val="453"/>
        </w:trPr>
        <w:tc>
          <w:tcPr>
            <w:tcW w:w="96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rPr>
              <w:t>(e).</w:t>
            </w: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CUSIP Number:</w:t>
            </w:r>
          </w:p>
        </w:tc>
        <w:tc>
          <w:tcPr>
            <w:tcW w:w="1140" w:type="dxa"/>
            <w:vAlign w:val="bottom"/>
          </w:tcPr>
          <w:p>
            <w:pPr>
              <w:spacing w:after="0"/>
              <w:rPr>
                <w:sz w:val="24"/>
                <w:szCs w:val="24"/>
                <w:color w:val="auto"/>
              </w:rPr>
            </w:pPr>
          </w:p>
        </w:tc>
      </w:tr>
      <w:tr>
        <w:trPr>
          <w:trHeight w:val="486"/>
        </w:trPr>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60" w:type="dxa"/>
            <w:vAlign w:val="bottom"/>
            <w:gridSpan w:val="3"/>
          </w:tcPr>
          <w:p>
            <w:pPr>
              <w:ind w:left="100"/>
              <w:spacing w:after="0"/>
              <w:rPr>
                <w:sz w:val="20"/>
                <w:szCs w:val="20"/>
                <w:color w:val="auto"/>
              </w:rPr>
            </w:pPr>
            <w:r>
              <w:rPr>
                <w:rFonts w:ascii="Arial" w:cs="Arial" w:eastAsia="Arial" w:hAnsi="Arial"/>
                <w:sz w:val="18"/>
                <w:szCs w:val="18"/>
                <w:color w:val="auto"/>
              </w:rPr>
              <w:t>M1492T105</w:t>
            </w:r>
          </w:p>
        </w:tc>
        <w:tc>
          <w:tcPr>
            <w:tcW w:w="1140" w:type="dxa"/>
            <w:vAlign w:val="bottom"/>
          </w:tcPr>
          <w:p>
            <w:pPr>
              <w:spacing w:after="0"/>
              <w:rPr>
                <w:sz w:val="24"/>
                <w:szCs w:val="24"/>
                <w:color w:val="auto"/>
              </w:rPr>
            </w:pPr>
          </w:p>
        </w:tc>
      </w:tr>
      <w:tr>
        <w:trPr>
          <w:trHeight w:val="27"/>
        </w:trPr>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r>
      <w:tr>
        <w:trPr>
          <w:trHeight w:val="500"/>
        </w:trPr>
        <w:tc>
          <w:tcPr>
            <w:tcW w:w="9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5" w:name="page6"/>
    <w:bookmarkEnd w:id="5"/>
    <w:p>
      <w:pPr>
        <w:spacing w:after="0"/>
        <w:tabs>
          <w:tab w:leader="none" w:pos="16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This Statement is filed pursuant to ss.240.13d-1(b) or 240.13d-2(b), or (c), check whether the person filing is a</w:t>
      </w:r>
    </w:p>
    <w:p>
      <w:pPr>
        <w:sectPr>
          <w:pgSz w:w="11900" w:h="16838" w:orient="portrait"/>
          <w:cols w:equalWidth="0" w:num="1">
            <w:col w:w="11060"/>
          </w:cols>
          <w:pgMar w:left="340" w:top="476" w:right="499" w:bottom="1440" w:gutter="0" w:footer="0" w:header="0"/>
        </w:sect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(a)</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[_]</w:t>
            </w:r>
          </w:p>
        </w:tc>
      </w:tr>
      <w:tr>
        <w:trPr>
          <w:trHeight w:val="486"/>
        </w:trPr>
        <w:tc>
          <w:tcPr>
            <w:tcW w:w="72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(b)</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[_]</w:t>
            </w:r>
          </w:p>
        </w:tc>
      </w:tr>
      <w:tr>
        <w:trPr>
          <w:trHeight w:val="486"/>
        </w:trPr>
        <w:tc>
          <w:tcPr>
            <w:tcW w:w="72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(c)</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[_]</w:t>
            </w:r>
          </w:p>
        </w:tc>
      </w:tr>
      <w:tr>
        <w:trPr>
          <w:trHeight w:val="486"/>
        </w:trPr>
        <w:tc>
          <w:tcPr>
            <w:tcW w:w="72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(d)</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[_]</w:t>
            </w:r>
          </w:p>
        </w:tc>
      </w:tr>
      <w:tr>
        <w:trPr>
          <w:trHeight w:val="486"/>
        </w:trPr>
        <w:tc>
          <w:tcPr>
            <w:tcW w:w="72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(e)</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[_]</w:t>
            </w:r>
          </w:p>
        </w:tc>
      </w:tr>
      <w:tr>
        <w:trPr>
          <w:trHeight w:val="486"/>
        </w:trPr>
        <w:tc>
          <w:tcPr>
            <w:tcW w:w="72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(f)</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[_]</w:t>
            </w:r>
          </w:p>
        </w:tc>
      </w:tr>
      <w:tr>
        <w:trPr>
          <w:trHeight w:val="486"/>
        </w:trPr>
        <w:tc>
          <w:tcPr>
            <w:tcW w:w="72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(g)</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[_]</w:t>
            </w:r>
          </w:p>
        </w:tc>
      </w:tr>
      <w:tr>
        <w:trPr>
          <w:trHeight w:val="486"/>
        </w:trPr>
        <w:tc>
          <w:tcPr>
            <w:tcW w:w="72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(h)</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[_]</w:t>
            </w:r>
          </w:p>
        </w:tc>
      </w:tr>
      <w:tr>
        <w:trPr>
          <w:trHeight w:val="486"/>
        </w:trPr>
        <w:tc>
          <w:tcPr>
            <w:tcW w:w="72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(i)</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[_]</w:t>
            </w:r>
          </w:p>
        </w:tc>
      </w:tr>
      <w:tr>
        <w:trPr>
          <w:trHeight w:val="675"/>
        </w:trPr>
        <w:tc>
          <w:tcPr>
            <w:tcW w:w="72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(j)</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[_]</w:t>
            </w:r>
          </w:p>
        </w:tc>
      </w:tr>
      <w:tr>
        <w:trPr>
          <w:trHeight w:val="486"/>
        </w:trPr>
        <w:tc>
          <w:tcPr>
            <w:tcW w:w="720" w:type="dxa"/>
            <w:vAlign w:val="bottom"/>
          </w:tcPr>
          <w:p>
            <w:pPr>
              <w:spacing w:after="0"/>
              <w:rPr>
                <w:sz w:val="20"/>
                <w:szCs w:val="20"/>
                <w:color w:val="auto"/>
              </w:rPr>
            </w:pPr>
            <w:r>
              <w:rPr>
                <w:rFonts w:ascii="Arial" w:cs="Arial" w:eastAsia="Arial" w:hAnsi="Arial"/>
                <w:sz w:val="18"/>
                <w:szCs w:val="18"/>
                <w:color w:val="auto"/>
              </w:rPr>
              <w:t>Item 4.</w:t>
            </w:r>
          </w:p>
        </w:tc>
        <w:tc>
          <w:tcPr>
            <w:tcW w:w="1240" w:type="dxa"/>
            <w:vAlign w:val="bottom"/>
            <w:gridSpan w:val="2"/>
          </w:tcPr>
          <w:p>
            <w:pPr>
              <w:ind w:left="400"/>
              <w:spacing w:after="0"/>
              <w:rPr>
                <w:sz w:val="20"/>
                <w:szCs w:val="20"/>
                <w:color w:val="auto"/>
              </w:rPr>
            </w:pPr>
            <w:r>
              <w:rPr>
                <w:rFonts w:ascii="Arial" w:cs="Arial" w:eastAsia="Arial" w:hAnsi="Arial"/>
                <w:sz w:val="18"/>
                <w:szCs w:val="18"/>
                <w:color w:val="auto"/>
                <w:w w:val="90"/>
              </w:rPr>
              <w:t>Ownership.</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Broker or dealer registered under Section 15 of the Exchange Act (15 U.S.C. 78c).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Bank as defined in Section 3(a)(6) of the Exchange Act (15 U.S.C. 78c).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Insurance company as defined in Section 3(a)(19) of the Exchange Act (15 U.S.C. 78c).</w:t>
      </w:r>
    </w:p>
    <w:p>
      <w:pPr>
        <w:spacing w:after="0" w:line="279" w:lineRule="exact"/>
        <w:rPr>
          <w:sz w:val="20"/>
          <w:szCs w:val="20"/>
          <w:color w:val="auto"/>
        </w:rPr>
      </w:pPr>
    </w:p>
    <w:p>
      <w:pPr>
        <w:ind w:right="1120"/>
        <w:spacing w:after="0" w:line="563" w:lineRule="auto"/>
        <w:rPr>
          <w:sz w:val="20"/>
          <w:szCs w:val="20"/>
          <w:color w:val="auto"/>
        </w:rPr>
      </w:pPr>
      <w:r>
        <w:rPr>
          <w:rFonts w:ascii="Arial" w:cs="Arial" w:eastAsia="Arial" w:hAnsi="Arial"/>
          <w:sz w:val="18"/>
          <w:szCs w:val="18"/>
          <w:color w:val="auto"/>
        </w:rPr>
        <w:t>Investment company registered under Section 8 of the Investment Company Act of 1940 (15 U.S.C. 80a-8). An investment adviser in accordance with § 240.13d-1(b)(1)(ii)(E);</w:t>
      </w:r>
    </w:p>
    <w:p>
      <w:pPr>
        <w:spacing w:after="0" w:line="1" w:lineRule="exact"/>
        <w:rPr>
          <w:sz w:val="20"/>
          <w:szCs w:val="20"/>
          <w:color w:val="auto"/>
        </w:rPr>
      </w:pPr>
    </w:p>
    <w:p>
      <w:pPr>
        <w:ind w:right="2340"/>
        <w:spacing w:after="0" w:line="634" w:lineRule="auto"/>
        <w:rPr>
          <w:sz w:val="20"/>
          <w:szCs w:val="20"/>
          <w:color w:val="auto"/>
        </w:rPr>
      </w:pPr>
      <w:r>
        <w:rPr>
          <w:rFonts w:ascii="Arial" w:cs="Arial" w:eastAsia="Arial" w:hAnsi="Arial"/>
          <w:sz w:val="16"/>
          <w:szCs w:val="16"/>
          <w:color w:val="auto"/>
        </w:rPr>
        <w:t>An employee benefit plan or endowment fund in accordance with § 240.13d-1(b)(1)(ii)(F); A parent holding company or control person in accordance with Rule 13d-1(b)(1)(ii)(G);</w:t>
      </w:r>
    </w:p>
    <w:p>
      <w:pPr>
        <w:spacing w:after="0"/>
        <w:rPr>
          <w:sz w:val="20"/>
          <w:szCs w:val="20"/>
          <w:color w:val="auto"/>
        </w:rPr>
      </w:pPr>
      <w:r>
        <w:rPr>
          <w:rFonts w:ascii="Arial" w:cs="Arial" w:eastAsia="Arial" w:hAnsi="Arial"/>
          <w:sz w:val="18"/>
          <w:szCs w:val="18"/>
          <w:color w:val="auto"/>
        </w:rPr>
        <w:t>A savings association as defined in Section 3(b) of the Federal Deposit Insurance Act (12 U.S.C.1813);</w:t>
      </w:r>
    </w:p>
    <w:p>
      <w:pPr>
        <w:spacing w:after="0" w:line="2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Group, in accordance with s.240.13d-1(b)(1)(ii)(J).</w:t>
      </w:r>
    </w:p>
    <w:p>
      <w:pPr>
        <w:spacing w:after="0" w:line="709" w:lineRule="exact"/>
        <w:rPr>
          <w:sz w:val="20"/>
          <w:szCs w:val="20"/>
          <w:color w:val="auto"/>
        </w:rPr>
      </w:pPr>
    </w:p>
    <w:p>
      <w:pPr>
        <w:sectPr>
          <w:pgSz w:w="11900" w:h="16838" w:orient="portrait"/>
          <w:cols w:equalWidth="0" w:num="2">
            <w:col w:w="1960" w:space="220"/>
            <w:col w:w="8880"/>
          </w:cols>
          <w:pgMar w:left="340" w:top="476" w:right="499" w:bottom="1440" w:gutter="0" w:footer="0" w:header="0"/>
          <w:type w:val="continuous"/>
        </w:sectPr>
      </w:pPr>
    </w:p>
    <w:p>
      <w:pPr>
        <w:spacing w:after="0" w:line="29" w:lineRule="exact"/>
        <w:rPr>
          <w:sz w:val="20"/>
          <w:szCs w:val="20"/>
          <w:color w:val="auto"/>
        </w:rPr>
      </w:pPr>
    </w:p>
    <w:p>
      <w:pPr>
        <w:ind w:left="1120"/>
        <w:spacing w:after="0" w:line="277"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97" w:lineRule="exact"/>
        <w:rPr>
          <w:sz w:val="20"/>
          <w:szCs w:val="20"/>
          <w:color w:val="auto"/>
        </w:rPr>
      </w:pPr>
    </w:p>
    <w:p>
      <w:pPr>
        <w:ind w:left="1700" w:hanging="574"/>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79"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Broadfin Capital, LLC – 0</w:t>
      </w:r>
    </w:p>
    <w:p>
      <w:pPr>
        <w:spacing w:after="0" w:line="23" w:lineRule="exact"/>
        <w:rPr>
          <w:rFonts w:ascii="Arial" w:cs="Arial" w:eastAsia="Arial" w:hAnsi="Arial"/>
          <w:sz w:val="18"/>
          <w:szCs w:val="18"/>
          <w:color w:val="auto"/>
        </w:rPr>
      </w:pPr>
    </w:p>
    <w:p>
      <w:pPr>
        <w:ind w:left="1700" w:right="628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0 Kevin Kotler – 0</w:t>
      </w:r>
    </w:p>
    <w:p>
      <w:pPr>
        <w:spacing w:after="0" w:line="224" w:lineRule="exact"/>
        <w:rPr>
          <w:rFonts w:ascii="Arial" w:cs="Arial" w:eastAsia="Arial" w:hAnsi="Arial"/>
          <w:sz w:val="18"/>
          <w:szCs w:val="18"/>
          <w:color w:val="auto"/>
        </w:rPr>
      </w:pPr>
    </w:p>
    <w:p>
      <w:pPr>
        <w:ind w:left="1700" w:hanging="574"/>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79"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Broadfin Capital, LLC – 0%</w:t>
      </w:r>
    </w:p>
    <w:p>
      <w:pPr>
        <w:spacing w:after="0" w:line="23" w:lineRule="exact"/>
        <w:rPr>
          <w:rFonts w:ascii="Arial" w:cs="Arial" w:eastAsia="Arial" w:hAnsi="Arial"/>
          <w:sz w:val="18"/>
          <w:szCs w:val="18"/>
          <w:color w:val="auto"/>
        </w:rPr>
      </w:pPr>
    </w:p>
    <w:p>
      <w:pPr>
        <w:ind w:left="1700" w:right="614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0% Kevin Kotler – 0%</w:t>
      </w:r>
    </w:p>
    <w:p>
      <w:pPr>
        <w:spacing w:after="0" w:line="224" w:lineRule="exact"/>
        <w:rPr>
          <w:rFonts w:ascii="Arial" w:cs="Arial" w:eastAsia="Arial" w:hAnsi="Arial"/>
          <w:sz w:val="18"/>
          <w:szCs w:val="18"/>
          <w:color w:val="auto"/>
        </w:rPr>
      </w:pPr>
    </w:p>
    <w:p>
      <w:pPr>
        <w:ind w:left="1700" w:hanging="574"/>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79" w:lineRule="exact"/>
        <w:rPr>
          <w:rFonts w:ascii="Arial" w:cs="Arial" w:eastAsia="Arial" w:hAnsi="Arial"/>
          <w:sz w:val="18"/>
          <w:szCs w:val="18"/>
          <w:color w:val="auto"/>
        </w:rPr>
      </w:pPr>
    </w:p>
    <w:p>
      <w:pPr>
        <w:ind w:left="2260" w:hanging="567"/>
        <w:spacing w:after="0"/>
        <w:tabs>
          <w:tab w:leader="none" w:pos="22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52" w:lineRule="exact"/>
        <w:rPr>
          <w:rFonts w:ascii="Arial" w:cs="Arial" w:eastAsia="Arial" w:hAnsi="Arial"/>
          <w:sz w:val="18"/>
          <w:szCs w:val="18"/>
          <w:color w:val="auto"/>
        </w:rPr>
      </w:pPr>
    </w:p>
    <w:p>
      <w:pPr>
        <w:ind w:left="2260"/>
        <w:spacing w:after="0"/>
        <w:rPr>
          <w:rFonts w:ascii="Arial" w:cs="Arial" w:eastAsia="Arial" w:hAnsi="Arial"/>
          <w:sz w:val="18"/>
          <w:szCs w:val="18"/>
          <w:color w:val="auto"/>
        </w:rPr>
      </w:pPr>
      <w:r>
        <w:rPr>
          <w:rFonts w:ascii="Arial" w:cs="Arial" w:eastAsia="Arial" w:hAnsi="Arial"/>
          <w:sz w:val="18"/>
          <w:szCs w:val="18"/>
          <w:color w:val="auto"/>
        </w:rPr>
        <w:t>Broadfin Capital, LLC – 0</w:t>
      </w:r>
    </w:p>
    <w:p>
      <w:pPr>
        <w:spacing w:after="0" w:line="23" w:lineRule="exact"/>
        <w:rPr>
          <w:rFonts w:ascii="Arial" w:cs="Arial" w:eastAsia="Arial" w:hAnsi="Arial"/>
          <w:sz w:val="18"/>
          <w:szCs w:val="18"/>
          <w:color w:val="auto"/>
        </w:rPr>
      </w:pPr>
    </w:p>
    <w:p>
      <w:pPr>
        <w:ind w:left="2260" w:right="572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0 Kevin Kotler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1013460</wp:posOffset>
            </wp:positionH>
            <wp:positionV relativeFrom="paragraph">
              <wp:posOffset>-1185545</wp:posOffset>
            </wp:positionV>
            <wp:extent cx="61747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-2068830</wp:posOffset>
            </wp:positionV>
            <wp:extent cx="61747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280035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060"/>
          </w:cols>
          <w:pgMar w:left="340" w:top="476" w:right="499" w:bottom="1440" w:gutter="0" w:footer="0" w:header="0"/>
          <w:type w:val="continuous"/>
        </w:sectPr>
      </w:pPr>
    </w:p>
    <w:bookmarkStart w:id="6" w:name="page7"/>
    <w:bookmarkEnd w:id="6"/>
    <w:p>
      <w:pPr>
        <w:ind w:left="2300" w:hanging="566"/>
        <w:spacing w:after="0"/>
        <w:tabs>
          <w:tab w:leader="none" w:pos="2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52" w:lineRule="exact"/>
        <w:rPr>
          <w:rFonts w:ascii="Arial" w:cs="Arial" w:eastAsia="Arial" w:hAnsi="Arial"/>
          <w:sz w:val="18"/>
          <w:szCs w:val="18"/>
          <w:color w:val="auto"/>
        </w:rPr>
      </w:pPr>
    </w:p>
    <w:p>
      <w:pPr>
        <w:ind w:left="2300"/>
        <w:spacing w:after="0"/>
        <w:rPr>
          <w:rFonts w:ascii="Arial" w:cs="Arial" w:eastAsia="Arial" w:hAnsi="Arial"/>
          <w:sz w:val="18"/>
          <w:szCs w:val="18"/>
          <w:color w:val="auto"/>
        </w:rPr>
      </w:pPr>
      <w:r>
        <w:rPr>
          <w:rFonts w:ascii="Arial" w:cs="Arial" w:eastAsia="Arial" w:hAnsi="Arial"/>
          <w:sz w:val="18"/>
          <w:szCs w:val="18"/>
          <w:color w:val="auto"/>
        </w:rPr>
        <w:t>Broadfin Capital, LLC – 0</w:t>
      </w:r>
    </w:p>
    <w:p>
      <w:pPr>
        <w:spacing w:after="0" w:line="23" w:lineRule="exact"/>
        <w:rPr>
          <w:rFonts w:ascii="Arial" w:cs="Arial" w:eastAsia="Arial" w:hAnsi="Arial"/>
          <w:sz w:val="18"/>
          <w:szCs w:val="18"/>
          <w:color w:val="auto"/>
        </w:rPr>
      </w:pPr>
    </w:p>
    <w:p>
      <w:pPr>
        <w:ind w:left="2300" w:right="588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–0 Kevin Kotler – 0</w:t>
      </w:r>
    </w:p>
    <w:p>
      <w:pPr>
        <w:spacing w:after="0" w:line="183" w:lineRule="exact"/>
        <w:rPr>
          <w:rFonts w:ascii="Arial" w:cs="Arial" w:eastAsia="Arial" w:hAnsi="Arial"/>
          <w:sz w:val="18"/>
          <w:szCs w:val="18"/>
          <w:color w:val="auto"/>
        </w:rPr>
      </w:pPr>
    </w:p>
    <w:p>
      <w:pPr>
        <w:ind w:left="2300" w:hanging="566"/>
        <w:spacing w:after="0"/>
        <w:tabs>
          <w:tab w:leader="none" w:pos="2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52" w:lineRule="exact"/>
        <w:rPr>
          <w:rFonts w:ascii="Arial" w:cs="Arial" w:eastAsia="Arial" w:hAnsi="Arial"/>
          <w:sz w:val="18"/>
          <w:szCs w:val="18"/>
          <w:color w:val="auto"/>
        </w:rPr>
      </w:pPr>
    </w:p>
    <w:p>
      <w:pPr>
        <w:ind w:left="2300"/>
        <w:spacing w:after="0"/>
        <w:rPr>
          <w:rFonts w:ascii="Arial" w:cs="Arial" w:eastAsia="Arial" w:hAnsi="Arial"/>
          <w:sz w:val="18"/>
          <w:szCs w:val="18"/>
          <w:color w:val="auto"/>
        </w:rPr>
      </w:pPr>
      <w:r>
        <w:rPr>
          <w:rFonts w:ascii="Arial" w:cs="Arial" w:eastAsia="Arial" w:hAnsi="Arial"/>
          <w:sz w:val="18"/>
          <w:szCs w:val="18"/>
          <w:color w:val="auto"/>
        </w:rPr>
        <w:t>Broadfin Capital, LLC – 0</w:t>
      </w:r>
    </w:p>
    <w:p>
      <w:pPr>
        <w:spacing w:after="0" w:line="23" w:lineRule="exact"/>
        <w:rPr>
          <w:rFonts w:ascii="Arial" w:cs="Arial" w:eastAsia="Arial" w:hAnsi="Arial"/>
          <w:sz w:val="18"/>
          <w:szCs w:val="18"/>
          <w:color w:val="auto"/>
        </w:rPr>
      </w:pPr>
    </w:p>
    <w:p>
      <w:pPr>
        <w:ind w:left="2300" w:right="5840"/>
        <w:spacing w:after="0" w:line="261" w:lineRule="auto"/>
        <w:rPr>
          <w:rFonts w:ascii="Arial" w:cs="Arial" w:eastAsia="Arial" w:hAnsi="Arial"/>
          <w:sz w:val="18"/>
          <w:szCs w:val="18"/>
          <w:color w:val="auto"/>
        </w:rPr>
      </w:pPr>
      <w:r>
        <w:rPr>
          <w:rFonts w:ascii="Arial" w:cs="Arial" w:eastAsia="Arial" w:hAnsi="Arial"/>
          <w:sz w:val="18"/>
          <w:szCs w:val="18"/>
          <w:color w:val="auto"/>
        </w:rPr>
        <w:t>Broadfin Healthcare Master Fund, Ltd. – 0 Kevin Kotler – 0</w:t>
      </w:r>
    </w:p>
    <w:p>
      <w:pPr>
        <w:spacing w:after="0" w:line="183" w:lineRule="exact"/>
        <w:rPr>
          <w:rFonts w:ascii="Arial" w:cs="Arial" w:eastAsia="Arial" w:hAnsi="Arial"/>
          <w:sz w:val="18"/>
          <w:szCs w:val="18"/>
          <w:color w:val="auto"/>
        </w:rPr>
      </w:pPr>
    </w:p>
    <w:p>
      <w:pPr>
        <w:ind w:left="2300" w:hanging="566"/>
        <w:spacing w:after="0"/>
        <w:tabs>
          <w:tab w:leader="none" w:pos="2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5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Broadfin Capital, LLC – 0</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Broadfin Healthcare Master Fund, Ltd. – 0</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Kevin Kotler – 0</w:t>
      </w:r>
    </w:p>
    <w:p>
      <w:pPr>
        <w:spacing w:after="0" w:line="23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52" w:lineRule="exact"/>
        <w:rPr>
          <w:sz w:val="20"/>
          <w:szCs w:val="20"/>
          <w:color w:val="auto"/>
        </w:rPr>
      </w:pPr>
    </w:p>
    <w:p>
      <w:pPr>
        <w:ind w:left="1160" w:right="4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97" w:lineRule="exact"/>
        <w:rPr>
          <w:sz w:val="20"/>
          <w:szCs w:val="20"/>
          <w:color w:val="auto"/>
        </w:rPr>
      </w:pPr>
    </w:p>
    <w:p>
      <w:pPr>
        <w:ind w:left="1160" w:right="160"/>
        <w:spacing w:after="0" w:line="277" w:lineRule="auto"/>
        <w:rPr>
          <w:sz w:val="20"/>
          <w:szCs w:val="20"/>
          <w:color w:val="auto"/>
        </w:rPr>
      </w:pPr>
      <w:r>
        <w:rPr>
          <w:rFonts w:ascii="Arial" w:cs="Arial" w:eastAsia="Arial" w:hAnsi="Arial"/>
          <w:sz w:val="18"/>
          <w:szCs w:val="18"/>
          <w:color w:val="auto"/>
        </w:rPr>
        <w:t>This final amendment reflects that each Reporting Person has ceased to be the beneficial owner of more than five percent of the Common Stock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-19050</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52" w:lineRule="exact"/>
        <w:rPr>
          <w:sz w:val="20"/>
          <w:szCs w:val="20"/>
          <w:color w:val="auto"/>
        </w:rPr>
      </w:pPr>
    </w:p>
    <w:p>
      <w:pPr>
        <w:ind w:left="1040"/>
        <w:spacing w:after="0" w:line="279" w:lineRule="auto"/>
        <w:rPr>
          <w:sz w:val="20"/>
          <w:szCs w:val="20"/>
          <w:color w:val="auto"/>
        </w:rPr>
      </w:pPr>
      <w:r>
        <w:rPr>
          <w:rFonts w:ascii="Arial" w:cs="Arial" w:eastAsia="Arial" w:hAnsi="Arial"/>
          <w:sz w:val="17"/>
          <w:szCs w:val="17"/>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31750</wp:posOffset>
            </wp:positionV>
            <wp:extent cx="65862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46" w:lineRule="exact"/>
        <w:rPr>
          <w:sz w:val="20"/>
          <w:szCs w:val="20"/>
          <w:color w:val="auto"/>
        </w:rPr>
      </w:pPr>
    </w:p>
    <w:p>
      <w:pPr>
        <w:ind w:left="1040" w:right="460" w:hanging="1039"/>
        <w:spacing w:after="0" w:line="277" w:lineRule="auto"/>
        <w:tabs>
          <w:tab w:leader="none" w:pos="102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97" w:lineRule="exact"/>
        <w:rPr>
          <w:sz w:val="20"/>
          <w:szCs w:val="20"/>
          <w:color w:val="auto"/>
        </w:rPr>
      </w:pPr>
    </w:p>
    <w:p>
      <w:pPr>
        <w:ind w:left="1040" w:right="140"/>
        <w:spacing w:after="0" w:line="259" w:lineRule="auto"/>
        <w:rPr>
          <w:sz w:val="20"/>
          <w:szCs w:val="20"/>
          <w:color w:val="auto"/>
        </w:rPr>
      </w:pPr>
      <w:r>
        <w:rPr>
          <w:rFonts w:ascii="Arial" w:cs="Arial" w:eastAsia="Arial" w:hAnsi="Arial"/>
          <w:sz w:val="18"/>
          <w:szCs w:val="18"/>
          <w:color w:val="auto"/>
        </w:rPr>
        <w:t>If a parent holding company or control person has filed this schedule, pursuant to Rule §240.13d-1(b)(1)(ii)(G),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3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See Exhibit A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31750</wp:posOffset>
            </wp:positionV>
            <wp:extent cx="65862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194945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20"/>
          </w:cols>
          <w:pgMar w:left="340" w:top="476" w:right="339" w:bottom="1440" w:gutter="0" w:footer="0" w:header="0"/>
        </w:sectPr>
      </w:pPr>
    </w:p>
    <w:bookmarkStart w:id="7" w:name="page8"/>
    <w:bookmarkEnd w:id="7"/>
    <w:p>
      <w:pPr>
        <w:spacing w:after="0"/>
        <w:tabs>
          <w:tab w:leader="none" w:pos="102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52" w:lineRule="exact"/>
        <w:rPr>
          <w:sz w:val="20"/>
          <w:szCs w:val="20"/>
          <w:color w:val="auto"/>
        </w:rPr>
      </w:pPr>
    </w:p>
    <w:p>
      <w:pPr>
        <w:ind w:left="1040" w:right="40" w:hanging="7"/>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31750</wp:posOffset>
            </wp:positionV>
            <wp:extent cx="65862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4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52" w:lineRule="exact"/>
        <w:rPr>
          <w:sz w:val="20"/>
          <w:szCs w:val="20"/>
          <w:color w:val="auto"/>
        </w:rPr>
      </w:pPr>
    </w:p>
    <w:p>
      <w:pPr>
        <w:ind w:left="1040" w:right="200" w:hanging="7"/>
        <w:spacing w:after="0" w:line="342" w:lineRule="auto"/>
        <w:rPr>
          <w:sz w:val="20"/>
          <w:szCs w:val="20"/>
          <w:color w:val="auto"/>
        </w:rPr>
      </w:pPr>
      <w:r>
        <w:rPr>
          <w:rFonts w:ascii="Arial" w:cs="Arial" w:eastAsia="Arial" w:hAnsi="Arial"/>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36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31750</wp:posOffset>
            </wp:positionV>
            <wp:extent cx="65862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4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252" w:lineRule="exact"/>
        <w:rPr>
          <w:sz w:val="20"/>
          <w:szCs w:val="20"/>
          <w:color w:val="auto"/>
        </w:rPr>
      </w:pPr>
    </w:p>
    <w:p>
      <w:pPr>
        <w:ind w:left="16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436245</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00"/>
          </w:cols>
          <w:pgMar w:left="340" w:top="692" w:right="359" w:bottom="1440" w:gutter="0" w:footer="0" w:header="0"/>
        </w:sectPr>
      </w:pPr>
    </w:p>
    <w:bookmarkStart w:id="8" w:name="page9"/>
    <w:bookmarkEnd w:id="8"/>
    <w:p>
      <w:pPr>
        <w:jc w:val="center"/>
        <w:ind w:right="-1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2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13, 2018</w:t>
      </w:r>
    </w:p>
    <w:p>
      <w:pPr>
        <w:spacing w:after="0" w:line="5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BROADFIN CAPITAL, LLC*</w:t>
      </w:r>
    </w:p>
    <w:p>
      <w:pPr>
        <w:spacing w:after="0" w:line="3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By: /s/ Kevin Kotler</w:t>
      </w:r>
    </w:p>
    <w:p>
      <w:pPr>
        <w:spacing w:after="0" w:line="50"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Kevin Kotler, Managing Member</w:t>
      </w:r>
    </w:p>
    <w:p>
      <w:pPr>
        <w:spacing w:after="0" w:line="5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February 13, 2018</w:t>
      </w:r>
    </w:p>
    <w:p>
      <w:pPr>
        <w:spacing w:after="0" w:line="50"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-130175</wp:posOffset>
            </wp:positionV>
            <wp:extent cx="36874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BROADFIN HEALTHCARE</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MASTER FUND, LTD.</w:t>
      </w:r>
    </w:p>
    <w:p>
      <w:pPr>
        <w:spacing w:after="0" w:line="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By: /s/ Kevin Kotler</w:t>
      </w:r>
    </w:p>
    <w:p>
      <w:pPr>
        <w:spacing w:after="0" w:line="9"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-130810</wp:posOffset>
            </wp:positionV>
            <wp:extent cx="36874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Kevin Kotler, Director</w:t>
      </w:r>
    </w:p>
    <w:p>
      <w:pPr>
        <w:spacing w:after="0" w:line="50"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-130175</wp:posOffset>
            </wp:positionV>
            <wp:extent cx="36874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13, 2018</w:t>
      </w:r>
    </w:p>
    <w:p>
      <w:pPr>
        <w:spacing w:after="0" w:line="5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By: /s/ Kevin Kotler*</w:t>
      </w:r>
    </w:p>
    <w:p>
      <w:pPr>
        <w:spacing w:after="0" w:line="5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Kevin Kotler</w:t>
      </w:r>
    </w:p>
    <w:p>
      <w:pPr>
        <w:spacing w:after="0" w:line="50"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disclaim beneficial ownership in the shares reported herein except to the extent of their pecuniary interest therein.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00"/>
          </w:cols>
          <w:pgMar w:left="240" w:top="692" w:right="359" w:bottom="1440" w:gutter="0" w:footer="0" w:header="0"/>
        </w:sectPr>
      </w:pPr>
    </w:p>
    <w:bookmarkStart w:id="9" w:name="page10"/>
    <w:bookmarkEnd w:id="9"/>
    <w:p>
      <w:pPr>
        <w:jc w:val="center"/>
        <w:ind w:right="-119"/>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undersigned agree that this Schedule 13G dated February 13, 2018 relating to the Ordinary Shares, par value NIS 0.01 per share of Arcturus Therapeutics Ltd. shall be filed on behalf of the undersigned.</w:t>
      </w:r>
    </w:p>
    <w:p>
      <w:pPr>
        <w:spacing w:after="0" w:line="38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13, 2018</w:t>
      </w:r>
    </w:p>
    <w:p>
      <w:pPr>
        <w:spacing w:after="0" w:line="5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BROADFIN CAPITAL, LLC</w:t>
      </w:r>
    </w:p>
    <w:p>
      <w:pPr>
        <w:spacing w:after="0" w:line="3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By: /s/ Kevin Kotler</w:t>
      </w:r>
    </w:p>
    <w:p>
      <w:pPr>
        <w:spacing w:after="0" w:line="50"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Kevin Kotler, Managing Member</w:t>
      </w:r>
    </w:p>
    <w:p>
      <w:pPr>
        <w:spacing w:after="0" w:line="5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February 13, 2018</w:t>
      </w:r>
    </w:p>
    <w:p>
      <w:pPr>
        <w:spacing w:after="0" w:line="50"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-130175</wp:posOffset>
            </wp:positionV>
            <wp:extent cx="35502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BROADFIN HEALTHCARE</w:t>
      </w:r>
    </w:p>
    <w:p>
      <w:pPr>
        <w:spacing w:after="0" w:line="23"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MASTER FUND, LTD.</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By: /s/ Kevin Kotler</w:t>
      </w:r>
    </w:p>
    <w:p>
      <w:pPr>
        <w:spacing w:after="0" w:line="9"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Kevin Kotler, Director</w:t>
      </w:r>
    </w:p>
    <w:p>
      <w:pPr>
        <w:spacing w:after="0" w:line="50"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-130175</wp:posOffset>
            </wp:positionV>
            <wp:extent cx="35502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13, 2018</w:t>
      </w:r>
    </w:p>
    <w:p>
      <w:pPr>
        <w:spacing w:after="0" w:line="5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By: /s/ Kevin Kotler</w:t>
      </w:r>
    </w:p>
    <w:p>
      <w:pPr>
        <w:spacing w:after="0" w:line="50"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Kevin Kotler</w:t>
      </w:r>
    </w:p>
    <w:p>
      <w:pPr>
        <w:spacing w:after="0" w:line="50"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00"/>
          </w:cols>
          <w:pgMar w:left="240" w:top="692" w:right="35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EXHIBIT 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Broadfin Capital, LLC is the relevant entity for which Kevin Kotler may be considered a control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SK 25125 0001 7808634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4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1."/>
      <w:numFmt w:val="decimal"/>
      <w:start w:val="5"/>
    </w:lvl>
  </w:abstractNum>
  <w:abstractNum w:abstractNumId="4">
    <w:nsid w:val="4DB127F8"/>
    <w:multiLevelType w:val="hybridMultilevel"/>
    <w:lvl w:ilvl="0">
      <w:lvlJc w:val="left"/>
      <w:lvlText w:val="%1."/>
      <w:numFmt w:val="decimal"/>
      <w:start w:val="1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3"/>
    </w:lvl>
  </w:abstractNum>
  <w:abstractNum w:abstractNumId="7">
    <w:nsid w:val="1190CDE7"/>
    <w:multiLevelType w:val="hybridMultilevel"/>
    <w:lvl w:ilvl="0">
      <w:lvlJc w:val="left"/>
      <w:lvlText w:val="%1."/>
      <w:numFmt w:val="decimal"/>
      <w:start w:val="5"/>
    </w:lvl>
  </w:abstractNum>
  <w:abstractNum w:abstractNumId="8">
    <w:nsid w:val="66EF438D"/>
    <w:multiLevelType w:val="hybridMultilevel"/>
    <w:lvl w:ilvl="0">
      <w:lvlJc w:val="left"/>
      <w:lvlText w:val="%1."/>
      <w:numFmt w:val="decimal"/>
      <w:start w:val="1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3"/>
    </w:lvl>
  </w:abstractNum>
  <w:abstractNum w:abstractNumId="11">
    <w:nsid w:val="109CF92E"/>
    <w:multiLevelType w:val="hybridMultilevel"/>
    <w:lvl w:ilvl="0">
      <w:lvlJc w:val="left"/>
      <w:lvlText w:val="%1."/>
      <w:numFmt w:val="decimal"/>
      <w:start w:val="5"/>
    </w:lvl>
  </w:abstractNum>
  <w:abstractNum w:abstractNumId="12">
    <w:nsid w:val="DED7263"/>
    <w:multiLevelType w:val="hybridMultilevel"/>
    <w:lvl w:ilvl="0">
      <w:lvlJc w:val="left"/>
      <w:lvlText w:val="%1."/>
      <w:numFmt w:val="decimal"/>
      <w:start w:val="11"/>
    </w:lvl>
  </w:abstractNum>
  <w:abstractNum w:abstractNumId="13">
    <w:nsid w:val="7FDCC233"/>
    <w:multiLevelType w:val="hybridMultilevel"/>
    <w:lvl w:ilvl="0">
      <w:lvlJc w:val="left"/>
      <w:lvlText w:val="(%1)"/>
      <w:numFmt w:val="lowerLetter"/>
      <w:start w:val="1"/>
    </w:lvl>
    <w:lvl w:ilvl="1">
      <w:lvlJc w:val="left"/>
      <w:lvlText w:val="(%2)"/>
      <w:numFmt w:val="lowerRoman"/>
      <w:start w:val="1"/>
    </w:lvl>
  </w:abstractNum>
  <w:abstractNum w:abstractNumId="14">
    <w:nsid w:val="1BEFD79F"/>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2019-12-16T09:11:27Z</dcterms:created>
  <dcterms:modified xsi:type="dcterms:W3CDTF">2019-12-16T09:11:27Z</dcterms:modified>
</cp:coreProperties>
</file>