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18"/>
          <w:szCs w:val="18"/>
          <w:b w:val="1"/>
          <w:bCs w:val="1"/>
          <w:color w:val="auto"/>
        </w:rPr>
        <w:t>SECURITIES AND EXCHANGE COMMISSION</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20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SCHEDULE 13G</w:t>
      </w:r>
    </w:p>
    <w:p>
      <w:pPr>
        <w:spacing w:after="0" w:line="22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(Rule 13d-102)</w:t>
      </w:r>
    </w:p>
    <w:p>
      <w:pPr>
        <w:spacing w:after="0" w:line="22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Under the Securities Exchange Act of 1934</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(Amendment No. 1)*</w:t>
      </w:r>
    </w:p>
    <w:p>
      <w:pPr>
        <w:spacing w:after="0" w:line="20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Alcobra Ltd.</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(Name of Issuer)</w:t>
      </w:r>
    </w:p>
    <w:p>
      <w:pPr>
        <w:spacing w:after="0" w:line="20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Ordinary Shares</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(Title of Class of Securities)</w:t>
      </w:r>
    </w:p>
    <w:p>
      <w:pPr>
        <w:spacing w:after="0" w:line="20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M2239P109</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(CUSIP Number)</w:t>
      </w:r>
    </w:p>
    <w:p>
      <w:pPr>
        <w:spacing w:after="0" w:line="20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December 31, 2014</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(Date of Event Which Requires Filing of this Statement)</w:t>
      </w:r>
    </w:p>
    <w:p>
      <w:pPr>
        <w:spacing w:after="0" w:line="211"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 to designate the rule pursuant to which this Schedule is filed:</w:t>
      </w:r>
    </w:p>
    <w:p>
      <w:pPr>
        <w:spacing w:after="0" w:line="200" w:lineRule="exact"/>
        <w:rPr>
          <w:sz w:val="24"/>
          <w:szCs w:val="24"/>
          <w:color w:val="auto"/>
        </w:rPr>
      </w:pPr>
    </w:p>
    <w:p>
      <w:pPr>
        <w:spacing w:after="0" w:line="217" w:lineRule="exact"/>
        <w:rPr>
          <w:sz w:val="24"/>
          <w:szCs w:val="24"/>
          <w:color w:val="auto"/>
        </w:rPr>
      </w:pPr>
    </w:p>
    <w:p>
      <w:pPr>
        <w:ind w:left="360"/>
        <w:spacing w:after="0"/>
        <w:rPr>
          <w:sz w:val="20"/>
          <w:szCs w:val="20"/>
          <w:color w:val="auto"/>
        </w:rPr>
      </w:pPr>
      <w:r>
        <w:rPr>
          <w:sz w:val="1"/>
          <w:szCs w:val="1"/>
          <w:color w:val="auto"/>
        </w:rPr>
        <w:drawing>
          <wp:inline distT="0" distB="0" distL="0" distR="0">
            <wp:extent cx="154305" cy="15430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54305" cy="154305"/>
                    </a:xfrm>
                    <a:prstGeom prst="rect">
                      <a:avLst/>
                    </a:prstGeom>
                    <a:noFill/>
                    <a:ln>
                      <a:noFill/>
                    </a:ln>
                  </pic:spPr>
                </pic:pic>
              </a:graphicData>
            </a:graphic>
          </wp:inline>
        </w:drawing>
        <w:drawing>
          <wp:inline distT="0" distB="0" distL="0" distR="0">
            <wp:extent cx="8890" cy="154305"/>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8890" cy="154305"/>
                    </a:xfrm>
                    <a:prstGeom prst="rect">
                      <a:avLst/>
                    </a:prstGeom>
                    <a:noFill/>
                    <a:ln>
                      <a:noFill/>
                    </a:ln>
                  </pic:spPr>
                </pic:pic>
              </a:graphicData>
            </a:graphic>
          </wp:inline>
        </w:drawing>
      </w:r>
      <w:r>
        <w:rPr>
          <w:rFonts w:ascii="Arial" w:cs="Arial" w:eastAsia="Arial" w:hAnsi="Arial"/>
          <w:sz w:val="18"/>
          <w:szCs w:val="18"/>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227965</wp:posOffset>
            </wp:positionH>
            <wp:positionV relativeFrom="paragraph">
              <wp:posOffset>-8255</wp:posOffset>
            </wp:positionV>
            <wp:extent cx="15430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4305" cy="8890"/>
                    </a:xfrm>
                    <a:prstGeom prst="rect">
                      <a:avLst/>
                    </a:prstGeom>
                    <a:noFill/>
                  </pic:spPr>
                </pic:pic>
              </a:graphicData>
            </a:graphic>
          </wp:anchor>
        </w:drawing>
      </w:r>
    </w:p>
    <w:p>
      <w:pPr>
        <w:spacing w:after="0" w:line="158" w:lineRule="exact"/>
        <w:rPr>
          <w:sz w:val="24"/>
          <w:szCs w:val="24"/>
          <w:color w:val="auto"/>
        </w:rPr>
      </w:pPr>
    </w:p>
    <w:p>
      <w:pPr>
        <w:ind w:left="360"/>
        <w:spacing w:after="0"/>
        <w:rPr>
          <w:sz w:val="20"/>
          <w:szCs w:val="20"/>
          <w:color w:val="auto"/>
        </w:rPr>
      </w:pPr>
      <w:r>
        <w:rPr>
          <w:sz w:val="1"/>
          <w:szCs w:val="1"/>
          <w:color w:val="auto"/>
        </w:rPr>
        <w:drawing>
          <wp:inline distT="0" distB="0" distL="0" distR="0">
            <wp:extent cx="154305" cy="15430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4305" cy="154305"/>
                    </a:xfrm>
                    <a:prstGeom prst="rect">
                      <a:avLst/>
                    </a:prstGeom>
                    <a:noFill/>
                    <a:ln>
                      <a:noFill/>
                    </a:ln>
                  </pic:spPr>
                </pic:pic>
              </a:graphicData>
            </a:graphic>
          </wp:inline>
        </w:drawing>
        <w:drawing>
          <wp:inline distT="0" distB="0" distL="0" distR="0">
            <wp:extent cx="8890" cy="154305"/>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8890" cy="154305"/>
                    </a:xfrm>
                    <a:prstGeom prst="rect">
                      <a:avLst/>
                    </a:prstGeom>
                    <a:noFill/>
                    <a:ln>
                      <a:noFill/>
                    </a:ln>
                  </pic:spPr>
                </pic:pic>
              </a:graphicData>
            </a:graphic>
          </wp:inline>
        </w:drawing>
      </w:r>
      <w:r>
        <w:rPr>
          <w:rFonts w:ascii="Arial" w:cs="Arial" w:eastAsia="Arial" w:hAnsi="Arial"/>
          <w:sz w:val="18"/>
          <w:szCs w:val="18"/>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227965</wp:posOffset>
            </wp:positionH>
            <wp:positionV relativeFrom="paragraph">
              <wp:posOffset>-8255</wp:posOffset>
            </wp:positionV>
            <wp:extent cx="15430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4305" cy="8890"/>
                    </a:xfrm>
                    <a:prstGeom prst="rect">
                      <a:avLst/>
                    </a:prstGeom>
                    <a:noFill/>
                  </pic:spPr>
                </pic:pic>
              </a:graphicData>
            </a:graphic>
          </wp:anchor>
        </w:drawing>
      </w:r>
    </w:p>
    <w:p>
      <w:pPr>
        <w:spacing w:after="0" w:line="182" w:lineRule="exact"/>
        <w:rPr>
          <w:sz w:val="24"/>
          <w:szCs w:val="24"/>
          <w:color w:val="auto"/>
        </w:rPr>
      </w:pPr>
    </w:p>
    <w:p>
      <w:pPr>
        <w:ind w:left="600" w:hanging="184"/>
        <w:spacing w:after="0"/>
        <w:tabs>
          <w:tab w:leader="none" w:pos="600" w:val="left"/>
        </w:tabs>
        <w:numPr>
          <w:ilvl w:val="1"/>
          <w:numId w:val="1"/>
        </w:numPr>
        <w:rPr>
          <w:rFonts w:ascii="Arial" w:cs="Arial" w:eastAsia="Arial" w:hAnsi="Arial"/>
          <w:sz w:val="18"/>
          <w:szCs w:val="18"/>
          <w:color w:val="auto"/>
        </w:rPr>
      </w:pPr>
      <w:r>
        <w:rPr>
          <w:rFonts w:ascii="Arial" w:cs="Arial" w:eastAsia="Arial" w:hAnsi="Arial"/>
          <w:sz w:val="18"/>
          <w:szCs w:val="18"/>
          <w:color w:val="auto"/>
        </w:rPr>
        <w:t>Rule 13d-1(d)</w:t>
      </w:r>
    </w:p>
    <w:p>
      <w:pPr>
        <w:spacing w:after="0" w:line="200" w:lineRule="exact"/>
        <w:rPr>
          <w:rFonts w:ascii="Arial" w:cs="Arial" w:eastAsia="Arial" w:hAnsi="Arial"/>
          <w:sz w:val="18"/>
          <w:szCs w:val="18"/>
          <w:color w:val="auto"/>
        </w:rPr>
      </w:pPr>
    </w:p>
    <w:p>
      <w:pPr>
        <w:spacing w:after="0" w:line="268" w:lineRule="exact"/>
        <w:rPr>
          <w:rFonts w:ascii="Arial" w:cs="Arial" w:eastAsia="Arial" w:hAnsi="Arial"/>
          <w:sz w:val="18"/>
          <w:szCs w:val="18"/>
          <w:color w:val="auto"/>
        </w:rPr>
      </w:pPr>
    </w:p>
    <w:p>
      <w:pPr>
        <w:ind w:right="180"/>
        <w:spacing w:after="0" w:line="277" w:lineRule="auto"/>
        <w:rPr>
          <w:rFonts w:ascii="Arial" w:cs="Arial" w:eastAsia="Arial" w:hAnsi="Arial"/>
          <w:sz w:val="18"/>
          <w:szCs w:val="18"/>
          <w:color w:val="auto"/>
        </w:rPr>
      </w:pPr>
      <w:r>
        <w:rPr>
          <w:rFonts w:ascii="Arial" w:cs="Arial" w:eastAsia="Arial" w:hAnsi="Arial"/>
          <w:sz w:val="18"/>
          <w:szCs w:val="18"/>
          <w:color w:val="auto"/>
        </w:rPr>
        <w:t>* 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227965</wp:posOffset>
            </wp:positionH>
            <wp:positionV relativeFrom="paragraph">
              <wp:posOffset>-722630</wp:posOffset>
            </wp:positionV>
            <wp:extent cx="154305" cy="1543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4305" cy="154305"/>
                    </a:xfrm>
                    <a:prstGeom prst="rect">
                      <a:avLst/>
                    </a:prstGeom>
                    <a:noFill/>
                  </pic:spPr>
                </pic:pic>
              </a:graphicData>
            </a:graphic>
          </wp:anchor>
        </w:drawing>
      </w:r>
    </w:p>
    <w:p>
      <w:pPr>
        <w:spacing w:after="0" w:line="150" w:lineRule="exact"/>
        <w:rPr>
          <w:sz w:val="24"/>
          <w:szCs w:val="24"/>
          <w:color w:val="auto"/>
        </w:rPr>
      </w:pPr>
    </w:p>
    <w:p>
      <w:pPr>
        <w:spacing w:after="0" w:line="342" w:lineRule="auto"/>
        <w:rPr>
          <w:sz w:val="20"/>
          <w:szCs w:val="20"/>
          <w:color w:val="auto"/>
        </w:rPr>
      </w:pPr>
      <w:r>
        <w:rPr>
          <w:rFonts w:ascii="Arial" w:cs="Arial" w:eastAsia="Arial" w:hAnsi="Arial"/>
          <w:sz w:val="16"/>
          <w:szCs w:val="16"/>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361950</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472" w:right="259" w:bottom="1440" w:gutter="0" w:footer="0" w:header="0"/>
        </w:sectPr>
      </w:pPr>
    </w:p>
    <w:bookmarkStart w:id="1" w:name="page2"/>
    <w:bookmarkEnd w:id="1"/>
    <w:tbl>
      <w:tblPr>
        <w:tblLayout w:type="fixed"/>
        <w:tblInd w:w="10" w:type="dxa"/>
        <w:tblCellMar>
          <w:top w:w="0" w:type="dxa"/>
          <w:left w:w="0" w:type="dxa"/>
          <w:bottom w:w="0" w:type="dxa"/>
          <w:right w:w="0" w:type="dxa"/>
        </w:tblCellMar>
      </w:tblPr>
      <w:tr>
        <w:trPr>
          <w:trHeight w:val="230"/>
        </w:trPr>
        <w:tc>
          <w:tcPr>
            <w:tcW w:w="4600" w:type="dxa"/>
            <w:vAlign w:val="bottom"/>
            <w:tcBorders>
              <w:top w:val="single" w:sz="8" w:color="auto"/>
              <w:left w:val="single" w:sz="8" w:color="auto"/>
              <w:bottom w:val="single" w:sz="8" w:color="auto"/>
              <w:right w:val="single" w:sz="8" w:color="auto"/>
            </w:tcBorders>
          </w:tcPr>
          <w:p>
            <w:pPr>
              <w:ind w:left="1400"/>
              <w:spacing w:after="0"/>
              <w:rPr>
                <w:sz w:val="20"/>
                <w:szCs w:val="20"/>
                <w:color w:val="auto"/>
              </w:rPr>
            </w:pPr>
            <w:r>
              <w:rPr>
                <w:rFonts w:ascii="Arial" w:cs="Arial" w:eastAsia="Arial" w:hAnsi="Arial"/>
                <w:sz w:val="18"/>
                <w:szCs w:val="18"/>
                <w:b w:val="1"/>
                <w:bCs w:val="1"/>
                <w:color w:val="auto"/>
              </w:rPr>
              <w:t>CUSIP No. M2239P109</w:t>
            </w:r>
          </w:p>
        </w:tc>
        <w:tc>
          <w:tcPr>
            <w:tcW w:w="2740" w:type="dxa"/>
            <w:vAlign w:val="bottom"/>
            <w:tcBorders>
              <w:right w:val="single" w:sz="8" w:color="auto"/>
            </w:tcBorders>
          </w:tcPr>
          <w:p>
            <w:pPr>
              <w:ind w:left="1200"/>
              <w:spacing w:after="0"/>
              <w:rPr>
                <w:sz w:val="20"/>
                <w:szCs w:val="20"/>
                <w:color w:val="auto"/>
              </w:rPr>
            </w:pPr>
            <w:r>
              <w:rPr>
                <w:rFonts w:ascii="Arial" w:cs="Arial" w:eastAsia="Arial" w:hAnsi="Arial"/>
                <w:sz w:val="18"/>
                <w:szCs w:val="18"/>
                <w:b w:val="1"/>
                <w:bCs w:val="1"/>
                <w:color w:val="auto"/>
              </w:rPr>
              <w:t>13G</w:t>
            </w:r>
          </w:p>
        </w:tc>
        <w:tc>
          <w:tcPr>
            <w:tcW w:w="4080" w:type="dxa"/>
            <w:vAlign w:val="bottom"/>
            <w:tcBorders>
              <w:top w:val="single" w:sz="8" w:color="auto"/>
              <w:bottom w:val="single" w:sz="8" w:color="auto"/>
              <w:right w:val="single" w:sz="8" w:color="auto"/>
            </w:tcBorders>
          </w:tcPr>
          <w:p>
            <w:pPr>
              <w:ind w:left="1360"/>
              <w:spacing w:after="0"/>
              <w:rPr>
                <w:sz w:val="20"/>
                <w:szCs w:val="20"/>
                <w:color w:val="auto"/>
              </w:rPr>
            </w:pPr>
            <w:r>
              <w:rPr>
                <w:rFonts w:ascii="Arial" w:cs="Arial" w:eastAsia="Arial" w:hAnsi="Arial"/>
                <w:sz w:val="18"/>
                <w:szCs w:val="18"/>
                <w:b w:val="1"/>
                <w:bCs w:val="1"/>
                <w:color w:val="auto"/>
              </w:rPr>
              <w:t>Page 2 of 5 Pages</w:t>
            </w:r>
          </w:p>
        </w:tc>
      </w:tr>
    </w:tbl>
    <w:p>
      <w:pPr>
        <w:spacing w:after="0" w:line="215" w:lineRule="exact"/>
        <w:rPr>
          <w:sz w:val="20"/>
          <w:szCs w:val="20"/>
          <w:color w:val="auto"/>
        </w:rPr>
      </w:pPr>
    </w:p>
    <w:p>
      <w:pPr>
        <w:ind w:left="1040" w:hanging="910"/>
        <w:spacing w:after="0"/>
        <w:tabs>
          <w:tab w:leader="none" w:pos="1040" w:val="left"/>
        </w:tabs>
        <w:numPr>
          <w:ilvl w:val="0"/>
          <w:numId w:val="2"/>
        </w:numPr>
        <w:rPr>
          <w:rFonts w:ascii="Arial" w:cs="Arial" w:eastAsia="Arial" w:hAnsi="Arial"/>
          <w:sz w:val="18"/>
          <w:szCs w:val="18"/>
          <w:b w:val="1"/>
          <w:bCs w:val="1"/>
          <w:color w:val="auto"/>
        </w:rPr>
      </w:pPr>
      <w:r>
        <w:rPr>
          <w:rFonts w:ascii="Arial" w:cs="Arial" w:eastAsia="Arial" w:hAnsi="Arial"/>
          <w:sz w:val="18"/>
          <w:szCs w:val="18"/>
          <w:color w:val="auto"/>
        </w:rPr>
        <w:t>Names of Reporting Persons</w:t>
      </w:r>
    </w:p>
    <w:p>
      <w:pPr>
        <w:spacing w:after="0" w:line="221" w:lineRule="exact"/>
        <w:rPr>
          <w:rFonts w:ascii="Arial" w:cs="Arial" w:eastAsia="Arial" w:hAnsi="Arial"/>
          <w:sz w:val="18"/>
          <w:szCs w:val="18"/>
          <w:b w:val="1"/>
          <w:bCs w:val="1"/>
          <w:color w:val="auto"/>
        </w:rPr>
      </w:pPr>
    </w:p>
    <w:p>
      <w:pPr>
        <w:ind w:left="104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Udi Gilboa</w:t>
      </w:r>
    </w:p>
    <w:p>
      <w:pPr>
        <w:spacing w:after="0" w:line="27" w:lineRule="exact"/>
        <w:rPr>
          <w:rFonts w:ascii="Arial" w:cs="Arial" w:eastAsia="Arial" w:hAnsi="Arial"/>
          <w:sz w:val="18"/>
          <w:szCs w:val="18"/>
          <w:b w:val="1"/>
          <w:bCs w:val="1"/>
          <w:color w:val="auto"/>
        </w:rPr>
      </w:pPr>
    </w:p>
    <w:p>
      <w:pPr>
        <w:ind w:left="1040" w:right="5300" w:hanging="910"/>
        <w:spacing w:after="0" w:line="258" w:lineRule="auto"/>
        <w:tabs>
          <w:tab w:leader="none" w:pos="1040" w:val="left"/>
        </w:tabs>
        <w:numPr>
          <w:ilvl w:val="0"/>
          <w:numId w:val="2"/>
        </w:numPr>
        <w:rPr>
          <w:rFonts w:ascii="Arial" w:cs="Arial" w:eastAsia="Arial" w:hAnsi="Arial"/>
          <w:sz w:val="18"/>
          <w:szCs w:val="18"/>
          <w:b w:val="1"/>
          <w:bCs w:val="1"/>
          <w:color w:val="auto"/>
        </w:rPr>
      </w:pPr>
      <w:r>
        <w:rPr>
          <w:rFonts w:ascii="Arial" w:cs="Arial" w:eastAsia="Arial" w:hAnsi="Arial"/>
          <w:sz w:val="18"/>
          <w:szCs w:val="18"/>
          <w:color w:val="auto"/>
        </w:rPr>
        <w:t>CHECK THE APPROPRIATE BOX IF A MEMBER OF A GROUP* (</w:t>
      </w:r>
      <w:r>
        <w:rPr>
          <w:rFonts w:ascii="Arial" w:cs="Arial" w:eastAsia="Arial" w:hAnsi="Arial"/>
          <w:sz w:val="18"/>
          <w:szCs w:val="18"/>
          <w:i w:val="1"/>
          <w:iCs w:val="1"/>
          <w:color w:val="auto"/>
        </w:rPr>
        <w:t>See</w:t>
      </w:r>
      <w:r>
        <w:rPr>
          <w:rFonts w:ascii="Arial" w:cs="Arial" w:eastAsia="Arial" w:hAnsi="Arial"/>
          <w:sz w:val="18"/>
          <w:szCs w:val="18"/>
          <w:color w:val="auto"/>
        </w:rPr>
        <w:t xml:space="preserve"> Instructions)</w:t>
      </w:r>
    </w:p>
    <w:p>
      <w:pPr>
        <w:ind w:left="1300" w:hanging="252"/>
        <w:spacing w:after="0" w:line="207" w:lineRule="exact"/>
        <w:tabs>
          <w:tab w:leader="none" w:pos="1300" w:val="left"/>
        </w:tabs>
        <w:numPr>
          <w:ilvl w:val="1"/>
          <w:numId w:val="2"/>
        </w:numPr>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10" w:lineRule="exact"/>
        <w:rPr>
          <w:rFonts w:ascii="Arial" w:cs="Arial" w:eastAsia="Arial" w:hAnsi="Arial"/>
          <w:sz w:val="18"/>
          <w:szCs w:val="18"/>
          <w:color w:val="auto"/>
        </w:rPr>
      </w:pPr>
    </w:p>
    <w:p>
      <w:pPr>
        <w:ind w:left="1300" w:hanging="252"/>
        <w:spacing w:after="0" w:line="207" w:lineRule="exact"/>
        <w:tabs>
          <w:tab w:leader="none" w:pos="1300" w:val="left"/>
        </w:tabs>
        <w:numPr>
          <w:ilvl w:val="1"/>
          <w:numId w:val="2"/>
        </w:numPr>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222" w:lineRule="exact"/>
        <w:rPr>
          <w:rFonts w:ascii="Arial" w:cs="Arial" w:eastAsia="Arial" w:hAnsi="Arial"/>
          <w:sz w:val="18"/>
          <w:szCs w:val="18"/>
          <w:color w:val="auto"/>
        </w:rPr>
      </w:pPr>
    </w:p>
    <w:p>
      <w:pPr>
        <w:ind w:left="1040" w:hanging="910"/>
        <w:spacing w:after="0"/>
        <w:tabs>
          <w:tab w:leader="none" w:pos="1040" w:val="left"/>
        </w:tabs>
        <w:numPr>
          <w:ilvl w:val="0"/>
          <w:numId w:val="2"/>
        </w:numPr>
        <w:rPr>
          <w:rFonts w:ascii="Arial" w:cs="Arial" w:eastAsia="Arial" w:hAnsi="Arial"/>
          <w:sz w:val="18"/>
          <w:szCs w:val="18"/>
          <w:b w:val="1"/>
          <w:bCs w:val="1"/>
          <w:color w:val="auto"/>
        </w:rPr>
      </w:pPr>
      <w:r>
        <w:rPr>
          <w:rFonts w:ascii="Arial" w:cs="Arial" w:eastAsia="Arial" w:hAnsi="Arial"/>
          <w:sz w:val="18"/>
          <w:szCs w:val="18"/>
          <w:color w:val="auto"/>
        </w:rPr>
        <w:t>SEC Use Only</w:t>
      </w:r>
    </w:p>
    <w:p>
      <w:pPr>
        <w:spacing w:after="0" w:line="200" w:lineRule="exact"/>
        <w:rPr>
          <w:rFonts w:ascii="Arial" w:cs="Arial" w:eastAsia="Arial" w:hAnsi="Arial"/>
          <w:sz w:val="18"/>
          <w:szCs w:val="18"/>
          <w:b w:val="1"/>
          <w:bCs w:val="1"/>
          <w:color w:val="auto"/>
        </w:rPr>
      </w:pPr>
    </w:p>
    <w:p>
      <w:pPr>
        <w:spacing w:after="0" w:line="254" w:lineRule="exact"/>
        <w:rPr>
          <w:rFonts w:ascii="Arial" w:cs="Arial" w:eastAsia="Arial" w:hAnsi="Arial"/>
          <w:sz w:val="18"/>
          <w:szCs w:val="18"/>
          <w:b w:val="1"/>
          <w:bCs w:val="1"/>
          <w:color w:val="auto"/>
        </w:rPr>
      </w:pPr>
    </w:p>
    <w:p>
      <w:pPr>
        <w:ind w:left="1040" w:hanging="910"/>
        <w:spacing w:after="0"/>
        <w:tabs>
          <w:tab w:leader="none" w:pos="1040" w:val="left"/>
        </w:tabs>
        <w:numPr>
          <w:ilvl w:val="0"/>
          <w:numId w:val="2"/>
        </w:numPr>
        <w:rPr>
          <w:rFonts w:ascii="Arial" w:cs="Arial" w:eastAsia="Arial" w:hAnsi="Arial"/>
          <w:sz w:val="18"/>
          <w:szCs w:val="18"/>
          <w:b w:val="1"/>
          <w:bCs w:val="1"/>
          <w:color w:val="auto"/>
        </w:rPr>
      </w:pPr>
      <w:r>
        <w:rPr>
          <w:rFonts w:ascii="Arial" w:cs="Arial" w:eastAsia="Arial" w:hAnsi="Arial"/>
          <w:sz w:val="18"/>
          <w:szCs w:val="18"/>
          <w:color w:val="auto"/>
        </w:rPr>
        <w:t>Citizenship or Place of Organization</w:t>
      </w:r>
    </w:p>
    <w:p>
      <w:pPr>
        <w:spacing w:after="0" w:line="200" w:lineRule="exact"/>
        <w:rPr>
          <w:rFonts w:ascii="Arial" w:cs="Arial" w:eastAsia="Arial" w:hAnsi="Arial"/>
          <w:sz w:val="18"/>
          <w:szCs w:val="18"/>
          <w:b w:val="1"/>
          <w:bCs w:val="1"/>
          <w:color w:val="auto"/>
        </w:rPr>
      </w:pPr>
    </w:p>
    <w:p>
      <w:pPr>
        <w:spacing w:after="0" w:line="237" w:lineRule="exact"/>
        <w:rPr>
          <w:rFonts w:ascii="Arial" w:cs="Arial" w:eastAsia="Arial" w:hAnsi="Arial"/>
          <w:sz w:val="18"/>
          <w:szCs w:val="18"/>
          <w:b w:val="1"/>
          <w:bCs w:val="1"/>
          <w:color w:val="auto"/>
        </w:rPr>
      </w:pPr>
    </w:p>
    <w:p>
      <w:pPr>
        <w:ind w:left="104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Israel</w:t>
      </w:r>
    </w:p>
    <w:p>
      <w:pPr>
        <w:spacing w:after="0" w:line="27" w:lineRule="exact"/>
        <w:rPr>
          <w:rFonts w:ascii="Arial" w:cs="Arial" w:eastAsia="Arial" w:hAnsi="Arial"/>
          <w:sz w:val="18"/>
          <w:szCs w:val="18"/>
          <w:b w:val="1"/>
          <w:bCs w:val="1"/>
          <w:color w:val="auto"/>
        </w:rPr>
      </w:pPr>
    </w:p>
    <w:p>
      <w:pPr>
        <w:ind w:left="3340" w:hanging="915"/>
        <w:spacing w:after="0"/>
        <w:tabs>
          <w:tab w:leader="none" w:pos="3340" w:val="left"/>
        </w:tabs>
        <w:numPr>
          <w:ilvl w:val="2"/>
          <w:numId w:val="2"/>
        </w:numPr>
        <w:rPr>
          <w:rFonts w:ascii="Arial" w:cs="Arial" w:eastAsia="Arial" w:hAnsi="Arial"/>
          <w:sz w:val="18"/>
          <w:szCs w:val="18"/>
          <w:b w:val="1"/>
          <w:bCs w:val="1"/>
          <w:color w:val="auto"/>
        </w:rPr>
      </w:pPr>
      <w:r>
        <w:rPr>
          <w:rFonts w:ascii="Arial" w:cs="Arial" w:eastAsia="Arial" w:hAnsi="Arial"/>
          <w:sz w:val="18"/>
          <w:szCs w:val="18"/>
          <w:color w:val="auto"/>
        </w:rPr>
        <w:t>Sole Voting Power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-2223135</wp:posOffset>
            </wp:positionV>
            <wp:extent cx="7246620" cy="546290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5462905"/>
                    </a:xfrm>
                    <a:prstGeom prst="rect">
                      <a:avLst/>
                    </a:prstGeom>
                    <a:noFill/>
                  </pic:spPr>
                </pic:pic>
              </a:graphicData>
            </a:graphic>
          </wp:anchor>
        </w:drawing>
      </w:r>
    </w:p>
    <w:p>
      <w:pPr>
        <w:spacing w:after="0" w:line="200" w:lineRule="exact"/>
        <w:rPr>
          <w:sz w:val="20"/>
          <w:szCs w:val="20"/>
          <w:color w:val="auto"/>
        </w:rPr>
      </w:pPr>
    </w:p>
    <w:tbl>
      <w:tblPr>
        <w:tblLayout w:type="fixed"/>
        <w:tblInd w:w="480" w:type="dxa"/>
        <w:tblCellMar>
          <w:top w:w="0" w:type="dxa"/>
          <w:left w:w="0" w:type="dxa"/>
          <w:bottom w:w="0" w:type="dxa"/>
          <w:right w:w="0" w:type="dxa"/>
        </w:tblCellMar>
      </w:tblPr>
      <w:tr>
        <w:trPr>
          <w:trHeight w:val="234"/>
        </w:trPr>
        <w:tc>
          <w:tcPr>
            <w:tcW w:w="1820" w:type="dxa"/>
            <w:vAlign w:val="bottom"/>
            <w:vMerge w:val="restart"/>
          </w:tcPr>
          <w:p>
            <w:pPr>
              <w:jc w:val="center"/>
              <w:ind w:right="350"/>
              <w:spacing w:after="0"/>
              <w:rPr>
                <w:sz w:val="20"/>
                <w:szCs w:val="20"/>
                <w:color w:val="auto"/>
              </w:rPr>
            </w:pPr>
            <w:r>
              <w:rPr>
                <w:rFonts w:ascii="Arial" w:cs="Arial" w:eastAsia="Arial" w:hAnsi="Arial"/>
                <w:sz w:val="18"/>
                <w:szCs w:val="18"/>
                <w:b w:val="1"/>
                <w:bCs w:val="1"/>
                <w:color w:val="auto"/>
              </w:rPr>
              <w:t>NUMBER OF</w:t>
            </w:r>
          </w:p>
        </w:tc>
        <w:tc>
          <w:tcPr>
            <w:tcW w:w="640" w:type="dxa"/>
            <w:vAlign w:val="bottom"/>
            <w:tcBorders>
              <w:bottom w:val="single" w:sz="8" w:color="auto"/>
            </w:tcBorders>
          </w:tcPr>
          <w:p>
            <w:pPr>
              <w:spacing w:after="0"/>
              <w:rPr>
                <w:sz w:val="20"/>
                <w:szCs w:val="20"/>
                <w:color w:val="auto"/>
              </w:rPr>
            </w:pPr>
          </w:p>
        </w:tc>
        <w:tc>
          <w:tcPr>
            <w:tcW w:w="8480" w:type="dxa"/>
            <w:vAlign w:val="bottom"/>
            <w:tcBorders>
              <w:bottom w:val="single" w:sz="8" w:color="auto"/>
            </w:tcBorders>
          </w:tcPr>
          <w:p>
            <w:pPr>
              <w:ind w:left="400"/>
              <w:spacing w:after="0"/>
              <w:rPr>
                <w:sz w:val="20"/>
                <w:szCs w:val="20"/>
                <w:color w:val="auto"/>
              </w:rPr>
            </w:pPr>
            <w:r>
              <w:rPr>
                <w:rFonts w:ascii="Arial" w:cs="Arial" w:eastAsia="Arial" w:hAnsi="Arial"/>
                <w:sz w:val="18"/>
                <w:szCs w:val="18"/>
                <w:b w:val="1"/>
                <w:bCs w:val="1"/>
                <w:color w:val="auto"/>
              </w:rPr>
              <w:t>2,610,816</w:t>
            </w:r>
          </w:p>
        </w:tc>
        <w:tc>
          <w:tcPr>
            <w:tcW w:w="0" w:type="dxa"/>
            <w:vAlign w:val="bottom"/>
          </w:tcPr>
          <w:p>
            <w:pPr>
              <w:spacing w:after="0"/>
              <w:rPr>
                <w:sz w:val="1"/>
                <w:szCs w:val="1"/>
                <w:color w:val="auto"/>
              </w:rPr>
            </w:pPr>
          </w:p>
        </w:tc>
      </w:tr>
      <w:tr>
        <w:trPr>
          <w:trHeight w:val="83"/>
        </w:trPr>
        <w:tc>
          <w:tcPr>
            <w:tcW w:w="1820" w:type="dxa"/>
            <w:vAlign w:val="bottom"/>
            <w:vMerge w:val="continue"/>
          </w:tcPr>
          <w:p>
            <w:pPr>
              <w:spacing w:after="0"/>
              <w:rPr>
                <w:sz w:val="7"/>
                <w:szCs w:val="7"/>
                <w:color w:val="auto"/>
              </w:rPr>
            </w:pPr>
          </w:p>
        </w:tc>
        <w:tc>
          <w:tcPr>
            <w:tcW w:w="640" w:type="dxa"/>
            <w:vAlign w:val="bottom"/>
            <w:vMerge w:val="restart"/>
          </w:tcPr>
          <w:p>
            <w:pPr>
              <w:jc w:val="right"/>
              <w:ind w:right="290"/>
              <w:spacing w:after="0"/>
              <w:rPr>
                <w:sz w:val="20"/>
                <w:szCs w:val="20"/>
                <w:color w:val="auto"/>
              </w:rPr>
            </w:pPr>
            <w:r>
              <w:rPr>
                <w:rFonts w:ascii="Arial" w:cs="Arial" w:eastAsia="Arial" w:hAnsi="Arial"/>
                <w:sz w:val="18"/>
                <w:szCs w:val="18"/>
                <w:b w:val="1"/>
                <w:bCs w:val="1"/>
                <w:color w:val="auto"/>
              </w:rPr>
              <w:t>6.</w:t>
            </w:r>
          </w:p>
        </w:tc>
        <w:tc>
          <w:tcPr>
            <w:tcW w:w="8480" w:type="dxa"/>
            <w:vAlign w:val="bottom"/>
            <w:vMerge w:val="restart"/>
          </w:tcPr>
          <w:p>
            <w:pPr>
              <w:ind w:left="40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145"/>
        </w:trPr>
        <w:tc>
          <w:tcPr>
            <w:tcW w:w="1820" w:type="dxa"/>
            <w:vAlign w:val="bottom"/>
            <w:vMerge w:val="restart"/>
          </w:tcPr>
          <w:p>
            <w:pPr>
              <w:jc w:val="center"/>
              <w:ind w:right="370"/>
              <w:spacing w:after="0"/>
              <w:rPr>
                <w:sz w:val="20"/>
                <w:szCs w:val="20"/>
                <w:color w:val="auto"/>
              </w:rPr>
            </w:pPr>
            <w:r>
              <w:rPr>
                <w:rFonts w:ascii="Arial" w:cs="Arial" w:eastAsia="Arial" w:hAnsi="Arial"/>
                <w:sz w:val="18"/>
                <w:szCs w:val="18"/>
                <w:b w:val="1"/>
                <w:bCs w:val="1"/>
                <w:color w:val="auto"/>
                <w:w w:val="95"/>
              </w:rPr>
              <w:t>SHARES</w:t>
            </w:r>
          </w:p>
        </w:tc>
        <w:tc>
          <w:tcPr>
            <w:tcW w:w="640" w:type="dxa"/>
            <w:vAlign w:val="bottom"/>
            <w:vMerge w:val="continue"/>
          </w:tcPr>
          <w:p>
            <w:pPr>
              <w:spacing w:after="0"/>
              <w:rPr>
                <w:sz w:val="12"/>
                <w:szCs w:val="12"/>
                <w:color w:val="auto"/>
              </w:rPr>
            </w:pPr>
          </w:p>
        </w:tc>
        <w:tc>
          <w:tcPr>
            <w:tcW w:w="84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71"/>
        </w:trPr>
        <w:tc>
          <w:tcPr>
            <w:tcW w:w="1820" w:type="dxa"/>
            <w:vAlign w:val="bottom"/>
            <w:vMerge w:val="continue"/>
          </w:tcPr>
          <w:p>
            <w:pPr>
              <w:spacing w:after="0"/>
              <w:rPr>
                <w:sz w:val="6"/>
                <w:szCs w:val="6"/>
                <w:color w:val="auto"/>
              </w:rPr>
            </w:pPr>
          </w:p>
        </w:tc>
        <w:tc>
          <w:tcPr>
            <w:tcW w:w="640" w:type="dxa"/>
            <w:vAlign w:val="bottom"/>
          </w:tcPr>
          <w:p>
            <w:pPr>
              <w:spacing w:after="0"/>
              <w:rPr>
                <w:sz w:val="6"/>
                <w:szCs w:val="6"/>
                <w:color w:val="auto"/>
              </w:rPr>
            </w:pPr>
          </w:p>
        </w:tc>
        <w:tc>
          <w:tcPr>
            <w:tcW w:w="84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1820" w:type="dxa"/>
            <w:vAlign w:val="bottom"/>
          </w:tcPr>
          <w:p>
            <w:pPr>
              <w:jc w:val="center"/>
              <w:ind w:right="370"/>
              <w:spacing w:after="0"/>
              <w:rPr>
                <w:sz w:val="20"/>
                <w:szCs w:val="20"/>
                <w:color w:val="auto"/>
              </w:rPr>
            </w:pPr>
            <w:r>
              <w:rPr>
                <w:rFonts w:ascii="Arial" w:cs="Arial" w:eastAsia="Arial" w:hAnsi="Arial"/>
                <w:sz w:val="18"/>
                <w:szCs w:val="18"/>
                <w:b w:val="1"/>
                <w:bCs w:val="1"/>
                <w:color w:val="auto"/>
              </w:rPr>
              <w:t>BENEFICIALLY</w:t>
            </w:r>
          </w:p>
        </w:tc>
        <w:tc>
          <w:tcPr>
            <w:tcW w:w="640" w:type="dxa"/>
            <w:vAlign w:val="bottom"/>
          </w:tcPr>
          <w:p>
            <w:pPr>
              <w:spacing w:after="0"/>
              <w:rPr>
                <w:sz w:val="18"/>
                <w:szCs w:val="18"/>
                <w:color w:val="auto"/>
              </w:rPr>
            </w:pPr>
          </w:p>
        </w:tc>
        <w:tc>
          <w:tcPr>
            <w:tcW w:w="8480" w:type="dxa"/>
            <w:vAlign w:val="bottom"/>
            <w:vMerge w:val="restart"/>
          </w:tcPr>
          <w:p>
            <w:pPr>
              <w:ind w:left="400"/>
              <w:spacing w:after="0"/>
              <w:rPr>
                <w:sz w:val="20"/>
                <w:szCs w:val="20"/>
                <w:color w:val="auto"/>
              </w:rPr>
            </w:pPr>
            <w:r>
              <w:rPr>
                <w:rFonts w:ascii="Arial" w:cs="Arial" w:eastAsia="Arial" w:hAnsi="Arial"/>
                <w:sz w:val="18"/>
                <w:szCs w:val="18"/>
                <w:b w:val="1"/>
                <w:bCs w:val="1"/>
                <w:color w:val="auto"/>
              </w:rPr>
              <w:t>0</w:t>
            </w:r>
          </w:p>
        </w:tc>
        <w:tc>
          <w:tcPr>
            <w:tcW w:w="0" w:type="dxa"/>
            <w:vAlign w:val="bottom"/>
          </w:tcPr>
          <w:p>
            <w:pPr>
              <w:spacing w:after="0"/>
              <w:rPr>
                <w:sz w:val="1"/>
                <w:szCs w:val="1"/>
                <w:color w:val="auto"/>
              </w:rPr>
            </w:pPr>
          </w:p>
        </w:tc>
      </w:tr>
      <w:tr>
        <w:trPr>
          <w:trHeight w:val="126"/>
        </w:trPr>
        <w:tc>
          <w:tcPr>
            <w:tcW w:w="1820" w:type="dxa"/>
            <w:vAlign w:val="bottom"/>
            <w:vMerge w:val="restart"/>
          </w:tcPr>
          <w:p>
            <w:pPr>
              <w:jc w:val="center"/>
              <w:ind w:right="370"/>
              <w:spacing w:after="0"/>
              <w:rPr>
                <w:sz w:val="20"/>
                <w:szCs w:val="20"/>
                <w:color w:val="auto"/>
              </w:rPr>
            </w:pPr>
            <w:r>
              <w:rPr>
                <w:rFonts w:ascii="Arial" w:cs="Arial" w:eastAsia="Arial" w:hAnsi="Arial"/>
                <w:sz w:val="18"/>
                <w:szCs w:val="18"/>
                <w:b w:val="1"/>
                <w:bCs w:val="1"/>
                <w:color w:val="auto"/>
              </w:rPr>
              <w:t>OWNED BY</w:t>
            </w:r>
          </w:p>
        </w:tc>
        <w:tc>
          <w:tcPr>
            <w:tcW w:w="640" w:type="dxa"/>
            <w:vAlign w:val="bottom"/>
            <w:tcBorders>
              <w:bottom w:val="single" w:sz="8" w:color="auto"/>
            </w:tcBorders>
          </w:tcPr>
          <w:p>
            <w:pPr>
              <w:spacing w:after="0"/>
              <w:rPr>
                <w:sz w:val="10"/>
                <w:szCs w:val="10"/>
                <w:color w:val="auto"/>
              </w:rPr>
            </w:pPr>
          </w:p>
        </w:tc>
        <w:tc>
          <w:tcPr>
            <w:tcW w:w="8480" w:type="dxa"/>
            <w:vAlign w:val="bottom"/>
            <w:tcBorders>
              <w:bottom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70"/>
        </w:trPr>
        <w:tc>
          <w:tcPr>
            <w:tcW w:w="1820" w:type="dxa"/>
            <w:vAlign w:val="bottom"/>
            <w:vMerge w:val="continue"/>
          </w:tcPr>
          <w:p>
            <w:pPr>
              <w:spacing w:after="0"/>
              <w:rPr>
                <w:sz w:val="6"/>
                <w:szCs w:val="6"/>
                <w:color w:val="auto"/>
              </w:rPr>
            </w:pPr>
          </w:p>
        </w:tc>
        <w:tc>
          <w:tcPr>
            <w:tcW w:w="640" w:type="dxa"/>
            <w:vAlign w:val="bottom"/>
            <w:vMerge w:val="restart"/>
          </w:tcPr>
          <w:p>
            <w:pPr>
              <w:jc w:val="right"/>
              <w:ind w:right="290"/>
              <w:spacing w:after="0"/>
              <w:rPr>
                <w:sz w:val="20"/>
                <w:szCs w:val="20"/>
                <w:color w:val="auto"/>
              </w:rPr>
            </w:pPr>
            <w:r>
              <w:rPr>
                <w:rFonts w:ascii="Arial" w:cs="Arial" w:eastAsia="Arial" w:hAnsi="Arial"/>
                <w:sz w:val="18"/>
                <w:szCs w:val="18"/>
                <w:b w:val="1"/>
                <w:bCs w:val="1"/>
                <w:color w:val="auto"/>
              </w:rPr>
              <w:t>7.</w:t>
            </w:r>
          </w:p>
        </w:tc>
        <w:tc>
          <w:tcPr>
            <w:tcW w:w="8480" w:type="dxa"/>
            <w:vAlign w:val="bottom"/>
            <w:vMerge w:val="restart"/>
          </w:tcPr>
          <w:p>
            <w:pPr>
              <w:ind w:left="40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158"/>
        </w:trPr>
        <w:tc>
          <w:tcPr>
            <w:tcW w:w="1820" w:type="dxa"/>
            <w:vAlign w:val="bottom"/>
            <w:vMerge w:val="restart"/>
          </w:tcPr>
          <w:p>
            <w:pPr>
              <w:jc w:val="center"/>
              <w:ind w:right="370"/>
              <w:spacing w:after="0"/>
              <w:rPr>
                <w:sz w:val="20"/>
                <w:szCs w:val="20"/>
                <w:color w:val="auto"/>
              </w:rPr>
            </w:pPr>
            <w:r>
              <w:rPr>
                <w:rFonts w:ascii="Arial" w:cs="Arial" w:eastAsia="Arial" w:hAnsi="Arial"/>
                <w:sz w:val="18"/>
                <w:szCs w:val="18"/>
                <w:b w:val="1"/>
                <w:bCs w:val="1"/>
                <w:color w:val="auto"/>
              </w:rPr>
              <w:t>EACH</w:t>
            </w:r>
          </w:p>
        </w:tc>
        <w:tc>
          <w:tcPr>
            <w:tcW w:w="640" w:type="dxa"/>
            <w:vAlign w:val="bottom"/>
            <w:vMerge w:val="continue"/>
          </w:tcPr>
          <w:p>
            <w:pPr>
              <w:spacing w:after="0"/>
              <w:rPr>
                <w:sz w:val="13"/>
                <w:szCs w:val="13"/>
                <w:color w:val="auto"/>
              </w:rPr>
            </w:pPr>
          </w:p>
        </w:tc>
        <w:tc>
          <w:tcPr>
            <w:tcW w:w="84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58"/>
        </w:trPr>
        <w:tc>
          <w:tcPr>
            <w:tcW w:w="182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84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1820" w:type="dxa"/>
            <w:vAlign w:val="bottom"/>
          </w:tcPr>
          <w:p>
            <w:pPr>
              <w:jc w:val="center"/>
              <w:ind w:right="370"/>
              <w:spacing w:after="0"/>
              <w:rPr>
                <w:sz w:val="20"/>
                <w:szCs w:val="20"/>
                <w:color w:val="auto"/>
              </w:rPr>
            </w:pPr>
            <w:r>
              <w:rPr>
                <w:rFonts w:ascii="Arial" w:cs="Arial" w:eastAsia="Arial" w:hAnsi="Arial"/>
                <w:sz w:val="18"/>
                <w:szCs w:val="18"/>
                <w:b w:val="1"/>
                <w:bCs w:val="1"/>
                <w:color w:val="auto"/>
              </w:rPr>
              <w:t>REPORTING</w:t>
            </w:r>
          </w:p>
        </w:tc>
        <w:tc>
          <w:tcPr>
            <w:tcW w:w="640" w:type="dxa"/>
            <w:vAlign w:val="bottom"/>
          </w:tcPr>
          <w:p>
            <w:pPr>
              <w:spacing w:after="0"/>
              <w:rPr>
                <w:sz w:val="18"/>
                <w:szCs w:val="18"/>
                <w:color w:val="auto"/>
              </w:rPr>
            </w:pPr>
          </w:p>
        </w:tc>
        <w:tc>
          <w:tcPr>
            <w:tcW w:w="8480" w:type="dxa"/>
            <w:vAlign w:val="bottom"/>
            <w:vMerge w:val="restart"/>
          </w:tcPr>
          <w:p>
            <w:pPr>
              <w:ind w:left="400"/>
              <w:spacing w:after="0"/>
              <w:rPr>
                <w:sz w:val="20"/>
                <w:szCs w:val="20"/>
                <w:color w:val="auto"/>
              </w:rPr>
            </w:pPr>
            <w:r>
              <w:rPr>
                <w:rFonts w:ascii="Arial" w:cs="Arial" w:eastAsia="Arial" w:hAnsi="Arial"/>
                <w:sz w:val="18"/>
                <w:szCs w:val="18"/>
                <w:b w:val="1"/>
                <w:bCs w:val="1"/>
                <w:color w:val="auto"/>
              </w:rPr>
              <w:t>2,610,816</w:t>
            </w:r>
          </w:p>
        </w:tc>
        <w:tc>
          <w:tcPr>
            <w:tcW w:w="0" w:type="dxa"/>
            <w:vAlign w:val="bottom"/>
          </w:tcPr>
          <w:p>
            <w:pPr>
              <w:spacing w:after="0"/>
              <w:rPr>
                <w:sz w:val="1"/>
                <w:szCs w:val="1"/>
                <w:color w:val="auto"/>
              </w:rPr>
            </w:pPr>
          </w:p>
        </w:tc>
      </w:tr>
      <w:tr>
        <w:trPr>
          <w:trHeight w:val="140"/>
        </w:trPr>
        <w:tc>
          <w:tcPr>
            <w:tcW w:w="1820" w:type="dxa"/>
            <w:vAlign w:val="bottom"/>
            <w:vMerge w:val="restart"/>
          </w:tcPr>
          <w:p>
            <w:pPr>
              <w:jc w:val="center"/>
              <w:ind w:right="370"/>
              <w:spacing w:after="0"/>
              <w:rPr>
                <w:sz w:val="20"/>
                <w:szCs w:val="20"/>
                <w:color w:val="auto"/>
              </w:rPr>
            </w:pPr>
            <w:r>
              <w:rPr>
                <w:rFonts w:ascii="Arial" w:cs="Arial" w:eastAsia="Arial" w:hAnsi="Arial"/>
                <w:sz w:val="18"/>
                <w:szCs w:val="18"/>
                <w:b w:val="1"/>
                <w:bCs w:val="1"/>
                <w:color w:val="auto"/>
                <w:w w:val="94"/>
              </w:rPr>
              <w:t>PERSON</w:t>
            </w:r>
          </w:p>
        </w:tc>
        <w:tc>
          <w:tcPr>
            <w:tcW w:w="640" w:type="dxa"/>
            <w:vAlign w:val="bottom"/>
            <w:tcBorders>
              <w:bottom w:val="single" w:sz="8" w:color="auto"/>
            </w:tcBorders>
          </w:tcPr>
          <w:p>
            <w:pPr>
              <w:spacing w:after="0"/>
              <w:rPr>
                <w:sz w:val="12"/>
                <w:szCs w:val="12"/>
                <w:color w:val="auto"/>
              </w:rPr>
            </w:pPr>
          </w:p>
        </w:tc>
        <w:tc>
          <w:tcPr>
            <w:tcW w:w="8480" w:type="dxa"/>
            <w:vAlign w:val="bottom"/>
            <w:tcBorders>
              <w:bottom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56"/>
        </w:trPr>
        <w:tc>
          <w:tcPr>
            <w:tcW w:w="1820" w:type="dxa"/>
            <w:vAlign w:val="bottom"/>
            <w:vMerge w:val="continue"/>
          </w:tcPr>
          <w:p>
            <w:pPr>
              <w:spacing w:after="0"/>
              <w:rPr>
                <w:sz w:val="4"/>
                <w:szCs w:val="4"/>
                <w:color w:val="auto"/>
              </w:rPr>
            </w:pPr>
          </w:p>
        </w:tc>
        <w:tc>
          <w:tcPr>
            <w:tcW w:w="640" w:type="dxa"/>
            <w:vAlign w:val="bottom"/>
            <w:vMerge w:val="restart"/>
          </w:tcPr>
          <w:p>
            <w:pPr>
              <w:jc w:val="right"/>
              <w:ind w:right="290"/>
              <w:spacing w:after="0"/>
              <w:rPr>
                <w:sz w:val="20"/>
                <w:szCs w:val="20"/>
                <w:color w:val="auto"/>
              </w:rPr>
            </w:pPr>
            <w:r>
              <w:rPr>
                <w:rFonts w:ascii="Arial" w:cs="Arial" w:eastAsia="Arial" w:hAnsi="Arial"/>
                <w:sz w:val="18"/>
                <w:szCs w:val="18"/>
                <w:b w:val="1"/>
                <w:bCs w:val="1"/>
                <w:color w:val="auto"/>
              </w:rPr>
              <w:t>8.</w:t>
            </w:r>
          </w:p>
        </w:tc>
        <w:tc>
          <w:tcPr>
            <w:tcW w:w="8480" w:type="dxa"/>
            <w:vAlign w:val="bottom"/>
            <w:vMerge w:val="restart"/>
          </w:tcPr>
          <w:p>
            <w:pPr>
              <w:ind w:left="40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172"/>
        </w:trPr>
        <w:tc>
          <w:tcPr>
            <w:tcW w:w="1820" w:type="dxa"/>
            <w:vAlign w:val="bottom"/>
            <w:vMerge w:val="restart"/>
          </w:tcPr>
          <w:p>
            <w:pPr>
              <w:jc w:val="center"/>
              <w:ind w:right="370"/>
              <w:spacing w:after="0"/>
              <w:rPr>
                <w:sz w:val="20"/>
                <w:szCs w:val="20"/>
                <w:color w:val="auto"/>
              </w:rPr>
            </w:pPr>
            <w:r>
              <w:rPr>
                <w:rFonts w:ascii="Arial" w:cs="Arial" w:eastAsia="Arial" w:hAnsi="Arial"/>
                <w:sz w:val="18"/>
                <w:szCs w:val="18"/>
                <w:b w:val="1"/>
                <w:bCs w:val="1"/>
                <w:color w:val="auto"/>
              </w:rPr>
              <w:t>WITH</w:t>
            </w:r>
          </w:p>
        </w:tc>
        <w:tc>
          <w:tcPr>
            <w:tcW w:w="640" w:type="dxa"/>
            <w:vAlign w:val="bottom"/>
            <w:vMerge w:val="continue"/>
          </w:tcPr>
          <w:p>
            <w:pPr>
              <w:spacing w:after="0"/>
              <w:rPr>
                <w:sz w:val="14"/>
                <w:szCs w:val="14"/>
                <w:color w:val="auto"/>
              </w:rPr>
            </w:pPr>
          </w:p>
        </w:tc>
        <w:tc>
          <w:tcPr>
            <w:tcW w:w="84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63"/>
        </w:trPr>
        <w:tc>
          <w:tcPr>
            <w:tcW w:w="182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848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117" w:lineRule="exact"/>
        <w:rPr>
          <w:sz w:val="20"/>
          <w:szCs w:val="20"/>
          <w:color w:val="auto"/>
        </w:rPr>
      </w:pPr>
    </w:p>
    <w:p>
      <w:pPr>
        <w:ind w:left="3340"/>
        <w:spacing w:after="0"/>
        <w:rPr>
          <w:sz w:val="20"/>
          <w:szCs w:val="20"/>
          <w:color w:val="auto"/>
        </w:rPr>
      </w:pPr>
      <w:r>
        <w:rPr>
          <w:rFonts w:ascii="Arial" w:cs="Arial" w:eastAsia="Arial" w:hAnsi="Arial"/>
          <w:sz w:val="18"/>
          <w:szCs w:val="18"/>
          <w:b w:val="1"/>
          <w:bCs w:val="1"/>
          <w:color w:val="auto"/>
        </w:rPr>
        <w:t>0</w:t>
      </w:r>
    </w:p>
    <w:p>
      <w:pPr>
        <w:spacing w:after="0" w:line="27" w:lineRule="exact"/>
        <w:rPr>
          <w:sz w:val="20"/>
          <w:szCs w:val="20"/>
          <w:color w:val="auto"/>
        </w:rPr>
      </w:pPr>
    </w:p>
    <w:p>
      <w:pPr>
        <w:ind w:left="1040" w:hanging="910"/>
        <w:spacing w:after="0"/>
        <w:tabs>
          <w:tab w:leader="none" w:pos="1040" w:val="left"/>
        </w:tabs>
        <w:numPr>
          <w:ilvl w:val="0"/>
          <w:numId w:val="3"/>
        </w:numPr>
        <w:rPr>
          <w:rFonts w:ascii="Arial" w:cs="Arial" w:eastAsia="Arial" w:hAnsi="Arial"/>
          <w:sz w:val="18"/>
          <w:szCs w:val="18"/>
          <w:b w:val="1"/>
          <w:bCs w:val="1"/>
          <w:color w:val="auto"/>
        </w:rPr>
      </w:pPr>
      <w:r>
        <w:rPr>
          <w:rFonts w:ascii="Arial" w:cs="Arial" w:eastAsia="Arial" w:hAnsi="Arial"/>
          <w:sz w:val="18"/>
          <w:szCs w:val="18"/>
          <w:color w:val="auto"/>
        </w:rPr>
        <w:t>Aggregate Amount Beneficially Owned by Each Reporting Person</w:t>
      </w:r>
    </w:p>
    <w:p>
      <w:pPr>
        <w:spacing w:after="0" w:line="220" w:lineRule="exact"/>
        <w:rPr>
          <w:rFonts w:ascii="Arial" w:cs="Arial" w:eastAsia="Arial" w:hAnsi="Arial"/>
          <w:sz w:val="18"/>
          <w:szCs w:val="18"/>
          <w:b w:val="1"/>
          <w:bCs w:val="1"/>
          <w:color w:val="auto"/>
        </w:rPr>
      </w:pPr>
    </w:p>
    <w:p>
      <w:pPr>
        <w:ind w:left="104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2,610,816</w:t>
      </w:r>
    </w:p>
    <w:p>
      <w:pPr>
        <w:spacing w:after="0" w:line="27" w:lineRule="exact"/>
        <w:rPr>
          <w:rFonts w:ascii="Arial" w:cs="Arial" w:eastAsia="Arial" w:hAnsi="Arial"/>
          <w:sz w:val="18"/>
          <w:szCs w:val="18"/>
          <w:b w:val="1"/>
          <w:bCs w:val="1"/>
          <w:color w:val="auto"/>
        </w:rPr>
      </w:pPr>
    </w:p>
    <w:p>
      <w:pPr>
        <w:ind w:left="1040" w:right="5440" w:hanging="910"/>
        <w:spacing w:after="0" w:line="255" w:lineRule="auto"/>
        <w:tabs>
          <w:tab w:leader="none" w:pos="1040" w:val="left"/>
        </w:tabs>
        <w:numPr>
          <w:ilvl w:val="0"/>
          <w:numId w:val="3"/>
        </w:numPr>
        <w:rPr>
          <w:rFonts w:ascii="Arial" w:cs="Arial" w:eastAsia="Arial" w:hAnsi="Arial"/>
          <w:sz w:val="18"/>
          <w:szCs w:val="18"/>
          <w:b w:val="1"/>
          <w:bCs w:val="1"/>
          <w:color w:val="auto"/>
        </w:rPr>
      </w:pPr>
      <w:r>
        <w:rPr>
          <w:rFonts w:ascii="Arial" w:cs="Arial" w:eastAsia="Arial" w:hAnsi="Arial"/>
          <w:sz w:val="18"/>
          <w:szCs w:val="18"/>
          <w:color w:val="auto"/>
        </w:rPr>
        <w:t>Check if the Aggregate Amount in Row (9) Excludes Certain Shares (</w:t>
      </w:r>
      <w:r>
        <w:rPr>
          <w:rFonts w:ascii="Arial" w:cs="Arial" w:eastAsia="Arial" w:hAnsi="Arial"/>
          <w:sz w:val="18"/>
          <w:szCs w:val="18"/>
          <w:i w:val="1"/>
          <w:iCs w:val="1"/>
          <w:color w:val="auto"/>
        </w:rPr>
        <w:t>See</w:t>
      </w:r>
      <w:r>
        <w:rPr>
          <w:rFonts w:ascii="Arial" w:cs="Arial" w:eastAsia="Arial" w:hAnsi="Arial"/>
          <w:sz w:val="18"/>
          <w:szCs w:val="18"/>
          <w:color w:val="auto"/>
        </w:rPr>
        <w:t xml:space="preserve"> Instructions)</w:t>
      </w:r>
    </w:p>
    <w:p>
      <w:pPr>
        <w:spacing w:after="0" w:line="1" w:lineRule="exact"/>
        <w:rPr>
          <w:sz w:val="20"/>
          <w:szCs w:val="20"/>
          <w:color w:val="auto"/>
        </w:rPr>
      </w:pPr>
    </w:p>
    <w:p>
      <w:pPr>
        <w:jc w:val="right"/>
        <w:ind w:right="120"/>
        <w:spacing w:after="0" w:line="181" w:lineRule="exact"/>
        <w:rPr>
          <w:sz w:val="20"/>
          <w:szCs w:val="20"/>
          <w:color w:val="auto"/>
        </w:rPr>
      </w:pPr>
      <w:r>
        <w:rPr>
          <w:rFonts w:ascii="MS PGothic" w:cs="MS PGothic" w:eastAsia="MS PGothic" w:hAnsi="MS PGothic"/>
          <w:sz w:val="18"/>
          <w:szCs w:val="18"/>
          <w:color w:val="auto"/>
        </w:rPr>
        <w:t>☐</w:t>
      </w:r>
    </w:p>
    <w:p>
      <w:pPr>
        <w:spacing w:after="0" w:line="56" w:lineRule="exact"/>
        <w:rPr>
          <w:sz w:val="20"/>
          <w:szCs w:val="20"/>
          <w:color w:val="auto"/>
        </w:rPr>
      </w:pPr>
    </w:p>
    <w:p>
      <w:pPr>
        <w:ind w:left="1040" w:hanging="910"/>
        <w:spacing w:after="0"/>
        <w:tabs>
          <w:tab w:leader="none" w:pos="1040" w:val="left"/>
        </w:tabs>
        <w:numPr>
          <w:ilvl w:val="0"/>
          <w:numId w:val="4"/>
        </w:numPr>
        <w:rPr>
          <w:rFonts w:ascii="Arial" w:cs="Arial" w:eastAsia="Arial" w:hAnsi="Arial"/>
          <w:sz w:val="18"/>
          <w:szCs w:val="18"/>
          <w:b w:val="1"/>
          <w:bCs w:val="1"/>
          <w:color w:val="auto"/>
        </w:rPr>
      </w:pPr>
      <w:r>
        <w:rPr>
          <w:rFonts w:ascii="Arial" w:cs="Arial" w:eastAsia="Arial" w:hAnsi="Arial"/>
          <w:sz w:val="18"/>
          <w:szCs w:val="18"/>
          <w:color w:val="auto"/>
        </w:rPr>
        <w:t>Percent of Class Represented by Amount in Row (9)</w:t>
      </w:r>
    </w:p>
    <w:p>
      <w:pPr>
        <w:spacing w:after="0" w:line="205" w:lineRule="exact"/>
        <w:rPr>
          <w:rFonts w:ascii="Arial" w:cs="Arial" w:eastAsia="Arial" w:hAnsi="Arial"/>
          <w:sz w:val="18"/>
          <w:szCs w:val="18"/>
          <w:b w:val="1"/>
          <w:bCs w:val="1"/>
          <w:color w:val="auto"/>
        </w:rPr>
      </w:pPr>
    </w:p>
    <w:p>
      <w:pPr>
        <w:ind w:left="104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19.1%</w:t>
      </w:r>
    </w:p>
    <w:p>
      <w:pPr>
        <w:spacing w:after="0" w:line="27" w:lineRule="exact"/>
        <w:rPr>
          <w:rFonts w:ascii="Arial" w:cs="Arial" w:eastAsia="Arial" w:hAnsi="Arial"/>
          <w:sz w:val="18"/>
          <w:szCs w:val="18"/>
          <w:b w:val="1"/>
          <w:bCs w:val="1"/>
          <w:color w:val="auto"/>
        </w:rPr>
      </w:pPr>
    </w:p>
    <w:p>
      <w:pPr>
        <w:ind w:left="1040" w:hanging="910"/>
        <w:spacing w:after="0"/>
        <w:tabs>
          <w:tab w:leader="none" w:pos="1040" w:val="left"/>
        </w:tabs>
        <w:numPr>
          <w:ilvl w:val="0"/>
          <w:numId w:val="4"/>
        </w:numPr>
        <w:rPr>
          <w:rFonts w:ascii="Arial" w:cs="Arial" w:eastAsia="Arial" w:hAnsi="Arial"/>
          <w:sz w:val="18"/>
          <w:szCs w:val="18"/>
          <w:b w:val="1"/>
          <w:bCs w:val="1"/>
          <w:color w:val="auto"/>
        </w:rPr>
      </w:pPr>
      <w:r>
        <w:rPr>
          <w:rFonts w:ascii="Arial" w:cs="Arial" w:eastAsia="Arial" w:hAnsi="Arial"/>
          <w:sz w:val="18"/>
          <w:szCs w:val="18"/>
          <w:color w:val="auto"/>
        </w:rPr>
        <w:t>Type of Reporting Person (</w:t>
      </w:r>
      <w:r>
        <w:rPr>
          <w:rFonts w:ascii="Arial" w:cs="Arial" w:eastAsia="Arial" w:hAnsi="Arial"/>
          <w:sz w:val="18"/>
          <w:szCs w:val="18"/>
          <w:i w:val="1"/>
          <w:iCs w:val="1"/>
          <w:color w:val="auto"/>
        </w:rPr>
        <w:t>See</w:t>
      </w:r>
      <w:r>
        <w:rPr>
          <w:rFonts w:ascii="Arial" w:cs="Arial" w:eastAsia="Arial" w:hAnsi="Arial"/>
          <w:sz w:val="18"/>
          <w:szCs w:val="18"/>
          <w:color w:val="auto"/>
        </w:rPr>
        <w:t xml:space="preserve"> Instructions)</w:t>
      </w:r>
    </w:p>
    <w:p>
      <w:pPr>
        <w:spacing w:after="0" w:line="220" w:lineRule="exact"/>
        <w:rPr>
          <w:rFonts w:ascii="Arial" w:cs="Arial" w:eastAsia="Arial" w:hAnsi="Arial"/>
          <w:sz w:val="18"/>
          <w:szCs w:val="18"/>
          <w:b w:val="1"/>
          <w:bCs w:val="1"/>
          <w:color w:val="auto"/>
        </w:rPr>
      </w:pPr>
    </w:p>
    <w:p>
      <w:pPr>
        <w:ind w:left="104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437515</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687" w:right="239" w:bottom="1440" w:gutter="0" w:footer="0" w:header="0"/>
        </w:sectPr>
      </w:pPr>
    </w:p>
    <w:bookmarkStart w:id="2" w:name="page3"/>
    <w:bookmarkEnd w:id="2"/>
    <w:tbl>
      <w:tblPr>
        <w:tblLayout w:type="fixed"/>
        <w:tblInd w:w="10" w:type="dxa"/>
        <w:tblCellMar>
          <w:top w:w="0" w:type="dxa"/>
          <w:left w:w="0" w:type="dxa"/>
          <w:bottom w:w="0" w:type="dxa"/>
          <w:right w:w="0" w:type="dxa"/>
        </w:tblCellMar>
      </w:tblPr>
      <w:tr>
        <w:trPr>
          <w:trHeight w:val="230"/>
        </w:trPr>
        <w:tc>
          <w:tcPr>
            <w:tcW w:w="4600" w:type="dxa"/>
            <w:vAlign w:val="bottom"/>
            <w:tcBorders>
              <w:top w:val="single" w:sz="8" w:color="auto"/>
              <w:left w:val="single" w:sz="8" w:color="auto"/>
              <w:bottom w:val="single" w:sz="8" w:color="auto"/>
              <w:right w:val="single" w:sz="8" w:color="auto"/>
            </w:tcBorders>
          </w:tcPr>
          <w:p>
            <w:pPr>
              <w:ind w:left="1400"/>
              <w:spacing w:after="0"/>
              <w:rPr>
                <w:sz w:val="20"/>
                <w:szCs w:val="20"/>
                <w:color w:val="auto"/>
              </w:rPr>
            </w:pPr>
            <w:r>
              <w:rPr>
                <w:rFonts w:ascii="Arial" w:cs="Arial" w:eastAsia="Arial" w:hAnsi="Arial"/>
                <w:sz w:val="18"/>
                <w:szCs w:val="18"/>
                <w:b w:val="1"/>
                <w:bCs w:val="1"/>
                <w:color w:val="auto"/>
              </w:rPr>
              <w:t>CUSIP No. M2239P109</w:t>
            </w:r>
          </w:p>
        </w:tc>
        <w:tc>
          <w:tcPr>
            <w:tcW w:w="2740" w:type="dxa"/>
            <w:vAlign w:val="bottom"/>
            <w:tcBorders>
              <w:right w:val="single" w:sz="8" w:color="auto"/>
            </w:tcBorders>
          </w:tcPr>
          <w:p>
            <w:pPr>
              <w:ind w:left="1200"/>
              <w:spacing w:after="0"/>
              <w:rPr>
                <w:sz w:val="20"/>
                <w:szCs w:val="20"/>
                <w:color w:val="auto"/>
              </w:rPr>
            </w:pPr>
            <w:r>
              <w:rPr>
                <w:rFonts w:ascii="Arial" w:cs="Arial" w:eastAsia="Arial" w:hAnsi="Arial"/>
                <w:sz w:val="18"/>
                <w:szCs w:val="18"/>
                <w:b w:val="1"/>
                <w:bCs w:val="1"/>
                <w:color w:val="auto"/>
              </w:rPr>
              <w:t>13G</w:t>
            </w:r>
          </w:p>
        </w:tc>
        <w:tc>
          <w:tcPr>
            <w:tcW w:w="4080" w:type="dxa"/>
            <w:vAlign w:val="bottom"/>
            <w:tcBorders>
              <w:top w:val="single" w:sz="8" w:color="auto"/>
              <w:bottom w:val="single" w:sz="8" w:color="auto"/>
              <w:right w:val="single" w:sz="8" w:color="auto"/>
            </w:tcBorders>
          </w:tcPr>
          <w:p>
            <w:pPr>
              <w:ind w:left="1360"/>
              <w:spacing w:after="0"/>
              <w:rPr>
                <w:sz w:val="20"/>
                <w:szCs w:val="20"/>
                <w:color w:val="auto"/>
              </w:rPr>
            </w:pPr>
            <w:r>
              <w:rPr>
                <w:rFonts w:ascii="Arial" w:cs="Arial" w:eastAsia="Arial" w:hAnsi="Arial"/>
                <w:sz w:val="18"/>
                <w:szCs w:val="18"/>
                <w:b w:val="1"/>
                <w:bCs w:val="1"/>
                <w:color w:val="auto"/>
              </w:rPr>
              <w:t>Page 3 of 5 Pages</w:t>
            </w:r>
          </w:p>
        </w:tc>
      </w:tr>
    </w:tbl>
    <w:p>
      <w:pPr>
        <w:spacing w:after="0" w:line="198"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6"/>
          <w:szCs w:val="16"/>
          <w:b w:val="1"/>
          <w:bCs w:val="1"/>
          <w:color w:val="auto"/>
        </w:rPr>
        <w:t>Name of Issuer:</w:t>
      </w:r>
    </w:p>
    <w:p>
      <w:pPr>
        <w:spacing w:after="0" w:line="22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Alcobra Ltd.</w:t>
      </w:r>
    </w:p>
    <w:p>
      <w:pPr>
        <w:spacing w:after="0" w:line="221"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1(b).</w:t>
      </w:r>
      <w:r>
        <w:rPr>
          <w:sz w:val="20"/>
          <w:szCs w:val="20"/>
          <w:color w:val="auto"/>
        </w:rPr>
        <w:tab/>
      </w:r>
      <w:r>
        <w:rPr>
          <w:rFonts w:ascii="Arial" w:cs="Arial" w:eastAsia="Arial" w:hAnsi="Arial"/>
          <w:sz w:val="16"/>
          <w:szCs w:val="16"/>
          <w:b w:val="1"/>
          <w:bCs w:val="1"/>
          <w:color w:val="auto"/>
        </w:rPr>
        <w:t>Address of Issuer’s Principal Executive Offices:</w:t>
      </w:r>
    </w:p>
    <w:p>
      <w:pPr>
        <w:spacing w:after="0" w:line="22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Amot Investment Building</w:t>
      </w:r>
    </w:p>
    <w:p>
      <w:pPr>
        <w:spacing w:after="0" w:line="23" w:lineRule="exact"/>
        <w:rPr>
          <w:sz w:val="20"/>
          <w:szCs w:val="20"/>
          <w:color w:val="auto"/>
        </w:rPr>
      </w:pPr>
    </w:p>
    <w:p>
      <w:pPr>
        <w:ind w:left="920"/>
        <w:spacing w:after="0"/>
        <w:rPr>
          <w:sz w:val="20"/>
          <w:szCs w:val="20"/>
          <w:color w:val="auto"/>
        </w:rPr>
      </w:pPr>
      <w:r>
        <w:rPr>
          <w:rFonts w:ascii="Arial" w:cs="Arial" w:eastAsia="Arial" w:hAnsi="Arial"/>
          <w:sz w:val="18"/>
          <w:szCs w:val="18"/>
          <w:color w:val="auto"/>
        </w:rPr>
        <w:t>2 Weizman St. 9th Floor</w:t>
      </w:r>
    </w:p>
    <w:p>
      <w:pPr>
        <w:spacing w:after="0" w:line="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Tel Aviv 6423902 Israel</w:t>
      </w:r>
    </w:p>
    <w:p>
      <w:pPr>
        <w:spacing w:after="0" w:line="207"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2(a).</w:t>
      </w:r>
      <w:r>
        <w:rPr>
          <w:sz w:val="20"/>
          <w:szCs w:val="20"/>
          <w:color w:val="auto"/>
        </w:rPr>
        <w:tab/>
      </w:r>
      <w:r>
        <w:rPr>
          <w:rFonts w:ascii="Arial" w:cs="Arial" w:eastAsia="Arial" w:hAnsi="Arial"/>
          <w:sz w:val="16"/>
          <w:szCs w:val="16"/>
          <w:b w:val="1"/>
          <w:bCs w:val="1"/>
          <w:color w:val="auto"/>
        </w:rPr>
        <w:t>Name of Person Filing:</w:t>
      </w:r>
    </w:p>
    <w:p>
      <w:pPr>
        <w:spacing w:after="0" w:line="22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This Statement is filed on behalf of Udi Gilboa (the “Reporting Person”).</w:t>
      </w:r>
    </w:p>
    <w:p>
      <w:pPr>
        <w:spacing w:after="0" w:line="221"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2(b).</w:t>
      </w:r>
      <w:r>
        <w:rPr>
          <w:sz w:val="20"/>
          <w:szCs w:val="20"/>
          <w:color w:val="auto"/>
        </w:rPr>
        <w:tab/>
      </w:r>
      <w:r>
        <w:rPr>
          <w:rFonts w:ascii="Arial" w:cs="Arial" w:eastAsia="Arial" w:hAnsi="Arial"/>
          <w:sz w:val="16"/>
          <w:szCs w:val="16"/>
          <w:b w:val="1"/>
          <w:bCs w:val="1"/>
          <w:color w:val="auto"/>
        </w:rPr>
        <w:t>Address of Principal Offices or, if None, Residence:</w:t>
      </w:r>
    </w:p>
    <w:p>
      <w:pPr>
        <w:spacing w:after="0" w:line="22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The address of the Reporting Person is:</w:t>
      </w:r>
    </w:p>
    <w:p>
      <w:pPr>
        <w:spacing w:after="0" w:line="225"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35 Ahad Ha'am St.</w:t>
      </w:r>
    </w:p>
    <w:p>
      <w:pPr>
        <w:spacing w:after="0" w:line="23"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Tel Aviv 6520206 Israel</w:t>
      </w:r>
    </w:p>
    <w:p>
      <w:pPr>
        <w:spacing w:after="0" w:line="207"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2(c).</w:t>
      </w:r>
      <w:r>
        <w:rPr>
          <w:sz w:val="20"/>
          <w:szCs w:val="20"/>
          <w:color w:val="auto"/>
        </w:rPr>
        <w:tab/>
      </w:r>
      <w:r>
        <w:rPr>
          <w:rFonts w:ascii="Arial" w:cs="Arial" w:eastAsia="Arial" w:hAnsi="Arial"/>
          <w:sz w:val="16"/>
          <w:szCs w:val="16"/>
          <w:b w:val="1"/>
          <w:bCs w:val="1"/>
          <w:color w:val="auto"/>
        </w:rPr>
        <w:t>Citizenship:</w:t>
      </w:r>
    </w:p>
    <w:p>
      <w:pPr>
        <w:spacing w:after="0" w:line="22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Udi Gilboa is an Israeli citizen.</w:t>
      </w:r>
    </w:p>
    <w:p>
      <w:pPr>
        <w:spacing w:after="0" w:line="221" w:lineRule="exact"/>
        <w:rPr>
          <w:sz w:val="20"/>
          <w:szCs w:val="20"/>
          <w:color w:val="auto"/>
        </w:rPr>
      </w:pPr>
    </w:p>
    <w:p>
      <w:pPr>
        <w:jc w:val="center"/>
        <w:ind w:right="8440"/>
        <w:spacing w:after="0"/>
        <w:tabs>
          <w:tab w:leader="none" w:pos="140" w:val="left"/>
        </w:tabs>
        <w:rPr>
          <w:sz w:val="20"/>
          <w:szCs w:val="20"/>
          <w:color w:val="auto"/>
        </w:rPr>
      </w:pPr>
      <w:r>
        <w:rPr>
          <w:rFonts w:ascii="Arial" w:cs="Arial" w:eastAsia="Arial" w:hAnsi="Arial"/>
          <w:sz w:val="18"/>
          <w:szCs w:val="18"/>
          <w:b w:val="1"/>
          <w:bCs w:val="1"/>
          <w:color w:val="auto"/>
        </w:rPr>
        <w:t>Item 2(d).</w:t>
      </w:r>
      <w:r>
        <w:rPr>
          <w:sz w:val="20"/>
          <w:szCs w:val="20"/>
          <w:color w:val="auto"/>
        </w:rPr>
        <w:tab/>
      </w:r>
      <w:r>
        <w:rPr>
          <w:rFonts w:ascii="Arial" w:cs="Arial" w:eastAsia="Arial" w:hAnsi="Arial"/>
          <w:sz w:val="16"/>
          <w:szCs w:val="16"/>
          <w:b w:val="1"/>
          <w:bCs w:val="1"/>
          <w:color w:val="auto"/>
        </w:rPr>
        <w:t>Title of Class of Securities:</w:t>
      </w:r>
    </w:p>
    <w:p>
      <w:pPr>
        <w:spacing w:after="0" w:line="22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Ordinary Shares</w:t>
      </w:r>
    </w:p>
    <w:p>
      <w:pPr>
        <w:spacing w:after="0" w:line="221"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2(e).</w:t>
      </w:r>
      <w:r>
        <w:rPr>
          <w:sz w:val="20"/>
          <w:szCs w:val="20"/>
          <w:color w:val="auto"/>
        </w:rPr>
        <w:tab/>
      </w:r>
      <w:r>
        <w:rPr>
          <w:rFonts w:ascii="Arial" w:cs="Arial" w:eastAsia="Arial" w:hAnsi="Arial"/>
          <w:sz w:val="17"/>
          <w:szCs w:val="17"/>
          <w:b w:val="1"/>
          <w:bCs w:val="1"/>
          <w:color w:val="auto"/>
        </w:rPr>
        <w:t>CUSIP Number:</w:t>
      </w:r>
    </w:p>
    <w:p>
      <w:pPr>
        <w:spacing w:after="0" w:line="22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M2239P109</w:t>
      </w:r>
    </w:p>
    <w:p>
      <w:pPr>
        <w:spacing w:after="0" w:line="221"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If the Statement is being filed pursuant to Rule 13d-1(b) or 13d-2(b) or (c), check whether the filing person is a:</w:t>
      </w:r>
    </w:p>
    <w:p>
      <w:pPr>
        <w:spacing w:after="0" w:line="22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Not applicable.</w:t>
      </w:r>
    </w:p>
    <w:p>
      <w:pPr>
        <w:spacing w:after="0" w:line="201" w:lineRule="exact"/>
        <w:rPr>
          <w:sz w:val="20"/>
          <w:szCs w:val="20"/>
          <w:color w:val="auto"/>
        </w:rPr>
      </w:pPr>
    </w:p>
    <w:p>
      <w:pPr>
        <w:ind w:left="360" w:hanging="352"/>
        <w:spacing w:after="0"/>
        <w:tabs>
          <w:tab w:leader="none" w:pos="360" w:val="left"/>
        </w:tabs>
        <w:numPr>
          <w:ilvl w:val="0"/>
          <w:numId w:val="5"/>
        </w:numPr>
        <w:rPr>
          <w:rFonts w:ascii="Arial" w:cs="Arial" w:eastAsia="Arial" w:hAnsi="Arial"/>
          <w:sz w:val="18"/>
          <w:szCs w:val="18"/>
          <w:color w:val="auto"/>
        </w:rPr>
      </w:pPr>
      <w:r>
        <w:rPr>
          <w:rFonts w:ascii="Arial" w:cs="Arial" w:eastAsia="Arial" w:hAnsi="Arial"/>
          <w:sz w:val="1"/>
          <w:szCs w:val="1"/>
          <w:color w:val="auto"/>
        </w:rPr>
        <w:drawing>
          <wp:inline distT="0" distB="0" distL="0" distR="0">
            <wp:extent cx="154305" cy="154305"/>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54305" cy="154305"/>
                    </a:xfrm>
                    <a:prstGeom prst="rect">
                      <a:avLst/>
                    </a:prstGeom>
                    <a:noFill/>
                    <a:ln>
                      <a:noFill/>
                    </a:ln>
                  </pic:spPr>
                </pic:pic>
              </a:graphicData>
            </a:graphic>
          </wp:inline>
        </w:drawing>
        <w:drawing>
          <wp:inline distT="0" distB="0" distL="0" distR="0">
            <wp:extent cx="8890" cy="15430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8890" cy="154305"/>
                    </a:xfrm>
                    <a:prstGeom prst="rect">
                      <a:avLst/>
                    </a:prstGeom>
                    <a:noFill/>
                    <a:ln>
                      <a:noFill/>
                    </a:ln>
                  </pic:spPr>
                </pic:pic>
              </a:graphicData>
            </a:graphic>
          </wp:inline>
        </w:drawing>
      </w:r>
      <w:r>
        <w:rPr>
          <w:rFonts w:ascii="Arial" w:cs="Arial" w:eastAsia="Arial" w:hAnsi="Arial"/>
          <w:sz w:val="18"/>
          <w:szCs w:val="18"/>
          <w:color w:val="auto"/>
        </w:rPr>
        <w:t>Broker or dealer registered under section 15 of the Act (15 U.S.C. 78o);</w:t>
      </w:r>
    </w:p>
    <w:p>
      <w:pPr>
        <w:spacing w:after="0" w:line="177" w:lineRule="exact"/>
        <w:rPr>
          <w:rFonts w:ascii="Arial" w:cs="Arial" w:eastAsia="Arial" w:hAnsi="Arial"/>
          <w:sz w:val="18"/>
          <w:szCs w:val="18"/>
          <w:color w:val="auto"/>
        </w:rPr>
      </w:pPr>
    </w:p>
    <w:p>
      <w:pPr>
        <w:ind w:left="360" w:hanging="352"/>
        <w:spacing w:after="0"/>
        <w:tabs>
          <w:tab w:leader="none" w:pos="360" w:val="left"/>
        </w:tabs>
        <w:numPr>
          <w:ilvl w:val="0"/>
          <w:numId w:val="5"/>
        </w:numPr>
        <w:rPr>
          <w:rFonts w:ascii="Arial" w:cs="Arial" w:eastAsia="Arial" w:hAnsi="Arial"/>
          <w:sz w:val="18"/>
          <w:szCs w:val="18"/>
          <w:color w:val="auto"/>
        </w:rPr>
      </w:pPr>
      <w:r>
        <w:rPr>
          <w:rFonts w:ascii="Arial" w:cs="Arial" w:eastAsia="Arial" w:hAnsi="Arial"/>
          <w:sz w:val="1"/>
          <w:szCs w:val="1"/>
          <w:color w:val="auto"/>
        </w:rPr>
        <w:drawing>
          <wp:inline distT="0" distB="0" distL="0" distR="0">
            <wp:extent cx="154305" cy="15430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54305" cy="154305"/>
                    </a:xfrm>
                    <a:prstGeom prst="rect">
                      <a:avLst/>
                    </a:prstGeom>
                    <a:noFill/>
                    <a:ln>
                      <a:noFill/>
                    </a:ln>
                  </pic:spPr>
                </pic:pic>
              </a:graphicData>
            </a:graphic>
          </wp:inline>
        </w:drawing>
      </w:r>
      <w:r>
        <w:rPr>
          <w:rFonts w:ascii="Arial" w:cs="Arial" w:eastAsia="Arial" w:hAnsi="Arial"/>
          <w:sz w:val="18"/>
          <w:szCs w:val="18"/>
          <w:color w:val="auto"/>
        </w:rPr>
        <w:t>Bank as defined in section 3(a)(6) of the Act (15 U.S.C. 78c);</w:t>
      </w:r>
    </w:p>
    <w:p>
      <w:pPr>
        <w:spacing w:after="0" w:line="177" w:lineRule="exact"/>
        <w:rPr>
          <w:rFonts w:ascii="Arial" w:cs="Arial" w:eastAsia="Arial" w:hAnsi="Arial"/>
          <w:sz w:val="18"/>
          <w:szCs w:val="18"/>
          <w:color w:val="auto"/>
        </w:rPr>
      </w:pPr>
    </w:p>
    <w:p>
      <w:pPr>
        <w:ind w:left="360" w:hanging="352"/>
        <w:spacing w:after="0"/>
        <w:tabs>
          <w:tab w:leader="none" w:pos="360" w:val="left"/>
        </w:tabs>
        <w:numPr>
          <w:ilvl w:val="0"/>
          <w:numId w:val="5"/>
        </w:numPr>
        <w:rPr>
          <w:rFonts w:ascii="Arial" w:cs="Arial" w:eastAsia="Arial" w:hAnsi="Arial"/>
          <w:sz w:val="18"/>
          <w:szCs w:val="18"/>
          <w:color w:val="auto"/>
        </w:rPr>
      </w:pPr>
      <w:r>
        <w:rPr>
          <w:rFonts w:ascii="Arial" w:cs="Arial" w:eastAsia="Arial" w:hAnsi="Arial"/>
          <w:sz w:val="1"/>
          <w:szCs w:val="1"/>
          <w:color w:val="auto"/>
        </w:rPr>
        <w:drawing>
          <wp:inline distT="0" distB="0" distL="0" distR="0">
            <wp:extent cx="154305" cy="154305"/>
            <wp:effectExtent l="0" t="0" r="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54305" cy="154305"/>
                    </a:xfrm>
                    <a:prstGeom prst="rect">
                      <a:avLst/>
                    </a:prstGeom>
                    <a:noFill/>
                    <a:ln>
                      <a:noFill/>
                    </a:ln>
                  </pic:spPr>
                </pic:pic>
              </a:graphicData>
            </a:graphic>
          </wp:inline>
        </w:drawing>
      </w:r>
      <w:r>
        <w:rPr>
          <w:rFonts w:ascii="Arial" w:cs="Arial" w:eastAsia="Arial" w:hAnsi="Arial"/>
          <w:sz w:val="18"/>
          <w:szCs w:val="18"/>
          <w:color w:val="auto"/>
        </w:rPr>
        <w:t>Insurance company as defined in section 3(a)(19) of the Act (15 U.S.C. 78c);</w:t>
      </w:r>
    </w:p>
    <w:p>
      <w:pPr>
        <w:spacing w:after="0" w:line="177" w:lineRule="exact"/>
        <w:rPr>
          <w:rFonts w:ascii="Arial" w:cs="Arial" w:eastAsia="Arial" w:hAnsi="Arial"/>
          <w:sz w:val="18"/>
          <w:szCs w:val="18"/>
          <w:color w:val="auto"/>
        </w:rPr>
      </w:pPr>
    </w:p>
    <w:p>
      <w:pPr>
        <w:ind w:left="360" w:hanging="352"/>
        <w:spacing w:after="0"/>
        <w:tabs>
          <w:tab w:leader="none" w:pos="360" w:val="left"/>
        </w:tabs>
        <w:numPr>
          <w:ilvl w:val="0"/>
          <w:numId w:val="5"/>
        </w:numPr>
        <w:rPr>
          <w:rFonts w:ascii="Arial" w:cs="Arial" w:eastAsia="Arial" w:hAnsi="Arial"/>
          <w:sz w:val="18"/>
          <w:szCs w:val="18"/>
          <w:color w:val="auto"/>
        </w:rPr>
      </w:pPr>
      <w:r>
        <w:rPr>
          <w:rFonts w:ascii="Arial" w:cs="Arial" w:eastAsia="Arial" w:hAnsi="Arial"/>
          <w:sz w:val="1"/>
          <w:szCs w:val="1"/>
          <w:color w:val="auto"/>
        </w:rPr>
        <w:drawing>
          <wp:inline distT="0" distB="0" distL="0" distR="0">
            <wp:extent cx="154305" cy="1543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54305" cy="154305"/>
                    </a:xfrm>
                    <a:prstGeom prst="rect">
                      <a:avLst/>
                    </a:prstGeom>
                    <a:noFill/>
                    <a:ln>
                      <a:noFill/>
                    </a:ln>
                  </pic:spPr>
                </pic:pic>
              </a:graphicData>
            </a:graphic>
          </wp:inline>
        </w:drawing>
      </w:r>
      <w:r>
        <w:rPr>
          <w:rFonts w:ascii="Arial" w:cs="Arial" w:eastAsia="Arial" w:hAnsi="Arial"/>
          <w:sz w:val="18"/>
          <w:szCs w:val="18"/>
          <w:color w:val="auto"/>
        </w:rPr>
        <w:t>Investment company registered under section 8 of the Investment Company Act of 1940 (15 U.S.C. 80a-8);</w:t>
      </w:r>
    </w:p>
    <w:p>
      <w:pPr>
        <w:spacing w:after="0" w:line="177" w:lineRule="exact"/>
        <w:rPr>
          <w:rFonts w:ascii="Arial" w:cs="Arial" w:eastAsia="Arial" w:hAnsi="Arial"/>
          <w:sz w:val="18"/>
          <w:szCs w:val="18"/>
          <w:color w:val="auto"/>
        </w:rPr>
      </w:pPr>
    </w:p>
    <w:p>
      <w:pPr>
        <w:ind w:left="360" w:hanging="352"/>
        <w:spacing w:after="0"/>
        <w:tabs>
          <w:tab w:leader="none" w:pos="360" w:val="left"/>
        </w:tabs>
        <w:numPr>
          <w:ilvl w:val="0"/>
          <w:numId w:val="5"/>
        </w:numPr>
        <w:rPr>
          <w:rFonts w:ascii="Arial" w:cs="Arial" w:eastAsia="Arial" w:hAnsi="Arial"/>
          <w:sz w:val="18"/>
          <w:szCs w:val="18"/>
          <w:color w:val="auto"/>
        </w:rPr>
      </w:pPr>
      <w:r>
        <w:rPr>
          <w:rFonts w:ascii="Arial" w:cs="Arial" w:eastAsia="Arial" w:hAnsi="Arial"/>
          <w:sz w:val="1"/>
          <w:szCs w:val="1"/>
          <w:color w:val="auto"/>
        </w:rPr>
        <w:drawing>
          <wp:inline distT="0" distB="0" distL="0" distR="0">
            <wp:extent cx="154305" cy="15430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54305" cy="154305"/>
                    </a:xfrm>
                    <a:prstGeom prst="rect">
                      <a:avLst/>
                    </a:prstGeom>
                    <a:noFill/>
                    <a:ln>
                      <a:noFill/>
                    </a:ln>
                  </pic:spPr>
                </pic:pic>
              </a:graphicData>
            </a:graphic>
          </wp:inline>
        </w:drawing>
      </w:r>
      <w:r>
        <w:rPr>
          <w:rFonts w:ascii="Arial" w:cs="Arial" w:eastAsia="Arial" w:hAnsi="Arial"/>
          <w:sz w:val="18"/>
          <w:szCs w:val="18"/>
          <w:color w:val="auto"/>
        </w:rPr>
        <w:t>An investment adviser in accordance with §240.13d-1(b)(1)(ii)(E);</w:t>
      </w:r>
    </w:p>
    <w:p>
      <w:pPr>
        <w:spacing w:after="0" w:line="177" w:lineRule="exact"/>
        <w:rPr>
          <w:rFonts w:ascii="Arial" w:cs="Arial" w:eastAsia="Arial" w:hAnsi="Arial"/>
          <w:sz w:val="18"/>
          <w:szCs w:val="18"/>
          <w:color w:val="auto"/>
        </w:rPr>
      </w:pPr>
    </w:p>
    <w:p>
      <w:pPr>
        <w:ind w:left="360" w:hanging="352"/>
        <w:spacing w:after="0"/>
        <w:tabs>
          <w:tab w:leader="none" w:pos="360" w:val="left"/>
        </w:tabs>
        <w:numPr>
          <w:ilvl w:val="0"/>
          <w:numId w:val="5"/>
        </w:numPr>
        <w:rPr>
          <w:rFonts w:ascii="Arial" w:cs="Arial" w:eastAsia="Arial" w:hAnsi="Arial"/>
          <w:sz w:val="18"/>
          <w:szCs w:val="18"/>
          <w:color w:val="auto"/>
        </w:rPr>
      </w:pPr>
      <w:r>
        <w:rPr>
          <w:rFonts w:ascii="Arial" w:cs="Arial" w:eastAsia="Arial" w:hAnsi="Arial"/>
          <w:sz w:val="1"/>
          <w:szCs w:val="1"/>
          <w:color w:val="auto"/>
        </w:rPr>
        <w:drawing>
          <wp:inline distT="0" distB="0" distL="0" distR="0">
            <wp:extent cx="154305" cy="154305"/>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54305" cy="154305"/>
                    </a:xfrm>
                    <a:prstGeom prst="rect">
                      <a:avLst/>
                    </a:prstGeom>
                    <a:noFill/>
                    <a:ln>
                      <a:noFill/>
                    </a:ln>
                  </pic:spPr>
                </pic:pic>
              </a:graphicData>
            </a:graphic>
          </wp:inline>
        </w:drawing>
      </w:r>
      <w:r>
        <w:rPr>
          <w:rFonts w:ascii="Arial" w:cs="Arial" w:eastAsia="Arial" w:hAnsi="Arial"/>
          <w:sz w:val="18"/>
          <w:szCs w:val="18"/>
          <w:color w:val="auto"/>
        </w:rPr>
        <w:t>An employee benefit plan or endowment fund in accordance with §240.13d-1(b)(1)(ii)(F);</w:t>
      </w:r>
    </w:p>
    <w:p>
      <w:pPr>
        <w:spacing w:after="0" w:line="177" w:lineRule="exact"/>
        <w:rPr>
          <w:rFonts w:ascii="Arial" w:cs="Arial" w:eastAsia="Arial" w:hAnsi="Arial"/>
          <w:sz w:val="18"/>
          <w:szCs w:val="18"/>
          <w:color w:val="auto"/>
        </w:rPr>
      </w:pPr>
    </w:p>
    <w:p>
      <w:pPr>
        <w:ind w:left="360" w:hanging="352"/>
        <w:spacing w:after="0"/>
        <w:tabs>
          <w:tab w:leader="none" w:pos="360" w:val="left"/>
        </w:tabs>
        <w:numPr>
          <w:ilvl w:val="0"/>
          <w:numId w:val="5"/>
        </w:numPr>
        <w:rPr>
          <w:rFonts w:ascii="Arial" w:cs="Arial" w:eastAsia="Arial" w:hAnsi="Arial"/>
          <w:sz w:val="18"/>
          <w:szCs w:val="18"/>
          <w:color w:val="auto"/>
        </w:rPr>
      </w:pPr>
      <w:r>
        <w:rPr>
          <w:rFonts w:ascii="Arial" w:cs="Arial" w:eastAsia="Arial" w:hAnsi="Arial"/>
          <w:sz w:val="1"/>
          <w:szCs w:val="1"/>
          <w:color w:val="auto"/>
        </w:rPr>
        <w:drawing>
          <wp:inline distT="0" distB="0" distL="0" distR="0">
            <wp:extent cx="154305" cy="1543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54305" cy="154305"/>
                    </a:xfrm>
                    <a:prstGeom prst="rect">
                      <a:avLst/>
                    </a:prstGeom>
                    <a:noFill/>
                    <a:ln>
                      <a:noFill/>
                    </a:ln>
                  </pic:spPr>
                </pic:pic>
              </a:graphicData>
            </a:graphic>
          </wp:inline>
        </w:drawing>
      </w:r>
      <w:r>
        <w:rPr>
          <w:rFonts w:ascii="Arial" w:cs="Arial" w:eastAsia="Arial" w:hAnsi="Arial"/>
          <w:sz w:val="18"/>
          <w:szCs w:val="18"/>
          <w:color w:val="auto"/>
        </w:rPr>
        <w:t>A parent holding company or control person in accordance with §240.13d-1(b)(1)(ii)(G);</w:t>
      </w:r>
    </w:p>
    <w:p>
      <w:pPr>
        <w:spacing w:after="0" w:line="177" w:lineRule="exact"/>
        <w:rPr>
          <w:rFonts w:ascii="Arial" w:cs="Arial" w:eastAsia="Arial" w:hAnsi="Arial"/>
          <w:sz w:val="18"/>
          <w:szCs w:val="18"/>
          <w:color w:val="auto"/>
        </w:rPr>
      </w:pPr>
    </w:p>
    <w:p>
      <w:pPr>
        <w:ind w:left="360" w:hanging="352"/>
        <w:spacing w:after="0"/>
        <w:tabs>
          <w:tab w:leader="none" w:pos="360" w:val="left"/>
        </w:tabs>
        <w:numPr>
          <w:ilvl w:val="0"/>
          <w:numId w:val="5"/>
        </w:numPr>
        <w:rPr>
          <w:rFonts w:ascii="Arial" w:cs="Arial" w:eastAsia="Arial" w:hAnsi="Arial"/>
          <w:sz w:val="18"/>
          <w:szCs w:val="18"/>
          <w:color w:val="auto"/>
        </w:rPr>
      </w:pPr>
      <w:r>
        <w:rPr>
          <w:rFonts w:ascii="Arial" w:cs="Arial" w:eastAsia="Arial" w:hAnsi="Arial"/>
          <w:sz w:val="1"/>
          <w:szCs w:val="1"/>
          <w:color w:val="auto"/>
        </w:rPr>
        <w:drawing>
          <wp:inline distT="0" distB="0" distL="0" distR="0">
            <wp:extent cx="154305" cy="1543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54305" cy="154305"/>
                    </a:xfrm>
                    <a:prstGeom prst="rect">
                      <a:avLst/>
                    </a:prstGeom>
                    <a:noFill/>
                    <a:ln>
                      <a:noFill/>
                    </a:ln>
                  </pic:spPr>
                </pic:pic>
              </a:graphicData>
            </a:graphic>
          </wp:inline>
        </w:drawing>
      </w:r>
      <w:r>
        <w:rPr>
          <w:rFonts w:ascii="Arial" w:cs="Arial" w:eastAsia="Arial" w:hAnsi="Arial"/>
          <w:sz w:val="18"/>
          <w:szCs w:val="18"/>
          <w:color w:val="auto"/>
        </w:rPr>
        <w:t>A savings association as defined in Section 3(b) of the Federal Deposit Insurance Act (12 U.S.C. 1813);</w:t>
      </w:r>
    </w:p>
    <w:p>
      <w:pPr>
        <w:spacing w:after="0" w:line="201" w:lineRule="exact"/>
        <w:rPr>
          <w:rFonts w:ascii="Arial" w:cs="Arial" w:eastAsia="Arial" w:hAnsi="Arial"/>
          <w:sz w:val="18"/>
          <w:szCs w:val="18"/>
          <w:color w:val="auto"/>
        </w:rPr>
      </w:pPr>
    </w:p>
    <w:p>
      <w:pPr>
        <w:ind w:left="600" w:hanging="592"/>
        <w:spacing w:after="0"/>
        <w:tabs>
          <w:tab w:leader="none" w:pos="600" w:val="left"/>
        </w:tabs>
        <w:numPr>
          <w:ilvl w:val="0"/>
          <w:numId w:val="5"/>
        </w:numPr>
        <w:rPr>
          <w:rFonts w:ascii="Arial" w:cs="Arial" w:eastAsia="Arial" w:hAnsi="Arial"/>
          <w:sz w:val="18"/>
          <w:szCs w:val="18"/>
          <w:color w:val="auto"/>
        </w:rPr>
      </w:pPr>
      <w:r>
        <w:rPr>
          <w:rFonts w:ascii="Arial" w:cs="Arial" w:eastAsia="Arial" w:hAnsi="Arial"/>
          <w:sz w:val="18"/>
          <w:szCs w:val="18"/>
          <w:color w:val="auto"/>
        </w:rPr>
        <w:t>A church plan that is excluded from the definition of an investment company under Section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227965</wp:posOffset>
            </wp:positionH>
            <wp:positionV relativeFrom="paragraph">
              <wp:posOffset>-121920</wp:posOffset>
            </wp:positionV>
            <wp:extent cx="154305" cy="15430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54305" cy="154305"/>
                    </a:xfrm>
                    <a:prstGeom prst="rect">
                      <a:avLst/>
                    </a:prstGeom>
                    <a:noFill/>
                  </pic:spPr>
                </pic:pic>
              </a:graphicData>
            </a:graphic>
          </wp:anchor>
        </w:drawing>
        <w:drawing>
          <wp:anchor simplePos="0" relativeHeight="251657728" behindDoc="1" locked="0" layoutInCell="0" allowOverlap="1">
            <wp:simplePos x="0" y="0"/>
            <wp:positionH relativeFrom="column">
              <wp:posOffset>227965</wp:posOffset>
            </wp:positionH>
            <wp:positionV relativeFrom="paragraph">
              <wp:posOffset>-267335</wp:posOffset>
            </wp:positionV>
            <wp:extent cx="154305"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54305" cy="8890"/>
                    </a:xfrm>
                    <a:prstGeom prst="rect">
                      <a:avLst/>
                    </a:prstGeom>
                    <a:noFill/>
                  </pic:spPr>
                </pic:pic>
              </a:graphicData>
            </a:graphic>
          </wp:anchor>
        </w:drawing>
        <w:drawing>
          <wp:anchor simplePos="0" relativeHeight="251657728" behindDoc="1" locked="0" layoutInCell="0" allowOverlap="1">
            <wp:simplePos x="0" y="0"/>
            <wp:positionH relativeFrom="column">
              <wp:posOffset>227965</wp:posOffset>
            </wp:positionH>
            <wp:positionV relativeFrom="paragraph">
              <wp:posOffset>-558800</wp:posOffset>
            </wp:positionV>
            <wp:extent cx="154305"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54305" cy="8890"/>
                    </a:xfrm>
                    <a:prstGeom prst="rect">
                      <a:avLst/>
                    </a:prstGeom>
                    <a:noFill/>
                  </pic:spPr>
                </pic:pic>
              </a:graphicData>
            </a:graphic>
          </wp:anchor>
        </w:drawing>
        <w:drawing>
          <wp:anchor simplePos="0" relativeHeight="251657728" behindDoc="1" locked="0" layoutInCell="0" allowOverlap="1">
            <wp:simplePos x="0" y="0"/>
            <wp:positionH relativeFrom="column">
              <wp:posOffset>227965</wp:posOffset>
            </wp:positionH>
            <wp:positionV relativeFrom="paragraph">
              <wp:posOffset>-850900</wp:posOffset>
            </wp:positionV>
            <wp:extent cx="154305"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54305" cy="8890"/>
                    </a:xfrm>
                    <a:prstGeom prst="rect">
                      <a:avLst/>
                    </a:prstGeom>
                    <a:noFill/>
                  </pic:spPr>
                </pic:pic>
              </a:graphicData>
            </a:graphic>
          </wp:anchor>
        </w:drawing>
        <w:drawing>
          <wp:anchor simplePos="0" relativeHeight="251657728" behindDoc="1" locked="0" layoutInCell="0" allowOverlap="1">
            <wp:simplePos x="0" y="0"/>
            <wp:positionH relativeFrom="column">
              <wp:posOffset>227965</wp:posOffset>
            </wp:positionH>
            <wp:positionV relativeFrom="paragraph">
              <wp:posOffset>-1142365</wp:posOffset>
            </wp:positionV>
            <wp:extent cx="154305"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54305" cy="8890"/>
                    </a:xfrm>
                    <a:prstGeom prst="rect">
                      <a:avLst/>
                    </a:prstGeom>
                    <a:noFill/>
                  </pic:spPr>
                </pic:pic>
              </a:graphicData>
            </a:graphic>
          </wp:anchor>
        </w:drawing>
        <w:drawing>
          <wp:anchor simplePos="0" relativeHeight="251657728" behindDoc="1" locked="0" layoutInCell="0" allowOverlap="1">
            <wp:simplePos x="0" y="0"/>
            <wp:positionH relativeFrom="column">
              <wp:posOffset>227965</wp:posOffset>
            </wp:positionH>
            <wp:positionV relativeFrom="paragraph">
              <wp:posOffset>-1433830</wp:posOffset>
            </wp:positionV>
            <wp:extent cx="154305"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54305" cy="8890"/>
                    </a:xfrm>
                    <a:prstGeom prst="rect">
                      <a:avLst/>
                    </a:prstGeom>
                    <a:noFill/>
                  </pic:spPr>
                </pic:pic>
              </a:graphicData>
            </a:graphic>
          </wp:anchor>
        </w:drawing>
        <w:drawing>
          <wp:anchor simplePos="0" relativeHeight="251657728" behindDoc="1" locked="0" layoutInCell="0" allowOverlap="1">
            <wp:simplePos x="0" y="0"/>
            <wp:positionH relativeFrom="column">
              <wp:posOffset>227965</wp:posOffset>
            </wp:positionH>
            <wp:positionV relativeFrom="paragraph">
              <wp:posOffset>-1725295</wp:posOffset>
            </wp:positionV>
            <wp:extent cx="154305"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54305" cy="8890"/>
                    </a:xfrm>
                    <a:prstGeom prst="rect">
                      <a:avLst/>
                    </a:prstGeom>
                    <a:noFill/>
                  </pic:spPr>
                </pic:pic>
              </a:graphicData>
            </a:graphic>
          </wp:anchor>
        </w:drawing>
        <w:drawing>
          <wp:anchor simplePos="0" relativeHeight="251657728" behindDoc="1" locked="0" layoutInCell="0" allowOverlap="1">
            <wp:simplePos x="0" y="0"/>
            <wp:positionH relativeFrom="column">
              <wp:posOffset>227965</wp:posOffset>
            </wp:positionH>
            <wp:positionV relativeFrom="paragraph">
              <wp:posOffset>-2016760</wp:posOffset>
            </wp:positionV>
            <wp:extent cx="154305"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54305" cy="8890"/>
                    </a:xfrm>
                    <a:prstGeom prst="rect">
                      <a:avLst/>
                    </a:prstGeom>
                    <a:noFill/>
                  </pic:spPr>
                </pic:pic>
              </a:graphicData>
            </a:graphic>
          </wp:anchor>
        </w:drawing>
        <w:drawing>
          <wp:anchor simplePos="0" relativeHeight="251657728" behindDoc="1" locked="0" layoutInCell="0" allowOverlap="1">
            <wp:simplePos x="0" y="0"/>
            <wp:positionH relativeFrom="column">
              <wp:posOffset>227965</wp:posOffset>
            </wp:positionH>
            <wp:positionV relativeFrom="paragraph">
              <wp:posOffset>-2308225</wp:posOffset>
            </wp:positionV>
            <wp:extent cx="154305"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54305" cy="8890"/>
                    </a:xfrm>
                    <a:prstGeom prst="rect">
                      <a:avLst/>
                    </a:prstGeom>
                    <a:noFill/>
                  </pic:spPr>
                </pic:pic>
              </a:graphicData>
            </a:graphic>
          </wp:anchor>
        </w:drawing>
      </w:r>
    </w:p>
    <w:p>
      <w:pPr>
        <w:spacing w:after="0" w:line="200" w:lineRule="exact"/>
        <w:rPr>
          <w:sz w:val="20"/>
          <w:szCs w:val="20"/>
          <w:color w:val="auto"/>
        </w:rPr>
      </w:pPr>
    </w:p>
    <w:p>
      <w:pPr>
        <w:spacing w:after="0" w:line="224" w:lineRule="exact"/>
        <w:rPr>
          <w:sz w:val="20"/>
          <w:szCs w:val="20"/>
          <w:color w:val="auto"/>
        </w:rPr>
      </w:pPr>
    </w:p>
    <w:p>
      <w:pPr>
        <w:ind w:left="360" w:hanging="352"/>
        <w:spacing w:after="0"/>
        <w:tabs>
          <w:tab w:leader="none" w:pos="360" w:val="left"/>
        </w:tabs>
        <w:numPr>
          <w:ilvl w:val="0"/>
          <w:numId w:val="6"/>
        </w:numPr>
        <w:rPr>
          <w:rFonts w:ascii="Arial" w:cs="Arial" w:eastAsia="Arial" w:hAnsi="Arial"/>
          <w:sz w:val="18"/>
          <w:szCs w:val="18"/>
          <w:color w:val="auto"/>
        </w:rPr>
      </w:pPr>
      <w:r>
        <w:rPr>
          <w:rFonts w:ascii="Arial" w:cs="Arial" w:eastAsia="Arial" w:hAnsi="Arial"/>
          <w:sz w:val="1"/>
          <w:szCs w:val="1"/>
          <w:color w:val="auto"/>
        </w:rPr>
        <w:drawing>
          <wp:inline distT="0" distB="0" distL="0" distR="0">
            <wp:extent cx="154305" cy="154305"/>
            <wp:effectExtent l="0" t="0" r="0" b="0"/>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54305" cy="154305"/>
                    </a:xfrm>
                    <a:prstGeom prst="rect">
                      <a:avLst/>
                    </a:prstGeom>
                    <a:noFill/>
                    <a:ln>
                      <a:noFill/>
                    </a:ln>
                  </pic:spPr>
                </pic:pic>
              </a:graphicData>
            </a:graphic>
          </wp:inline>
        </w:drawing>
      </w:r>
      <w:r>
        <w:rPr>
          <w:rFonts w:ascii="Arial" w:cs="Arial" w:eastAsia="Arial" w:hAnsi="Arial"/>
          <w:sz w:val="18"/>
          <w:szCs w:val="18"/>
          <w:color w:val="auto"/>
        </w:rPr>
        <w:t>A non-U.S. institution in accordance with § 240.13d-1(b)(1)(ii)(J);</w:t>
      </w:r>
    </w:p>
    <w:p>
      <w:pPr>
        <w:spacing w:after="0" w:line="177" w:lineRule="exact"/>
        <w:rPr>
          <w:rFonts w:ascii="Arial" w:cs="Arial" w:eastAsia="Arial" w:hAnsi="Arial"/>
          <w:sz w:val="18"/>
          <w:szCs w:val="18"/>
          <w:color w:val="auto"/>
        </w:rPr>
      </w:pPr>
    </w:p>
    <w:p>
      <w:pPr>
        <w:ind w:left="360" w:hanging="352"/>
        <w:spacing w:after="0"/>
        <w:tabs>
          <w:tab w:leader="none" w:pos="360" w:val="left"/>
        </w:tabs>
        <w:numPr>
          <w:ilvl w:val="0"/>
          <w:numId w:val="6"/>
        </w:numPr>
        <w:rPr>
          <w:rFonts w:ascii="Arial" w:cs="Arial" w:eastAsia="Arial" w:hAnsi="Arial"/>
          <w:sz w:val="18"/>
          <w:szCs w:val="18"/>
          <w:color w:val="auto"/>
        </w:rPr>
      </w:pPr>
      <w:r>
        <w:rPr>
          <w:rFonts w:ascii="Arial" w:cs="Arial" w:eastAsia="Arial" w:hAnsi="Arial"/>
          <w:sz w:val="1"/>
          <w:szCs w:val="1"/>
          <w:color w:val="auto"/>
        </w:rPr>
        <w:drawing>
          <wp:inline distT="0" distB="0" distL="0" distR="0">
            <wp:extent cx="154305" cy="154305"/>
            <wp:effectExtent l="0" t="0" r="0" b="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54305" cy="154305"/>
                    </a:xfrm>
                    <a:prstGeom prst="rect">
                      <a:avLst/>
                    </a:prstGeom>
                    <a:noFill/>
                    <a:ln>
                      <a:noFill/>
                    </a:ln>
                  </pic:spPr>
                </pic:pic>
              </a:graphicData>
            </a:graphic>
          </wp:inline>
        </w:drawing>
      </w:r>
      <w:r>
        <w:rPr>
          <w:rFonts w:ascii="Arial" w:cs="Arial" w:eastAsia="Arial" w:hAnsi="Arial"/>
          <w:sz w:val="18"/>
          <w:szCs w:val="18"/>
          <w:color w:val="auto"/>
        </w:rPr>
        <w:t>Group, in accordance with §240.13d-1(b)(1)(ii)(K).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227965</wp:posOffset>
            </wp:positionH>
            <wp:positionV relativeFrom="paragraph">
              <wp:posOffset>-8255</wp:posOffset>
            </wp:positionV>
            <wp:extent cx="154305"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54305" cy="8890"/>
                    </a:xfrm>
                    <a:prstGeom prst="rect">
                      <a:avLst/>
                    </a:prstGeom>
                    <a:noFill/>
                  </pic:spPr>
                </pic:pic>
              </a:graphicData>
            </a:graphic>
          </wp:anchor>
        </w:drawing>
        <w:drawing>
          <wp:anchor simplePos="0" relativeHeight="251657728" behindDoc="1" locked="0" layoutInCell="0" allowOverlap="1">
            <wp:simplePos x="0" y="0"/>
            <wp:positionH relativeFrom="column">
              <wp:posOffset>227965</wp:posOffset>
            </wp:positionH>
            <wp:positionV relativeFrom="paragraph">
              <wp:posOffset>-299720</wp:posOffset>
            </wp:positionV>
            <wp:extent cx="154305"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54305" cy="8890"/>
                    </a:xfrm>
                    <a:prstGeom prst="rect">
                      <a:avLst/>
                    </a:prstGeom>
                    <a:noFill/>
                  </pic:spPr>
                </pic:pic>
              </a:graphicData>
            </a:graphic>
          </wp:anchor>
        </w:drawing>
      </w:r>
    </w:p>
    <w:p>
      <w:pPr>
        <w:spacing w:after="0" w:line="182" w:lineRule="exact"/>
        <w:rPr>
          <w:sz w:val="20"/>
          <w:szCs w:val="20"/>
          <w:color w:val="auto"/>
        </w:rPr>
      </w:pPr>
    </w:p>
    <w:p>
      <w:pPr>
        <w:ind w:right="3980"/>
        <w:spacing w:after="0" w:line="342" w:lineRule="auto"/>
        <w:rPr>
          <w:sz w:val="20"/>
          <w:szCs w:val="20"/>
          <w:color w:val="auto"/>
        </w:rPr>
      </w:pPr>
      <w:r>
        <w:rPr>
          <w:rFonts w:ascii="Arial" w:cs="Arial" w:eastAsia="Arial" w:hAnsi="Arial"/>
          <w:sz w:val="16"/>
          <w:szCs w:val="16"/>
          <w:color w:val="auto"/>
        </w:rPr>
        <w:t>If filing as a non-U.S. institution in accordance with §240.13d-1(b)(1)(ii)(J), please specify the type of institution:__________________________________________________________________________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361950</wp:posOffset>
            </wp:positionV>
            <wp:extent cx="724662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687" w:right="239" w:bottom="1440" w:gutter="0" w:footer="0" w:header="0"/>
        </w:sectPr>
      </w:pPr>
    </w:p>
    <w:bookmarkStart w:id="3" w:name="page4"/>
    <w:bookmarkEnd w:id="3"/>
    <w:tbl>
      <w:tblPr>
        <w:tblLayout w:type="fixed"/>
        <w:tblInd w:w="10" w:type="dxa"/>
        <w:tblCellMar>
          <w:top w:w="0" w:type="dxa"/>
          <w:left w:w="0" w:type="dxa"/>
          <w:bottom w:w="0" w:type="dxa"/>
          <w:right w:w="0" w:type="dxa"/>
        </w:tblCellMar>
      </w:tblPr>
      <w:tr>
        <w:trPr>
          <w:trHeight w:val="230"/>
        </w:trPr>
        <w:tc>
          <w:tcPr>
            <w:tcW w:w="4600" w:type="dxa"/>
            <w:vAlign w:val="bottom"/>
            <w:tcBorders>
              <w:top w:val="single" w:sz="8" w:color="auto"/>
              <w:left w:val="single" w:sz="8" w:color="auto"/>
              <w:bottom w:val="single" w:sz="8" w:color="auto"/>
              <w:right w:val="single" w:sz="8" w:color="auto"/>
            </w:tcBorders>
          </w:tcPr>
          <w:p>
            <w:pPr>
              <w:ind w:left="1400"/>
              <w:spacing w:after="0"/>
              <w:rPr>
                <w:sz w:val="20"/>
                <w:szCs w:val="20"/>
                <w:color w:val="auto"/>
              </w:rPr>
            </w:pPr>
            <w:r>
              <w:rPr>
                <w:rFonts w:ascii="Arial" w:cs="Arial" w:eastAsia="Arial" w:hAnsi="Arial"/>
                <w:sz w:val="18"/>
                <w:szCs w:val="18"/>
                <w:b w:val="1"/>
                <w:bCs w:val="1"/>
                <w:color w:val="auto"/>
              </w:rPr>
              <w:t>CUSIP No. M2239P109</w:t>
            </w:r>
          </w:p>
        </w:tc>
        <w:tc>
          <w:tcPr>
            <w:tcW w:w="2740" w:type="dxa"/>
            <w:vAlign w:val="bottom"/>
            <w:tcBorders>
              <w:right w:val="single" w:sz="8" w:color="auto"/>
            </w:tcBorders>
          </w:tcPr>
          <w:p>
            <w:pPr>
              <w:ind w:left="1200"/>
              <w:spacing w:after="0"/>
              <w:rPr>
                <w:sz w:val="20"/>
                <w:szCs w:val="20"/>
                <w:color w:val="auto"/>
              </w:rPr>
            </w:pPr>
            <w:r>
              <w:rPr>
                <w:rFonts w:ascii="Arial" w:cs="Arial" w:eastAsia="Arial" w:hAnsi="Arial"/>
                <w:sz w:val="18"/>
                <w:szCs w:val="18"/>
                <w:b w:val="1"/>
                <w:bCs w:val="1"/>
                <w:color w:val="auto"/>
              </w:rPr>
              <w:t>13G</w:t>
            </w:r>
          </w:p>
        </w:tc>
        <w:tc>
          <w:tcPr>
            <w:tcW w:w="4080" w:type="dxa"/>
            <w:vAlign w:val="bottom"/>
            <w:tcBorders>
              <w:top w:val="single" w:sz="8" w:color="auto"/>
              <w:bottom w:val="single" w:sz="8" w:color="auto"/>
              <w:right w:val="single" w:sz="8" w:color="auto"/>
            </w:tcBorders>
          </w:tcPr>
          <w:p>
            <w:pPr>
              <w:ind w:left="1360"/>
              <w:spacing w:after="0"/>
              <w:rPr>
                <w:sz w:val="20"/>
                <w:szCs w:val="20"/>
                <w:color w:val="auto"/>
              </w:rPr>
            </w:pPr>
            <w:r>
              <w:rPr>
                <w:rFonts w:ascii="Arial" w:cs="Arial" w:eastAsia="Arial" w:hAnsi="Arial"/>
                <w:sz w:val="18"/>
                <w:szCs w:val="18"/>
                <w:b w:val="1"/>
                <w:bCs w:val="1"/>
                <w:color w:val="auto"/>
              </w:rPr>
              <w:t>Page 4 of 5 Pages</w:t>
            </w:r>
          </w:p>
        </w:tc>
      </w:tr>
    </w:tbl>
    <w:p>
      <w:pPr>
        <w:spacing w:after="0" w:line="198" w:lineRule="exact"/>
        <w:rPr>
          <w:sz w:val="20"/>
          <w:szCs w:val="20"/>
          <w:color w:val="auto"/>
        </w:rPr>
      </w:pPr>
    </w:p>
    <w:p>
      <w:pPr>
        <w:spacing w:after="0"/>
        <w:tabs>
          <w:tab w:leader="none" w:pos="68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6"/>
          <w:szCs w:val="16"/>
          <w:b w:val="1"/>
          <w:bCs w:val="1"/>
          <w:color w:val="auto"/>
        </w:rPr>
        <w:t>Ownership.</w:t>
      </w:r>
    </w:p>
    <w:p>
      <w:pPr>
        <w:spacing w:after="0" w:line="200" w:lineRule="exact"/>
        <w:rPr>
          <w:sz w:val="20"/>
          <w:szCs w:val="20"/>
          <w:color w:val="auto"/>
        </w:rPr>
      </w:pPr>
    </w:p>
    <w:p>
      <w:pPr>
        <w:spacing w:after="0" w:line="245" w:lineRule="exact"/>
        <w:rPr>
          <w:sz w:val="20"/>
          <w:szCs w:val="20"/>
          <w:color w:val="auto"/>
        </w:rPr>
      </w:pPr>
    </w:p>
    <w:p>
      <w:pPr>
        <w:ind w:left="1340" w:right="8500" w:hanging="1042"/>
        <w:spacing w:after="0" w:line="563" w:lineRule="auto"/>
        <w:tabs>
          <w:tab w:leader="none" w:pos="854" w:val="left"/>
        </w:tabs>
        <w:numPr>
          <w:ilvl w:val="0"/>
          <w:numId w:val="7"/>
        </w:numPr>
        <w:rPr>
          <w:rFonts w:ascii="Arial" w:cs="Arial" w:eastAsia="Arial" w:hAnsi="Arial"/>
          <w:sz w:val="16"/>
          <w:szCs w:val="16"/>
          <w:color w:val="auto"/>
        </w:rPr>
      </w:pPr>
      <w:r>
        <w:rPr>
          <w:rFonts w:ascii="Arial" w:cs="Arial" w:eastAsia="Arial" w:hAnsi="Arial"/>
          <w:sz w:val="16"/>
          <w:szCs w:val="16"/>
          <w:color w:val="auto"/>
        </w:rPr>
        <w:t>Amount beneficially owned: 2,610,816 shares</w:t>
      </w:r>
    </w:p>
    <w:p>
      <w:pPr>
        <w:spacing w:after="0" w:line="1" w:lineRule="exact"/>
        <w:rPr>
          <w:rFonts w:ascii="Arial" w:cs="Arial" w:eastAsia="Arial" w:hAnsi="Arial"/>
          <w:sz w:val="16"/>
          <w:szCs w:val="16"/>
          <w:color w:val="auto"/>
        </w:rPr>
      </w:pPr>
    </w:p>
    <w:p>
      <w:pPr>
        <w:ind w:left="860" w:hanging="562"/>
        <w:spacing w:after="0"/>
        <w:tabs>
          <w:tab w:leader="none" w:pos="860" w:val="left"/>
        </w:tabs>
        <w:numPr>
          <w:ilvl w:val="0"/>
          <w:numId w:val="7"/>
        </w:numPr>
        <w:rPr>
          <w:rFonts w:ascii="Arial" w:cs="Arial" w:eastAsia="Arial" w:hAnsi="Arial"/>
          <w:sz w:val="18"/>
          <w:szCs w:val="18"/>
          <w:color w:val="auto"/>
        </w:rPr>
      </w:pPr>
      <w:r>
        <w:rPr>
          <w:rFonts w:ascii="Arial" w:cs="Arial" w:eastAsia="Arial" w:hAnsi="Arial"/>
          <w:sz w:val="18"/>
          <w:szCs w:val="18"/>
          <w:color w:val="auto"/>
        </w:rPr>
        <w:t>Percent of class:</w:t>
      </w:r>
    </w:p>
    <w:p>
      <w:pPr>
        <w:spacing w:after="0" w:line="225" w:lineRule="exact"/>
        <w:rPr>
          <w:sz w:val="20"/>
          <w:szCs w:val="20"/>
          <w:color w:val="auto"/>
        </w:rPr>
      </w:pPr>
    </w:p>
    <w:p>
      <w:pPr>
        <w:ind w:left="1340"/>
        <w:spacing w:after="0"/>
        <w:rPr>
          <w:sz w:val="20"/>
          <w:szCs w:val="20"/>
          <w:color w:val="auto"/>
        </w:rPr>
      </w:pPr>
      <w:r>
        <w:rPr>
          <w:rFonts w:ascii="Arial" w:cs="Arial" w:eastAsia="Arial" w:hAnsi="Arial"/>
          <w:sz w:val="18"/>
          <w:szCs w:val="18"/>
          <w:color w:val="auto"/>
        </w:rPr>
        <w:t>19.1%</w:t>
      </w:r>
    </w:p>
    <w:p>
      <w:pPr>
        <w:spacing w:after="0" w:line="225" w:lineRule="exact"/>
        <w:rPr>
          <w:sz w:val="20"/>
          <w:szCs w:val="20"/>
          <w:color w:val="auto"/>
        </w:rPr>
      </w:pPr>
    </w:p>
    <w:p>
      <w:pPr>
        <w:ind w:left="860" w:hanging="562"/>
        <w:spacing w:after="0"/>
        <w:tabs>
          <w:tab w:leader="none" w:pos="860" w:val="left"/>
        </w:tabs>
        <w:numPr>
          <w:ilvl w:val="0"/>
          <w:numId w:val="8"/>
        </w:numPr>
        <w:rPr>
          <w:rFonts w:ascii="Arial" w:cs="Arial" w:eastAsia="Arial" w:hAnsi="Arial"/>
          <w:sz w:val="18"/>
          <w:szCs w:val="18"/>
          <w:color w:val="auto"/>
        </w:rPr>
      </w:pPr>
      <w:r>
        <w:rPr>
          <w:rFonts w:ascii="Arial" w:cs="Arial" w:eastAsia="Arial" w:hAnsi="Arial"/>
          <w:sz w:val="18"/>
          <w:szCs w:val="18"/>
          <w:color w:val="auto"/>
        </w:rPr>
        <w:t>Number of shares as to which such person has:</w:t>
      </w:r>
    </w:p>
    <w:p>
      <w:pPr>
        <w:spacing w:after="0" w:line="225" w:lineRule="exact"/>
        <w:rPr>
          <w:sz w:val="20"/>
          <w:szCs w:val="20"/>
          <w:color w:val="auto"/>
        </w:rPr>
      </w:pPr>
    </w:p>
    <w:p>
      <w:pPr>
        <w:ind w:left="860" w:hanging="562"/>
        <w:spacing w:after="0"/>
        <w:tabs>
          <w:tab w:leader="none" w:pos="860" w:val="left"/>
        </w:tabs>
        <w:numPr>
          <w:ilvl w:val="0"/>
          <w:numId w:val="9"/>
        </w:numPr>
        <w:rPr>
          <w:rFonts w:ascii="Arial" w:cs="Arial" w:eastAsia="Arial" w:hAnsi="Arial"/>
          <w:sz w:val="18"/>
          <w:szCs w:val="18"/>
          <w:color w:val="auto"/>
        </w:rPr>
      </w:pPr>
      <w:r>
        <w:rPr>
          <w:rFonts w:ascii="Arial" w:cs="Arial" w:eastAsia="Arial" w:hAnsi="Arial"/>
          <w:sz w:val="18"/>
          <w:szCs w:val="18"/>
          <w:color w:val="auto"/>
        </w:rPr>
        <w:t>Sole power to vote or direct the vote: 2,610,816 shares</w:t>
      </w:r>
    </w:p>
    <w:p>
      <w:pPr>
        <w:spacing w:after="0" w:line="225" w:lineRule="exact"/>
        <w:rPr>
          <w:rFonts w:ascii="Arial" w:cs="Arial" w:eastAsia="Arial" w:hAnsi="Arial"/>
          <w:sz w:val="18"/>
          <w:szCs w:val="18"/>
          <w:color w:val="auto"/>
        </w:rPr>
      </w:pPr>
    </w:p>
    <w:p>
      <w:pPr>
        <w:ind w:left="860" w:hanging="562"/>
        <w:spacing w:after="0"/>
        <w:tabs>
          <w:tab w:leader="none" w:pos="860" w:val="left"/>
        </w:tabs>
        <w:numPr>
          <w:ilvl w:val="0"/>
          <w:numId w:val="9"/>
        </w:numPr>
        <w:rPr>
          <w:rFonts w:ascii="Arial" w:cs="Arial" w:eastAsia="Arial" w:hAnsi="Arial"/>
          <w:sz w:val="18"/>
          <w:szCs w:val="18"/>
          <w:color w:val="auto"/>
        </w:rPr>
      </w:pPr>
      <w:r>
        <w:rPr>
          <w:rFonts w:ascii="Arial" w:cs="Arial" w:eastAsia="Arial" w:hAnsi="Arial"/>
          <w:sz w:val="18"/>
          <w:szCs w:val="18"/>
          <w:color w:val="auto"/>
        </w:rPr>
        <w:t>Shared power to vote or direct the vote: 0</w:t>
      </w:r>
    </w:p>
    <w:p>
      <w:pPr>
        <w:spacing w:after="0" w:line="225" w:lineRule="exact"/>
        <w:rPr>
          <w:rFonts w:ascii="Arial" w:cs="Arial" w:eastAsia="Arial" w:hAnsi="Arial"/>
          <w:sz w:val="18"/>
          <w:szCs w:val="18"/>
          <w:color w:val="auto"/>
        </w:rPr>
      </w:pPr>
    </w:p>
    <w:p>
      <w:pPr>
        <w:ind w:left="860" w:hanging="562"/>
        <w:spacing w:after="0"/>
        <w:tabs>
          <w:tab w:leader="none" w:pos="860" w:val="left"/>
        </w:tabs>
        <w:numPr>
          <w:ilvl w:val="0"/>
          <w:numId w:val="9"/>
        </w:numPr>
        <w:rPr>
          <w:rFonts w:ascii="Arial" w:cs="Arial" w:eastAsia="Arial" w:hAnsi="Arial"/>
          <w:sz w:val="18"/>
          <w:szCs w:val="18"/>
          <w:color w:val="auto"/>
        </w:rPr>
      </w:pPr>
      <w:r>
        <w:rPr>
          <w:rFonts w:ascii="Arial" w:cs="Arial" w:eastAsia="Arial" w:hAnsi="Arial"/>
          <w:sz w:val="18"/>
          <w:szCs w:val="18"/>
          <w:color w:val="auto"/>
        </w:rPr>
        <w:t>Sole power to dispose or to direct the disposition of: 2,610,816 shares</w:t>
      </w:r>
    </w:p>
    <w:p>
      <w:pPr>
        <w:spacing w:after="0" w:line="225" w:lineRule="exact"/>
        <w:rPr>
          <w:rFonts w:ascii="Arial" w:cs="Arial" w:eastAsia="Arial" w:hAnsi="Arial"/>
          <w:sz w:val="18"/>
          <w:szCs w:val="18"/>
          <w:color w:val="auto"/>
        </w:rPr>
      </w:pPr>
    </w:p>
    <w:p>
      <w:pPr>
        <w:ind w:left="860" w:hanging="562"/>
        <w:spacing w:after="0"/>
        <w:tabs>
          <w:tab w:leader="none" w:pos="860" w:val="left"/>
        </w:tabs>
        <w:numPr>
          <w:ilvl w:val="0"/>
          <w:numId w:val="9"/>
        </w:numPr>
        <w:rPr>
          <w:rFonts w:ascii="Arial" w:cs="Arial" w:eastAsia="Arial" w:hAnsi="Arial"/>
          <w:sz w:val="18"/>
          <w:szCs w:val="18"/>
          <w:color w:val="auto"/>
        </w:rPr>
      </w:pPr>
      <w:r>
        <w:rPr>
          <w:rFonts w:ascii="Arial" w:cs="Arial" w:eastAsia="Arial" w:hAnsi="Arial"/>
          <w:sz w:val="18"/>
          <w:szCs w:val="18"/>
          <w:color w:val="auto"/>
        </w:rPr>
        <w:t>Shared power to dispose or to direct the disposition of: 0</w:t>
      </w:r>
    </w:p>
    <w:p>
      <w:pPr>
        <w:spacing w:after="0" w:line="221" w:lineRule="exact"/>
        <w:rPr>
          <w:sz w:val="20"/>
          <w:szCs w:val="20"/>
          <w:color w:val="auto"/>
        </w:rPr>
      </w:pPr>
    </w:p>
    <w:p>
      <w:pPr>
        <w:spacing w:after="0"/>
        <w:tabs>
          <w:tab w:leader="none" w:pos="68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6"/>
          <w:szCs w:val="16"/>
          <w:b w:val="1"/>
          <w:bCs w:val="1"/>
          <w:color w:val="auto"/>
        </w:rPr>
        <w:t>Ownership of Five Percent or Less of a Class.</w:t>
      </w:r>
    </w:p>
    <w:p>
      <w:pPr>
        <w:spacing w:after="0" w:line="229" w:lineRule="exact"/>
        <w:rPr>
          <w:sz w:val="20"/>
          <w:szCs w:val="20"/>
          <w:color w:val="auto"/>
        </w:rPr>
      </w:pPr>
    </w:p>
    <w:p>
      <w:pPr>
        <w:ind w:left="700" w:right="180"/>
        <w:spacing w:after="0" w:line="233" w:lineRule="exact"/>
        <w:rPr>
          <w:sz w:val="20"/>
          <w:szCs w:val="20"/>
          <w:color w:val="auto"/>
        </w:rPr>
      </w:pPr>
      <w:r>
        <w:rPr>
          <w:rFonts w:ascii="Arial" w:cs="Arial" w:eastAsia="Arial" w:hAnsi="Arial"/>
          <w:sz w:val="18"/>
          <w:szCs w:val="18"/>
          <w:color w:val="auto"/>
        </w:rPr>
        <w:t xml:space="preserve">If this statement is being filed to report the fact that as of the date hereof the reporting person had ceased to be the beneficial owner of more than 5 percent of the class of securities, check the following </w:t>
      </w:r>
      <w:r>
        <w:rPr>
          <w:rFonts w:ascii="MS PGothic" w:cs="MS PGothic" w:eastAsia="MS PGothic" w:hAnsi="MS PGothic"/>
          <w:sz w:val="18"/>
          <w:szCs w:val="18"/>
          <w:color w:val="auto"/>
        </w:rPr>
        <w:t>☐</w:t>
      </w:r>
      <w:r>
        <w:rPr>
          <w:rFonts w:ascii="Arial" w:cs="Arial" w:eastAsia="Arial" w:hAnsi="Arial"/>
          <w:sz w:val="18"/>
          <w:szCs w:val="18"/>
          <w:color w:val="auto"/>
        </w:rPr>
        <w:t>.</w:t>
      </w:r>
    </w:p>
    <w:p>
      <w:pPr>
        <w:spacing w:after="0" w:line="179" w:lineRule="exact"/>
        <w:rPr>
          <w:sz w:val="20"/>
          <w:szCs w:val="20"/>
          <w:color w:val="auto"/>
        </w:rPr>
      </w:pPr>
    </w:p>
    <w:p>
      <w:pPr>
        <w:spacing w:after="0"/>
        <w:tabs>
          <w:tab w:leader="none" w:pos="68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6"/>
          <w:szCs w:val="16"/>
          <w:b w:val="1"/>
          <w:bCs w:val="1"/>
          <w:color w:val="auto"/>
        </w:rPr>
        <w:t>Ownership of More than Five Percent on Behalf of Another Person.</w:t>
      </w:r>
    </w:p>
    <w:p>
      <w:pPr>
        <w:spacing w:after="0" w:line="229" w:lineRule="exact"/>
        <w:rPr>
          <w:sz w:val="20"/>
          <w:szCs w:val="20"/>
          <w:color w:val="auto"/>
        </w:rPr>
      </w:pPr>
    </w:p>
    <w:p>
      <w:pPr>
        <w:ind w:left="70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ind w:left="700" w:right="380" w:hanging="688"/>
        <w:spacing w:after="0" w:line="282" w:lineRule="auto"/>
        <w:tabs>
          <w:tab w:leader="none" w:pos="680" w:val="left"/>
        </w:tabs>
        <w:rPr>
          <w:sz w:val="20"/>
          <w:szCs w:val="20"/>
          <w:color w:val="auto"/>
        </w:rPr>
      </w:pPr>
      <w:r>
        <w:rPr>
          <w:rFonts w:ascii="Arial" w:cs="Arial" w:eastAsia="Arial" w:hAnsi="Arial"/>
          <w:sz w:val="18"/>
          <w:szCs w:val="18"/>
          <w:b w:val="1"/>
          <w:bCs w:val="1"/>
          <w:color w:val="auto"/>
        </w:rPr>
        <w:t>Item 7.</w:t>
        <w:tab/>
        <w:t>Identification and Classification of the Subsidiary Which Acquired the Security Being Reported on by the Parent Holding Company or Control Person.</w:t>
      </w:r>
    </w:p>
    <w:p>
      <w:pPr>
        <w:spacing w:after="0" w:line="166" w:lineRule="exact"/>
        <w:rPr>
          <w:sz w:val="20"/>
          <w:szCs w:val="20"/>
          <w:color w:val="auto"/>
        </w:rPr>
      </w:pPr>
    </w:p>
    <w:p>
      <w:pPr>
        <w:ind w:left="70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tabs>
          <w:tab w:leader="none" w:pos="680" w:val="left"/>
        </w:tabs>
        <w:rPr>
          <w:sz w:val="20"/>
          <w:szCs w:val="20"/>
          <w:color w:val="auto"/>
        </w:rPr>
      </w:pPr>
      <w:r>
        <w:rPr>
          <w:rFonts w:ascii="Arial" w:cs="Arial" w:eastAsia="Arial" w:hAnsi="Arial"/>
          <w:sz w:val="18"/>
          <w:szCs w:val="18"/>
          <w:b w:val="1"/>
          <w:bCs w:val="1"/>
          <w:color w:val="auto"/>
        </w:rPr>
        <w:t>Item 8.</w:t>
      </w:r>
      <w:r>
        <w:rPr>
          <w:sz w:val="20"/>
          <w:szCs w:val="20"/>
          <w:color w:val="auto"/>
        </w:rPr>
        <w:tab/>
      </w:r>
      <w:r>
        <w:rPr>
          <w:rFonts w:ascii="Arial" w:cs="Arial" w:eastAsia="Arial" w:hAnsi="Arial"/>
          <w:sz w:val="16"/>
          <w:szCs w:val="16"/>
          <w:b w:val="1"/>
          <w:bCs w:val="1"/>
          <w:color w:val="auto"/>
        </w:rPr>
        <w:t>Identification and Classification of Members of the Group.</w:t>
      </w:r>
    </w:p>
    <w:p>
      <w:pPr>
        <w:spacing w:after="0" w:line="229" w:lineRule="exact"/>
        <w:rPr>
          <w:sz w:val="20"/>
          <w:szCs w:val="20"/>
          <w:color w:val="auto"/>
        </w:rPr>
      </w:pPr>
    </w:p>
    <w:p>
      <w:pPr>
        <w:ind w:left="70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tabs>
          <w:tab w:leader="none" w:pos="68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6"/>
          <w:szCs w:val="16"/>
          <w:b w:val="1"/>
          <w:bCs w:val="1"/>
          <w:color w:val="auto"/>
        </w:rPr>
        <w:t>Notice of Dissolution of Group.</w:t>
      </w:r>
    </w:p>
    <w:p>
      <w:pPr>
        <w:spacing w:after="0" w:line="229" w:lineRule="exact"/>
        <w:rPr>
          <w:sz w:val="20"/>
          <w:szCs w:val="20"/>
          <w:color w:val="auto"/>
        </w:rPr>
      </w:pPr>
    </w:p>
    <w:p>
      <w:pPr>
        <w:ind w:left="70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10. Certification.</w:t>
      </w:r>
    </w:p>
    <w:p>
      <w:pPr>
        <w:spacing w:after="0" w:line="229" w:lineRule="exact"/>
        <w:rPr>
          <w:sz w:val="20"/>
          <w:szCs w:val="20"/>
          <w:color w:val="auto"/>
        </w:rPr>
      </w:pPr>
    </w:p>
    <w:p>
      <w:pPr>
        <w:ind w:left="940" w:hanging="243"/>
        <w:spacing w:after="0"/>
        <w:tabs>
          <w:tab w:leader="none" w:pos="9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Not applicable.</w:t>
      </w:r>
    </w:p>
    <w:p>
      <w:pPr>
        <w:spacing w:after="0" w:line="225" w:lineRule="exact"/>
        <w:rPr>
          <w:rFonts w:ascii="Arial" w:cs="Arial" w:eastAsia="Arial" w:hAnsi="Arial"/>
          <w:sz w:val="18"/>
          <w:szCs w:val="18"/>
          <w:color w:val="auto"/>
        </w:rPr>
      </w:pPr>
    </w:p>
    <w:p>
      <w:pPr>
        <w:ind w:left="960" w:hanging="263"/>
        <w:spacing w:after="0"/>
        <w:tabs>
          <w:tab w:leader="none" w:pos="9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Not applicable.</w:t>
      </w:r>
    </w:p>
    <w:p>
      <w:pPr>
        <w:spacing w:after="0" w:line="225" w:lineRule="exact"/>
        <w:rPr>
          <w:rFonts w:ascii="Arial" w:cs="Arial" w:eastAsia="Arial" w:hAnsi="Arial"/>
          <w:sz w:val="18"/>
          <w:szCs w:val="18"/>
          <w:color w:val="auto"/>
        </w:rPr>
      </w:pPr>
    </w:p>
    <w:p>
      <w:pPr>
        <w:ind w:left="940" w:hanging="243"/>
        <w:spacing w:after="0"/>
        <w:tabs>
          <w:tab w:leader="none" w:pos="9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Not applicable.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426720</wp:posOffset>
            </wp:positionV>
            <wp:extent cx="724662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687" w:right="239" w:bottom="1440" w:gutter="0" w:footer="0" w:header="0"/>
        </w:sectPr>
      </w:pPr>
    </w:p>
    <w:bookmarkStart w:id="4" w:name="page5"/>
    <w:bookmarkEnd w:id="4"/>
    <w:tbl>
      <w:tblPr>
        <w:tblLayout w:type="fixed"/>
        <w:tblInd w:w="10" w:type="dxa"/>
        <w:tblCellMar>
          <w:top w:w="0" w:type="dxa"/>
          <w:left w:w="0" w:type="dxa"/>
          <w:bottom w:w="0" w:type="dxa"/>
          <w:right w:w="0" w:type="dxa"/>
        </w:tblCellMar>
      </w:tblPr>
      <w:tr>
        <w:trPr>
          <w:trHeight w:val="230"/>
        </w:trPr>
        <w:tc>
          <w:tcPr>
            <w:tcW w:w="4600" w:type="dxa"/>
            <w:vAlign w:val="bottom"/>
            <w:tcBorders>
              <w:top w:val="single" w:sz="8" w:color="auto"/>
              <w:left w:val="single" w:sz="8" w:color="auto"/>
              <w:bottom w:val="single" w:sz="8" w:color="auto"/>
              <w:right w:val="single" w:sz="8" w:color="auto"/>
            </w:tcBorders>
          </w:tcPr>
          <w:p>
            <w:pPr>
              <w:ind w:left="1400"/>
              <w:spacing w:after="0"/>
              <w:rPr>
                <w:sz w:val="20"/>
                <w:szCs w:val="20"/>
                <w:color w:val="auto"/>
              </w:rPr>
            </w:pPr>
            <w:r>
              <w:rPr>
                <w:rFonts w:ascii="Arial" w:cs="Arial" w:eastAsia="Arial" w:hAnsi="Arial"/>
                <w:sz w:val="18"/>
                <w:szCs w:val="18"/>
                <w:b w:val="1"/>
                <w:bCs w:val="1"/>
                <w:color w:val="auto"/>
              </w:rPr>
              <w:t>CUSIP No. M2239P109</w:t>
            </w:r>
          </w:p>
        </w:tc>
        <w:tc>
          <w:tcPr>
            <w:tcW w:w="2740" w:type="dxa"/>
            <w:vAlign w:val="bottom"/>
            <w:tcBorders>
              <w:right w:val="single" w:sz="8" w:color="auto"/>
            </w:tcBorders>
          </w:tcPr>
          <w:p>
            <w:pPr>
              <w:ind w:left="1200"/>
              <w:spacing w:after="0"/>
              <w:rPr>
                <w:sz w:val="20"/>
                <w:szCs w:val="20"/>
                <w:color w:val="auto"/>
              </w:rPr>
            </w:pPr>
            <w:r>
              <w:rPr>
                <w:rFonts w:ascii="Arial" w:cs="Arial" w:eastAsia="Arial" w:hAnsi="Arial"/>
                <w:sz w:val="18"/>
                <w:szCs w:val="18"/>
                <w:b w:val="1"/>
                <w:bCs w:val="1"/>
                <w:color w:val="auto"/>
              </w:rPr>
              <w:t>13G</w:t>
            </w:r>
          </w:p>
        </w:tc>
        <w:tc>
          <w:tcPr>
            <w:tcW w:w="4080" w:type="dxa"/>
            <w:vAlign w:val="bottom"/>
            <w:tcBorders>
              <w:top w:val="single" w:sz="8" w:color="auto"/>
              <w:bottom w:val="single" w:sz="8" w:color="auto"/>
              <w:right w:val="single" w:sz="8" w:color="auto"/>
            </w:tcBorders>
          </w:tcPr>
          <w:p>
            <w:pPr>
              <w:ind w:left="1360"/>
              <w:spacing w:after="0"/>
              <w:rPr>
                <w:sz w:val="20"/>
                <w:szCs w:val="20"/>
                <w:color w:val="auto"/>
              </w:rPr>
            </w:pPr>
            <w:r>
              <w:rPr>
                <w:rFonts w:ascii="Arial" w:cs="Arial" w:eastAsia="Arial" w:hAnsi="Arial"/>
                <w:sz w:val="18"/>
                <w:szCs w:val="18"/>
                <w:b w:val="1"/>
                <w:bCs w:val="1"/>
                <w:color w:val="auto"/>
              </w:rPr>
              <w:t>Page 5 of 5 Pages</w:t>
            </w:r>
          </w:p>
        </w:tc>
      </w:tr>
    </w:tbl>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6"/>
          <w:szCs w:val="16"/>
          <w:color w:val="auto"/>
        </w:rPr>
        <w:t>After reasonable inquiry and to the best of my knowledge and belief, I certify that the information set forth in this statement is true, complete and correct.</w:t>
      </w:r>
    </w:p>
    <w:p>
      <w:pPr>
        <w:spacing w:after="0" w:line="248" w:lineRule="exact"/>
        <w:rPr>
          <w:sz w:val="20"/>
          <w:szCs w:val="20"/>
          <w:color w:val="auto"/>
        </w:rPr>
      </w:pPr>
    </w:p>
    <w:p>
      <w:pPr>
        <w:ind w:left="5520"/>
        <w:spacing w:after="0"/>
        <w:rPr>
          <w:sz w:val="20"/>
          <w:szCs w:val="20"/>
          <w:color w:val="auto"/>
        </w:rPr>
      </w:pPr>
      <w:r>
        <w:rPr>
          <w:rFonts w:ascii="Arial" w:cs="Arial" w:eastAsia="Arial" w:hAnsi="Arial"/>
          <w:sz w:val="18"/>
          <w:szCs w:val="18"/>
          <w:u w:val="single" w:color="auto"/>
          <w:color w:val="auto"/>
        </w:rPr>
        <w:t>February 17, 2015</w:t>
      </w:r>
    </w:p>
    <w:p>
      <w:pPr>
        <w:spacing w:after="0" w:line="23" w:lineRule="exact"/>
        <w:rPr>
          <w:sz w:val="20"/>
          <w:szCs w:val="20"/>
          <w:color w:val="auto"/>
        </w:rPr>
      </w:pPr>
    </w:p>
    <w:p>
      <w:pPr>
        <w:ind w:left="5520"/>
        <w:spacing w:after="0"/>
        <w:rPr>
          <w:sz w:val="20"/>
          <w:szCs w:val="20"/>
          <w:color w:val="auto"/>
        </w:rPr>
      </w:pPr>
      <w:r>
        <w:rPr>
          <w:rFonts w:ascii="Arial" w:cs="Arial" w:eastAsia="Arial" w:hAnsi="Arial"/>
          <w:sz w:val="18"/>
          <w:szCs w:val="18"/>
          <w:color w:val="auto"/>
        </w:rPr>
        <w:t>(Date)</w:t>
      </w:r>
    </w:p>
    <w:p>
      <w:pPr>
        <w:spacing w:after="0" w:line="211" w:lineRule="exact"/>
        <w:rPr>
          <w:sz w:val="20"/>
          <w:szCs w:val="20"/>
          <w:color w:val="auto"/>
        </w:rPr>
      </w:pPr>
    </w:p>
    <w:p>
      <w:pPr>
        <w:ind w:left="5520"/>
        <w:spacing w:after="0"/>
        <w:rPr>
          <w:sz w:val="20"/>
          <w:szCs w:val="20"/>
          <w:color w:val="auto"/>
        </w:rPr>
      </w:pPr>
      <w:r>
        <w:rPr>
          <w:rFonts w:ascii="Arial" w:cs="Arial" w:eastAsia="Arial" w:hAnsi="Arial"/>
          <w:sz w:val="18"/>
          <w:szCs w:val="18"/>
          <w:color w:val="auto"/>
        </w:rPr>
        <w:t>/s/ Udi Gilboa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3503930</wp:posOffset>
            </wp:positionH>
            <wp:positionV relativeFrom="paragraph">
              <wp:posOffset>-10160</wp:posOffset>
            </wp:positionV>
            <wp:extent cx="190500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905000" cy="8890"/>
                    </a:xfrm>
                    <a:prstGeom prst="rect">
                      <a:avLst/>
                    </a:prstGeom>
                    <a:noFill/>
                  </pic:spPr>
                </pic:pic>
              </a:graphicData>
            </a:graphic>
          </wp:anchor>
        </w:drawing>
      </w:r>
    </w:p>
    <w:p>
      <w:pPr>
        <w:spacing w:after="0" w:line="3" w:lineRule="exact"/>
        <w:rPr>
          <w:sz w:val="20"/>
          <w:szCs w:val="20"/>
          <w:color w:val="auto"/>
        </w:rPr>
      </w:pPr>
    </w:p>
    <w:p>
      <w:pPr>
        <w:ind w:left="5520"/>
        <w:spacing w:after="0"/>
        <w:rPr>
          <w:sz w:val="20"/>
          <w:szCs w:val="20"/>
          <w:color w:val="auto"/>
        </w:rPr>
      </w:pPr>
      <w:r>
        <w:rPr>
          <w:rFonts w:ascii="Arial" w:cs="Arial" w:eastAsia="Arial" w:hAnsi="Arial"/>
          <w:sz w:val="18"/>
          <w:szCs w:val="18"/>
          <w:color w:val="auto"/>
        </w:rPr>
        <w:t>(Signature)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Attention. </w:t>
      </w:r>
      <w:r>
        <w:rPr>
          <w:rFonts w:ascii="Arial" w:cs="Arial" w:eastAsia="Arial" w:hAnsi="Arial"/>
          <w:sz w:val="18"/>
          <w:szCs w:val="18"/>
          <w:color w:val="auto"/>
        </w:rPr>
        <w:t>Intentional misstatements or omissions of fact constitute Federal criminal violations (s</w:t>
      </w:r>
      <w:r>
        <w:rPr>
          <w:rFonts w:ascii="Arial" w:cs="Arial" w:eastAsia="Arial" w:hAnsi="Arial"/>
          <w:sz w:val="18"/>
          <w:szCs w:val="18"/>
          <w:i w:val="1"/>
          <w:iCs w:val="1"/>
          <w:color w:val="auto"/>
        </w:rPr>
        <w:t xml:space="preserve">ee </w:t>
      </w:r>
      <w:r>
        <w:rPr>
          <w:rFonts w:ascii="Arial" w:cs="Arial" w:eastAsia="Arial" w:hAnsi="Arial"/>
          <w:sz w:val="18"/>
          <w:szCs w:val="18"/>
          <w:color w:val="auto"/>
        </w:rPr>
        <w:t>18 U.S.C. 1001).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426720</wp:posOffset>
            </wp:positionV>
            <wp:extent cx="724662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sectPr>
      <w:pgSz w:w="11900" w:h="16838" w:orient="portrait"/>
      <w:cols w:equalWidth="0" w:num="1">
        <w:col w:w="11420"/>
      </w:cols>
      <w:pgMar w:left="240" w:top="687"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D1B58BA"/>
    <w:multiLevelType w:val="hybridMultilevel"/>
    <w:lvl w:ilvl="0">
      <w:lvlJc w:val="left"/>
      <w:lvlText w:val="*"/>
      <w:numFmt w:val="bullet"/>
      <w:start w:val="1"/>
    </w:lvl>
    <w:lvl w:ilvl="1">
      <w:lvlJc w:val="left"/>
      <w:lvlText w:val="X"/>
      <w:numFmt w:val="bullet"/>
      <w:start w:val="1"/>
    </w:lvl>
  </w:abstractNum>
  <w:abstractNum w:abstractNumId="1">
    <w:nsid w:val="507ED7AB"/>
    <w:multiLevelType w:val="hybridMultilevel"/>
    <w:lvl w:ilvl="0">
      <w:lvlJc w:val="left"/>
      <w:lvlText w:val="%1."/>
      <w:numFmt w:val="decimal"/>
      <w:start w:val="1"/>
    </w:lvl>
    <w:lvl w:ilvl="1">
      <w:lvlJc w:val="left"/>
      <w:lvlText w:val="(%2)"/>
      <w:numFmt w:val="lowerLetter"/>
      <w:start w:val="1"/>
    </w:lvl>
    <w:lvl w:ilvl="2">
      <w:lvlJc w:val="left"/>
      <w:lvlText w:val="%3."/>
      <w:numFmt w:val="decimal"/>
      <w:start w:val="5"/>
    </w:lvl>
  </w:abstractNum>
  <w:abstractNum w:abstractNumId="2">
    <w:nsid w:val="2EB141F2"/>
    <w:multiLevelType w:val="hybridMultilevel"/>
    <w:lvl w:ilvl="0">
      <w:lvlJc w:val="left"/>
      <w:lvlText w:val="%1."/>
      <w:numFmt w:val="decimal"/>
      <w:start w:val="9"/>
    </w:lvl>
  </w:abstractNum>
  <w:abstractNum w:abstractNumId="3">
    <w:nsid w:val="41B71EFB"/>
    <w:multiLevelType w:val="hybridMultilevel"/>
    <w:lvl w:ilvl="0">
      <w:lvlJc w:val="left"/>
      <w:lvlText w:val="%1."/>
      <w:numFmt w:val="decimal"/>
      <w:start w:val="11"/>
    </w:lvl>
  </w:abstractNum>
  <w:abstractNum w:abstractNumId="4">
    <w:nsid w:val="79E2A9E3"/>
    <w:multiLevelType w:val="hybridMultilevel"/>
    <w:lvl w:ilvl="0">
      <w:lvlJc w:val="left"/>
      <w:lvlText w:val="(%1)"/>
      <w:numFmt w:val="lowerLetter"/>
      <w:start w:val="1"/>
    </w:lvl>
  </w:abstractNum>
  <w:abstractNum w:abstractNumId="5">
    <w:nsid w:val="7545E146"/>
    <w:multiLevelType w:val="hybridMultilevel"/>
    <w:lvl w:ilvl="0">
      <w:lvlJc w:val="left"/>
      <w:lvlText w:val="(%1)"/>
      <w:numFmt w:val="lowerLetter"/>
      <w:start w:val="10"/>
    </w:lvl>
  </w:abstractNum>
  <w:abstractNum w:abstractNumId="6">
    <w:nsid w:val="515F007C"/>
    <w:multiLevelType w:val="hybridMultilevel"/>
    <w:lvl w:ilvl="0">
      <w:lvlJc w:val="left"/>
      <w:lvlText w:val="(%1)"/>
      <w:numFmt w:val="lowerLetter"/>
      <w:start w:val="1"/>
    </w:lvl>
  </w:abstractNum>
  <w:abstractNum w:abstractNumId="7">
    <w:nsid w:val="5BD062C2"/>
    <w:multiLevelType w:val="hybridMultilevel"/>
    <w:lvl w:ilvl="0">
      <w:lvlJc w:val="left"/>
      <w:lvlText w:val="(%1)"/>
      <w:numFmt w:val="lowerLetter"/>
      <w:start w:val="3"/>
    </w:lvl>
  </w:abstractNum>
  <w:abstractNum w:abstractNumId="8">
    <w:nsid w:val="12200854"/>
    <w:multiLevelType w:val="hybridMultilevel"/>
    <w:lvl w:ilvl="0">
      <w:lvlJc w:val="left"/>
      <w:lvlText w:val="(%1)"/>
      <w:numFmt w:val="lowerRoman"/>
      <w:start w:val="1"/>
    </w:lvl>
  </w:abstractNum>
  <w:abstractNum w:abstractNumId="9">
    <w:nsid w:val="4DB127F8"/>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2019-12-09T01:58:57Z</dcterms:created>
  <dcterms:modified xsi:type="dcterms:W3CDTF">2019-12-09T01:58:57Z</dcterms:modified>
</cp:coreProperties>
</file>