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M2239P109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(CINS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6,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40"/>
        </w:trPr>
        <w:tc>
          <w:tcPr>
            <w:tcW w:w="2880" w:type="dxa"/>
            <w:vAlign w:val="bottom"/>
            <w:tcBorders>
              <w:bottom w:val="single" w:sz="8" w:color="auto"/>
            </w:tcBorders>
          </w:tcPr>
          <w:p>
            <w:pPr>
              <w:spacing w:after="0"/>
              <w:rPr>
                <w:sz w:val="3"/>
                <w:szCs w:val="3"/>
                <w:color w:val="auto"/>
              </w:rPr>
            </w:pPr>
          </w:p>
        </w:tc>
        <w:tc>
          <w:tcPr>
            <w:tcW w:w="3100" w:type="dxa"/>
            <w:vAlign w:val="bottom"/>
            <w:vMerge w:val="restart"/>
          </w:tcPr>
          <w:p>
            <w:pPr>
              <w:ind w:left="2560"/>
              <w:spacing w:after="0"/>
              <w:rPr>
                <w:sz w:val="20"/>
                <w:szCs w:val="20"/>
                <w:color w:val="auto"/>
              </w:rPr>
            </w:pPr>
            <w:r>
              <w:rPr>
                <w:rFonts w:ascii="Arial" w:cs="Arial" w:eastAsia="Arial" w:hAnsi="Arial"/>
                <w:sz w:val="29"/>
                <w:szCs w:val="29"/>
                <w:b w:val="1"/>
                <w:bCs w:val="1"/>
                <w:color w:val="auto"/>
                <w:w w:val="94"/>
              </w:rPr>
              <w:t>13G</w:t>
            </w:r>
          </w:p>
        </w:tc>
        <w:tc>
          <w:tcPr>
            <w:tcW w:w="0" w:type="dxa"/>
            <w:vAlign w:val="bottom"/>
          </w:tcPr>
          <w:p>
            <w:pPr>
              <w:spacing w:after="0"/>
              <w:rPr>
                <w:sz w:val="1"/>
                <w:szCs w:val="1"/>
                <w:color w:val="auto"/>
              </w:rPr>
            </w:pPr>
          </w:p>
        </w:tc>
      </w:tr>
      <w:tr>
        <w:trPr>
          <w:trHeight w:val="318"/>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CINS No. M2239P109</w:t>
            </w:r>
          </w:p>
        </w:tc>
        <w:tc>
          <w:tcPr>
            <w:tcW w:w="3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20" w:right="2540" w:hanging="474"/>
        <w:spacing w:after="0" w:line="383" w:lineRule="auto"/>
        <w:tabs>
          <w:tab w:leader="none" w:pos="8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NAMES OF REPORTING PERSONS </w:t>
      </w:r>
      <w:r>
        <w:rPr>
          <w:rFonts w:ascii="Arial" w:cs="Arial" w:eastAsia="Arial" w:hAnsi="Arial"/>
          <w:sz w:val="17"/>
          <w:szCs w:val="17"/>
          <w:color w:val="auto"/>
        </w:rPr>
        <w:t>Great Point Partners, LLC</w:t>
      </w:r>
    </w:p>
    <w:p>
      <w:pPr>
        <w:spacing w:after="0" w:line="1" w:lineRule="exact"/>
        <w:rPr>
          <w:rFonts w:ascii="Arial" w:cs="Arial" w:eastAsia="Arial" w:hAnsi="Arial"/>
          <w:sz w:val="17"/>
          <w:szCs w:val="17"/>
          <w:b w:val="1"/>
          <w:bCs w:val="1"/>
          <w:color w:val="auto"/>
        </w:rPr>
      </w:pPr>
    </w:p>
    <w:p>
      <w:pPr>
        <w:ind w:left="820" w:right="40"/>
        <w:spacing w:after="0" w:line="387" w:lineRule="auto"/>
        <w:rPr>
          <w:rFonts w:ascii="Arial" w:cs="Arial" w:eastAsia="Arial" w:hAnsi="Arial"/>
          <w:sz w:val="17"/>
          <w:szCs w:val="17"/>
          <w:b w:val="1"/>
          <w:bCs w:val="1"/>
          <w:color w:val="auto"/>
        </w:rPr>
      </w:pPr>
      <w:r>
        <w:rPr>
          <w:rFonts w:ascii="Arial" w:cs="Arial" w:eastAsia="Arial" w:hAnsi="Arial"/>
          <w:sz w:val="18"/>
          <w:szCs w:val="18"/>
          <w:color w:val="auto"/>
        </w:rPr>
        <w:t>I.R.S. IDENTIFICATION NO. OF ABOVE PERSON (ENTITIES ONLY): 37-1475292</w:t>
      </w:r>
    </w:p>
    <w:p>
      <w:pPr>
        <w:spacing w:after="0" w:line="71" w:lineRule="exact"/>
        <w:rPr>
          <w:rFonts w:ascii="Arial" w:cs="Arial" w:eastAsia="Arial" w:hAnsi="Arial"/>
          <w:sz w:val="17"/>
          <w:szCs w:val="17"/>
          <w:b w:val="1"/>
          <w:bCs w:val="1"/>
          <w:color w:val="auto"/>
        </w:rPr>
      </w:pPr>
    </w:p>
    <w:p>
      <w:pPr>
        <w:ind w:left="820" w:hanging="474"/>
        <w:spacing w:after="0"/>
        <w:tabs>
          <w:tab w:leader="none" w:pos="8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94" w:lineRule="exact"/>
        <w:rPr>
          <w:rFonts w:ascii="Arial" w:cs="Arial" w:eastAsia="Arial" w:hAnsi="Arial"/>
          <w:sz w:val="18"/>
          <w:szCs w:val="18"/>
          <w:b w:val="1"/>
          <w:bCs w:val="1"/>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25" w:lineRule="exact"/>
        <w:rPr>
          <w:rFonts w:ascii="Arial" w:cs="Arial" w:eastAsia="Arial" w:hAnsi="Arial"/>
          <w:sz w:val="18"/>
          <w:szCs w:val="18"/>
          <w:color w:val="auto"/>
        </w:rPr>
      </w:pPr>
    </w:p>
    <w:p>
      <w:pPr>
        <w:ind w:left="1620" w:hanging="802"/>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21" w:lineRule="exact"/>
        <w:rPr>
          <w:rFonts w:ascii="Arial" w:cs="Arial" w:eastAsia="Arial" w:hAnsi="Arial"/>
          <w:sz w:val="18"/>
          <w:szCs w:val="18"/>
          <w:color w:val="auto"/>
        </w:rPr>
      </w:pPr>
    </w:p>
    <w:p>
      <w:pPr>
        <w:ind w:left="820" w:hanging="474"/>
        <w:spacing w:after="0"/>
        <w:tabs>
          <w:tab w:leader="none" w:pos="8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820" w:right="1560" w:hanging="474"/>
        <w:spacing w:after="0" w:line="391" w:lineRule="auto"/>
        <w:tabs>
          <w:tab w:leader="none" w:pos="8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27" w:lineRule="exact"/>
        <w:rPr>
          <w:rFonts w:ascii="Arial" w:cs="Arial" w:eastAsia="Arial" w:hAnsi="Arial"/>
          <w:sz w:val="18"/>
          <w:szCs w:val="18"/>
          <w:b w:val="1"/>
          <w:bCs w:val="1"/>
          <w:color w:val="auto"/>
        </w:rPr>
      </w:pPr>
    </w:p>
    <w:p>
      <w:pPr>
        <w:ind w:left="3340" w:hanging="368"/>
        <w:spacing w:after="0"/>
        <w:tabs>
          <w:tab w:leader="none" w:pos="3340" w:val="left"/>
        </w:tabs>
        <w:numPr>
          <w:ilvl w:val="2"/>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-839470</wp:posOffset>
            </wp:positionV>
            <wp:extent cx="724662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5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2220" w:type="dxa"/>
            <w:vAlign w:val="bottom"/>
          </w:tcPr>
          <w:p>
            <w:pPr>
              <w:jc w:val="center"/>
              <w:ind w:right="230"/>
              <w:spacing w:after="0"/>
              <w:rPr>
                <w:sz w:val="20"/>
                <w:szCs w:val="20"/>
                <w:color w:val="auto"/>
              </w:rPr>
            </w:pPr>
            <w:r>
              <w:rPr>
                <w:rFonts w:ascii="Arial" w:cs="Arial" w:eastAsia="Arial" w:hAnsi="Arial"/>
                <w:sz w:val="18"/>
                <w:szCs w:val="18"/>
                <w:b w:val="1"/>
                <w:bCs w:val="1"/>
                <w:color w:val="auto"/>
                <w:w w:val="98"/>
              </w:rPr>
              <w:t>NUMBER OF SHARES</w:t>
            </w:r>
          </w:p>
        </w:tc>
        <w:tc>
          <w:tcPr>
            <w:tcW w:w="5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w:t>
            </w:r>
          </w:p>
        </w:tc>
        <w:tc>
          <w:tcPr>
            <w:tcW w:w="28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2"/>
        </w:trPr>
        <w:tc>
          <w:tcPr>
            <w:tcW w:w="222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rPr>
              <w:t>BENEFICIALLY</w:t>
            </w:r>
          </w:p>
        </w:tc>
        <w:tc>
          <w:tcPr>
            <w:tcW w:w="58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22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2220" w:type="dxa"/>
            <w:vAlign w:val="bottom"/>
          </w:tcPr>
          <w:p>
            <w:pPr>
              <w:jc w:val="center"/>
              <w:ind w:right="250"/>
              <w:spacing w:after="0"/>
              <w:rPr>
                <w:sz w:val="20"/>
                <w:szCs w:val="20"/>
                <w:color w:val="auto"/>
              </w:rPr>
            </w:pPr>
            <w:r>
              <w:rPr>
                <w:rFonts w:ascii="Arial" w:cs="Arial" w:eastAsia="Arial" w:hAnsi="Arial"/>
                <w:sz w:val="18"/>
                <w:szCs w:val="18"/>
                <w:b w:val="1"/>
                <w:bCs w:val="1"/>
                <w:color w:val="auto"/>
              </w:rPr>
              <w:t>OWNED BY EACH</w:t>
            </w:r>
          </w:p>
        </w:tc>
        <w:tc>
          <w:tcPr>
            <w:tcW w:w="5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28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03"/>
        </w:trPr>
        <w:tc>
          <w:tcPr>
            <w:tcW w:w="2220" w:type="dxa"/>
            <w:vAlign w:val="bottom"/>
            <w:vMerge w:val="restart"/>
          </w:tcPr>
          <w:p>
            <w:pPr>
              <w:jc w:val="center"/>
              <w:ind w:right="270"/>
              <w:spacing w:after="0"/>
              <w:rPr>
                <w:sz w:val="20"/>
                <w:szCs w:val="20"/>
                <w:color w:val="auto"/>
              </w:rPr>
            </w:pPr>
            <w:r>
              <w:rPr>
                <w:rFonts w:ascii="Arial" w:cs="Arial" w:eastAsia="Arial" w:hAnsi="Arial"/>
                <w:sz w:val="18"/>
                <w:szCs w:val="18"/>
                <w:b w:val="1"/>
                <w:bCs w:val="1"/>
                <w:color w:val="auto"/>
                <w:w w:val="98"/>
              </w:rPr>
              <w:t>REPORTING PERSON</w:t>
            </w:r>
          </w:p>
        </w:tc>
        <w:tc>
          <w:tcPr>
            <w:tcW w:w="58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2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220" w:type="dxa"/>
            <w:vAlign w:val="bottom"/>
          </w:tcPr>
          <w:p>
            <w:pPr>
              <w:jc w:val="center"/>
              <w:ind w:right="210"/>
              <w:spacing w:after="0"/>
              <w:rPr>
                <w:sz w:val="20"/>
                <w:szCs w:val="20"/>
                <w:color w:val="auto"/>
              </w:rPr>
            </w:pPr>
            <w:r>
              <w:rPr>
                <w:rFonts w:ascii="Arial" w:cs="Arial" w:eastAsia="Arial" w:hAnsi="Arial"/>
                <w:sz w:val="18"/>
                <w:szCs w:val="18"/>
                <w:b w:val="1"/>
                <w:bCs w:val="1"/>
                <w:color w:val="auto"/>
              </w:rPr>
              <w:t>WITH</w:t>
            </w:r>
          </w:p>
        </w:tc>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20" w:type="dxa"/>
            <w:vAlign w:val="bottom"/>
          </w:tcPr>
          <w:p>
            <w:pPr>
              <w:spacing w:after="0"/>
              <w:rPr>
                <w:sz w:val="24"/>
                <w:szCs w:val="24"/>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w w:val="99"/>
              </w:rPr>
              <w:t>SHARED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right"/>
        <w:ind w:right="960"/>
        <w:spacing w:after="0"/>
        <w:rPr>
          <w:sz w:val="20"/>
          <w:szCs w:val="20"/>
          <w:color w:val="auto"/>
        </w:rPr>
      </w:pPr>
      <w:r>
        <w:rPr>
          <w:rFonts w:ascii="Arial" w:cs="Arial" w:eastAsia="Arial" w:hAnsi="Arial"/>
          <w:sz w:val="18"/>
          <w:szCs w:val="18"/>
          <w:color w:val="auto"/>
        </w:rPr>
        <w:t>Page 2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-139065</wp:posOffset>
            </wp:positionV>
            <wp:extent cx="1818005"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800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1,124,186</w:t>
      </w: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1,124,186</w:t>
      </w:r>
    </w:p>
    <w:p>
      <w:pPr>
        <w:spacing w:after="0" w:line="200" w:lineRule="exact"/>
        <w:rPr>
          <w:sz w:val="20"/>
          <w:szCs w:val="20"/>
          <w:color w:val="auto"/>
        </w:rPr>
      </w:pPr>
    </w:p>
    <w:p>
      <w:pPr>
        <w:sectPr>
          <w:pgSz w:w="11900" w:h="16838" w:orient="portrait"/>
          <w:cols w:equalWidth="0" w:num="2">
            <w:col w:w="6300" w:space="720"/>
            <w:col w:w="4080"/>
          </w:cols>
          <w:pgMar w:left="240" w:top="383" w:right="559" w:bottom="1440" w:gutter="0" w:footer="0" w:header="0"/>
        </w:sectPr>
      </w:pPr>
    </w:p>
    <w:p>
      <w:pPr>
        <w:spacing w:after="0" w:line="21" w:lineRule="exact"/>
        <w:rPr>
          <w:sz w:val="20"/>
          <w:szCs w:val="20"/>
          <w:color w:val="auto"/>
        </w:rPr>
      </w:pPr>
    </w:p>
    <w:p>
      <w:pPr>
        <w:ind w:left="1460" w:right="3360" w:hanging="1114"/>
        <w:spacing w:after="0" w:line="391" w:lineRule="auto"/>
        <w:tabs>
          <w:tab w:leader="none" w:pos="81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1,124,186</w:t>
      </w:r>
    </w:p>
    <w:p>
      <w:pPr>
        <w:spacing w:after="0" w:line="68" w:lineRule="exact"/>
        <w:rPr>
          <w:sz w:val="20"/>
          <w:szCs w:val="20"/>
          <w:color w:val="auto"/>
        </w:rPr>
      </w:pPr>
    </w:p>
    <w:p>
      <w:pPr>
        <w:ind w:left="300"/>
        <w:spacing w:after="0"/>
        <w:tabs>
          <w:tab w:leader="none" w:pos="800" w:val="left"/>
          <w:tab w:leader="none" w:pos="106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7"/>
          <w:szCs w:val="17"/>
          <w:color w:val="auto"/>
        </w:rPr>
        <w:t>o</w:t>
      </w:r>
    </w:p>
    <w:p>
      <w:pPr>
        <w:spacing w:after="0" w:line="225" w:lineRule="exact"/>
        <w:rPr>
          <w:sz w:val="20"/>
          <w:szCs w:val="20"/>
          <w:color w:val="auto"/>
        </w:rPr>
      </w:pPr>
    </w:p>
    <w:p>
      <w:pPr>
        <w:ind w:left="1460" w:right="4980" w:hanging="1154"/>
        <w:spacing w:after="0" w:line="340" w:lineRule="auto"/>
        <w:tabs>
          <w:tab w:leader="none" w:pos="81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5.56%</w:t>
      </w:r>
      <w:r>
        <w:rPr>
          <w:rFonts w:ascii="Arial" w:cs="Arial" w:eastAsia="Arial" w:hAnsi="Arial"/>
          <w:sz w:val="30"/>
          <w:szCs w:val="30"/>
          <w:color w:val="auto"/>
          <w:vertAlign w:val="superscript"/>
        </w:rPr>
        <w:t>1</w:t>
      </w:r>
    </w:p>
    <w:p>
      <w:pPr>
        <w:spacing w:after="0" w:line="1" w:lineRule="exact"/>
        <w:rPr>
          <w:rFonts w:ascii="Arial" w:cs="Arial" w:eastAsia="Arial" w:hAnsi="Arial"/>
          <w:sz w:val="18"/>
          <w:szCs w:val="18"/>
          <w:b w:val="1"/>
          <w:bCs w:val="1"/>
          <w:color w:val="auto"/>
        </w:rPr>
      </w:pPr>
    </w:p>
    <w:p>
      <w:pPr>
        <w:ind w:left="820" w:hanging="519"/>
        <w:spacing w:after="0"/>
        <w:tabs>
          <w:tab w:leader="none" w:pos="8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10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IA</w:t>
      </w:r>
    </w:p>
    <w:p>
      <w:pPr>
        <w:spacing w:after="0" w:line="15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6"/>
          <w:szCs w:val="26"/>
          <w:color w:val="auto"/>
          <w:vertAlign w:val="superscript"/>
        </w:rPr>
      </w:pPr>
      <w:r>
        <w:rPr>
          <w:rFonts w:ascii="Arial" w:cs="Arial" w:eastAsia="Arial" w:hAnsi="Arial"/>
          <w:sz w:val="16"/>
          <w:szCs w:val="16"/>
          <w:color w:val="auto"/>
        </w:rPr>
        <w:t>Based on a total of 20,202,722 Ordinary Shares outstanding as reported in the Issuer’s Prospectus Supplement filed with the SEC on January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00"/>
          </w:cols>
          <w:pgMar w:left="240" w:top="383" w:right="55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40"/>
        </w:trPr>
        <w:tc>
          <w:tcPr>
            <w:tcW w:w="2880" w:type="dxa"/>
            <w:vAlign w:val="bottom"/>
            <w:tcBorders>
              <w:bottom w:val="single" w:sz="8" w:color="auto"/>
            </w:tcBorders>
          </w:tcPr>
          <w:p>
            <w:pPr>
              <w:spacing w:after="0"/>
              <w:rPr>
                <w:sz w:val="3"/>
                <w:szCs w:val="3"/>
                <w:color w:val="auto"/>
              </w:rPr>
            </w:pPr>
          </w:p>
        </w:tc>
        <w:tc>
          <w:tcPr>
            <w:tcW w:w="3100" w:type="dxa"/>
            <w:vAlign w:val="bottom"/>
            <w:vMerge w:val="restart"/>
          </w:tcPr>
          <w:p>
            <w:pPr>
              <w:ind w:left="2560"/>
              <w:spacing w:after="0"/>
              <w:rPr>
                <w:sz w:val="20"/>
                <w:szCs w:val="20"/>
                <w:color w:val="auto"/>
              </w:rPr>
            </w:pPr>
            <w:r>
              <w:rPr>
                <w:rFonts w:ascii="Arial" w:cs="Arial" w:eastAsia="Arial" w:hAnsi="Arial"/>
                <w:sz w:val="29"/>
                <w:szCs w:val="29"/>
                <w:b w:val="1"/>
                <w:bCs w:val="1"/>
                <w:color w:val="auto"/>
                <w:w w:val="94"/>
              </w:rPr>
              <w:t>13G</w:t>
            </w:r>
          </w:p>
        </w:tc>
        <w:tc>
          <w:tcPr>
            <w:tcW w:w="0" w:type="dxa"/>
            <w:vAlign w:val="bottom"/>
          </w:tcPr>
          <w:p>
            <w:pPr>
              <w:spacing w:after="0"/>
              <w:rPr>
                <w:sz w:val="1"/>
                <w:szCs w:val="1"/>
                <w:color w:val="auto"/>
              </w:rPr>
            </w:pPr>
          </w:p>
        </w:tc>
      </w:tr>
      <w:tr>
        <w:trPr>
          <w:trHeight w:val="318"/>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CINS No. M2239P109</w:t>
            </w:r>
          </w:p>
        </w:tc>
        <w:tc>
          <w:tcPr>
            <w:tcW w:w="3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20" w:right="2540" w:hanging="474"/>
        <w:spacing w:after="0" w:line="362" w:lineRule="auto"/>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Dr. Jeffrey R. Jay, M.D.</w:t>
      </w:r>
    </w:p>
    <w:p>
      <w:pPr>
        <w:ind w:left="820"/>
        <w:spacing w:after="0"/>
        <w:rPr>
          <w:rFonts w:ascii="Arial" w:cs="Arial" w:eastAsia="Arial" w:hAnsi="Arial"/>
          <w:sz w:val="18"/>
          <w:szCs w:val="18"/>
          <w:b w:val="1"/>
          <w:bCs w:val="1"/>
          <w:color w:val="auto"/>
        </w:rPr>
      </w:pPr>
      <w:r>
        <w:rPr>
          <w:rFonts w:ascii="Arial" w:cs="Arial" w:eastAsia="Arial" w:hAnsi="Arial"/>
          <w:sz w:val="17"/>
          <w:szCs w:val="17"/>
          <w:color w:val="auto"/>
        </w:rPr>
        <w:t>I.R.S. IDENTIFICATION NO. OF ABOVE PERSON (ENTITIES ONLY):</w:t>
      </w:r>
    </w:p>
    <w:p>
      <w:pPr>
        <w:spacing w:after="0" w:line="232" w:lineRule="exact"/>
        <w:rPr>
          <w:rFonts w:ascii="Arial" w:cs="Arial" w:eastAsia="Arial" w:hAnsi="Arial"/>
          <w:sz w:val="18"/>
          <w:szCs w:val="18"/>
          <w:b w:val="1"/>
          <w:bCs w:val="1"/>
          <w:color w:val="auto"/>
        </w:rPr>
      </w:pPr>
    </w:p>
    <w:p>
      <w:pPr>
        <w:ind w:left="820" w:hanging="474"/>
        <w:spacing w:after="0"/>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94" w:lineRule="exact"/>
        <w:rPr>
          <w:rFonts w:ascii="Arial" w:cs="Arial" w:eastAsia="Arial" w:hAnsi="Arial"/>
          <w:sz w:val="18"/>
          <w:szCs w:val="18"/>
          <w:b w:val="1"/>
          <w:bCs w:val="1"/>
          <w:color w:val="auto"/>
        </w:rPr>
      </w:pPr>
    </w:p>
    <w:p>
      <w:pPr>
        <w:ind w:left="1620" w:hanging="802"/>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w:t>
      </w:r>
    </w:p>
    <w:p>
      <w:pPr>
        <w:spacing w:after="0" w:line="225" w:lineRule="exact"/>
        <w:rPr>
          <w:rFonts w:ascii="Arial" w:cs="Arial" w:eastAsia="Arial" w:hAnsi="Arial"/>
          <w:sz w:val="18"/>
          <w:szCs w:val="18"/>
          <w:color w:val="auto"/>
        </w:rPr>
      </w:pPr>
    </w:p>
    <w:p>
      <w:pPr>
        <w:ind w:left="1620" w:hanging="802"/>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w:t>
      </w:r>
    </w:p>
    <w:p>
      <w:pPr>
        <w:spacing w:after="0" w:line="221" w:lineRule="exact"/>
        <w:rPr>
          <w:rFonts w:ascii="Arial" w:cs="Arial" w:eastAsia="Arial" w:hAnsi="Arial"/>
          <w:sz w:val="18"/>
          <w:szCs w:val="18"/>
          <w:color w:val="auto"/>
        </w:rPr>
      </w:pPr>
    </w:p>
    <w:p>
      <w:pPr>
        <w:ind w:left="820" w:hanging="474"/>
        <w:spacing w:after="0"/>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820" w:right="1560" w:hanging="474"/>
        <w:spacing w:after="0" w:line="391" w:lineRule="auto"/>
        <w:tabs>
          <w:tab w:leader="none" w:pos="8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27" w:lineRule="exact"/>
        <w:rPr>
          <w:rFonts w:ascii="Arial" w:cs="Arial" w:eastAsia="Arial" w:hAnsi="Arial"/>
          <w:sz w:val="18"/>
          <w:szCs w:val="18"/>
          <w:b w:val="1"/>
          <w:bCs w:val="1"/>
          <w:color w:val="auto"/>
        </w:rPr>
      </w:pPr>
    </w:p>
    <w:p>
      <w:pPr>
        <w:ind w:left="3340" w:hanging="368"/>
        <w:spacing w:after="0"/>
        <w:tabs>
          <w:tab w:leader="none" w:pos="3340" w:val="left"/>
        </w:tabs>
        <w:numPr>
          <w:ilvl w:val="2"/>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-839470</wp:posOffset>
            </wp:positionV>
            <wp:extent cx="72466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5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2200" w:type="dxa"/>
            <w:vAlign w:val="bottom"/>
          </w:tcPr>
          <w:p>
            <w:pPr>
              <w:jc w:val="center"/>
              <w:ind w:right="250"/>
              <w:spacing w:after="0"/>
              <w:rPr>
                <w:sz w:val="20"/>
                <w:szCs w:val="20"/>
                <w:color w:val="auto"/>
              </w:rPr>
            </w:pPr>
            <w:r>
              <w:rPr>
                <w:rFonts w:ascii="Arial" w:cs="Arial" w:eastAsia="Arial" w:hAnsi="Arial"/>
                <w:sz w:val="18"/>
                <w:szCs w:val="18"/>
                <w:b w:val="1"/>
                <w:bCs w:val="1"/>
                <w:color w:val="auto"/>
                <w:w w:val="98"/>
              </w:rPr>
              <w:t>NUMBER OF SHARES</w:t>
            </w:r>
          </w:p>
        </w:tc>
        <w:tc>
          <w:tcPr>
            <w:tcW w:w="6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w:t>
            </w:r>
          </w:p>
        </w:tc>
        <w:tc>
          <w:tcPr>
            <w:tcW w:w="28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2"/>
        </w:trPr>
        <w:tc>
          <w:tcPr>
            <w:tcW w:w="220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rPr>
              <w:t>BENEFICIALLY</w:t>
            </w:r>
          </w:p>
        </w:tc>
        <w:tc>
          <w:tcPr>
            <w:tcW w:w="60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2200" w:type="dxa"/>
            <w:vAlign w:val="bottom"/>
          </w:tcPr>
          <w:p>
            <w:pPr>
              <w:jc w:val="center"/>
              <w:ind w:right="230"/>
              <w:spacing w:after="0"/>
              <w:rPr>
                <w:sz w:val="20"/>
                <w:szCs w:val="20"/>
                <w:color w:val="auto"/>
              </w:rPr>
            </w:pPr>
            <w:r>
              <w:rPr>
                <w:rFonts w:ascii="Arial" w:cs="Arial" w:eastAsia="Arial" w:hAnsi="Arial"/>
                <w:sz w:val="18"/>
                <w:szCs w:val="18"/>
                <w:b w:val="1"/>
                <w:bCs w:val="1"/>
                <w:color w:val="auto"/>
              </w:rPr>
              <w:t>OWNED BY EACH</w:t>
            </w:r>
          </w:p>
        </w:tc>
        <w:tc>
          <w:tcPr>
            <w:tcW w:w="6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28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03"/>
        </w:trPr>
        <w:tc>
          <w:tcPr>
            <w:tcW w:w="22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8"/>
              </w:rPr>
              <w:t>REPORTING PERSON</w:t>
            </w:r>
          </w:p>
        </w:tc>
        <w:tc>
          <w:tcPr>
            <w:tcW w:w="60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200" w:type="dxa"/>
            <w:vAlign w:val="bottom"/>
          </w:tcPr>
          <w:p>
            <w:pPr>
              <w:jc w:val="center"/>
              <w:ind w:right="190"/>
              <w:spacing w:after="0"/>
              <w:rPr>
                <w:sz w:val="20"/>
                <w:szCs w:val="20"/>
                <w:color w:val="auto"/>
              </w:rPr>
            </w:pPr>
            <w:r>
              <w:rPr>
                <w:rFonts w:ascii="Arial" w:cs="Arial" w:eastAsia="Arial" w:hAnsi="Arial"/>
                <w:sz w:val="18"/>
                <w:szCs w:val="18"/>
                <w:b w:val="1"/>
                <w:bCs w:val="1"/>
                <w:color w:val="auto"/>
              </w:rPr>
              <w:t>WITH</w:t>
            </w:r>
          </w:p>
        </w:tc>
        <w:tc>
          <w:tcPr>
            <w:tcW w:w="6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0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w w:val="99"/>
              </w:rPr>
              <w:t>SHARED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Page 3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-139065</wp:posOffset>
            </wp:positionV>
            <wp:extent cx="1818005"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800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1,124,186</w:t>
      </w: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1,124,186</w:t>
      </w:r>
    </w:p>
    <w:p>
      <w:pPr>
        <w:spacing w:after="0" w:line="200" w:lineRule="exact"/>
        <w:rPr>
          <w:sz w:val="20"/>
          <w:szCs w:val="20"/>
          <w:color w:val="auto"/>
        </w:rPr>
      </w:pPr>
    </w:p>
    <w:p>
      <w:pPr>
        <w:sectPr>
          <w:pgSz w:w="11900" w:h="16838" w:orient="portrait"/>
          <w:cols w:equalWidth="0" w:num="2">
            <w:col w:w="6300" w:space="720"/>
            <w:col w:w="3700"/>
          </w:cols>
          <w:pgMar w:left="240" w:top="383" w:right="939" w:bottom="1440" w:gutter="0" w:footer="0" w:header="0"/>
        </w:sectPr>
      </w:pPr>
    </w:p>
    <w:p>
      <w:pPr>
        <w:spacing w:after="0" w:line="21" w:lineRule="exact"/>
        <w:rPr>
          <w:sz w:val="20"/>
          <w:szCs w:val="20"/>
          <w:color w:val="auto"/>
        </w:rPr>
      </w:pPr>
    </w:p>
    <w:p>
      <w:pPr>
        <w:ind w:left="1460" w:right="2980" w:hanging="1114"/>
        <w:spacing w:after="0" w:line="391" w:lineRule="auto"/>
        <w:tabs>
          <w:tab w:leader="none" w:pos="81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1,124,186</w:t>
      </w:r>
    </w:p>
    <w:p>
      <w:pPr>
        <w:spacing w:after="0" w:line="68" w:lineRule="exact"/>
        <w:rPr>
          <w:sz w:val="20"/>
          <w:szCs w:val="20"/>
          <w:color w:val="auto"/>
        </w:rPr>
      </w:pPr>
    </w:p>
    <w:p>
      <w:pPr>
        <w:ind w:left="300"/>
        <w:spacing w:after="0"/>
        <w:tabs>
          <w:tab w:leader="none" w:pos="800" w:val="left"/>
          <w:tab w:leader="none" w:pos="106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7"/>
          <w:szCs w:val="17"/>
          <w:color w:val="auto"/>
        </w:rPr>
        <w:t>o</w:t>
      </w:r>
    </w:p>
    <w:p>
      <w:pPr>
        <w:spacing w:after="0" w:line="225" w:lineRule="exact"/>
        <w:rPr>
          <w:sz w:val="20"/>
          <w:szCs w:val="20"/>
          <w:color w:val="auto"/>
        </w:rPr>
      </w:pPr>
    </w:p>
    <w:p>
      <w:pPr>
        <w:ind w:left="1460" w:right="4600" w:hanging="1154"/>
        <w:spacing w:after="0" w:line="340" w:lineRule="auto"/>
        <w:tabs>
          <w:tab w:leader="none" w:pos="81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5.56%</w:t>
      </w:r>
      <w:r>
        <w:rPr>
          <w:rFonts w:ascii="Arial" w:cs="Arial" w:eastAsia="Arial" w:hAnsi="Arial"/>
          <w:sz w:val="30"/>
          <w:szCs w:val="30"/>
          <w:color w:val="auto"/>
          <w:vertAlign w:val="superscript"/>
        </w:rPr>
        <w:t>1</w:t>
      </w:r>
    </w:p>
    <w:p>
      <w:pPr>
        <w:spacing w:after="0" w:line="1" w:lineRule="exact"/>
        <w:rPr>
          <w:rFonts w:ascii="Arial" w:cs="Arial" w:eastAsia="Arial" w:hAnsi="Arial"/>
          <w:sz w:val="18"/>
          <w:szCs w:val="18"/>
          <w:b w:val="1"/>
          <w:bCs w:val="1"/>
          <w:color w:val="auto"/>
        </w:rPr>
      </w:pPr>
    </w:p>
    <w:p>
      <w:pPr>
        <w:ind w:left="820" w:hanging="519"/>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10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20"/>
          </w:cols>
          <w:pgMar w:left="240" w:top="383" w:right="93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40"/>
        </w:trPr>
        <w:tc>
          <w:tcPr>
            <w:tcW w:w="2880" w:type="dxa"/>
            <w:vAlign w:val="bottom"/>
            <w:tcBorders>
              <w:bottom w:val="single" w:sz="8" w:color="auto"/>
            </w:tcBorders>
          </w:tcPr>
          <w:p>
            <w:pPr>
              <w:spacing w:after="0"/>
              <w:rPr>
                <w:sz w:val="3"/>
                <w:szCs w:val="3"/>
                <w:color w:val="auto"/>
              </w:rPr>
            </w:pPr>
          </w:p>
        </w:tc>
        <w:tc>
          <w:tcPr>
            <w:tcW w:w="3100" w:type="dxa"/>
            <w:vAlign w:val="bottom"/>
            <w:vMerge w:val="restart"/>
          </w:tcPr>
          <w:p>
            <w:pPr>
              <w:ind w:left="2560"/>
              <w:spacing w:after="0"/>
              <w:rPr>
                <w:sz w:val="20"/>
                <w:szCs w:val="20"/>
                <w:color w:val="auto"/>
              </w:rPr>
            </w:pPr>
            <w:r>
              <w:rPr>
                <w:rFonts w:ascii="Arial" w:cs="Arial" w:eastAsia="Arial" w:hAnsi="Arial"/>
                <w:sz w:val="29"/>
                <w:szCs w:val="29"/>
                <w:b w:val="1"/>
                <w:bCs w:val="1"/>
                <w:color w:val="auto"/>
                <w:w w:val="94"/>
              </w:rPr>
              <w:t>13G</w:t>
            </w:r>
          </w:p>
        </w:tc>
        <w:tc>
          <w:tcPr>
            <w:tcW w:w="0" w:type="dxa"/>
            <w:vAlign w:val="bottom"/>
          </w:tcPr>
          <w:p>
            <w:pPr>
              <w:spacing w:after="0"/>
              <w:rPr>
                <w:sz w:val="1"/>
                <w:szCs w:val="1"/>
                <w:color w:val="auto"/>
              </w:rPr>
            </w:pPr>
          </w:p>
        </w:tc>
      </w:tr>
      <w:tr>
        <w:trPr>
          <w:trHeight w:val="318"/>
        </w:trPr>
        <w:tc>
          <w:tcPr>
            <w:tcW w:w="28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CINS No. M2239P109</w:t>
            </w:r>
          </w:p>
        </w:tc>
        <w:tc>
          <w:tcPr>
            <w:tcW w:w="3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20" w:right="2540" w:hanging="474"/>
        <w:spacing w:after="0" w:line="362" w:lineRule="auto"/>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Mr. David Kroin</w:t>
      </w:r>
    </w:p>
    <w:p>
      <w:pPr>
        <w:ind w:left="820"/>
        <w:spacing w:after="0"/>
        <w:rPr>
          <w:rFonts w:ascii="Arial" w:cs="Arial" w:eastAsia="Arial" w:hAnsi="Arial"/>
          <w:sz w:val="18"/>
          <w:szCs w:val="18"/>
          <w:b w:val="1"/>
          <w:bCs w:val="1"/>
          <w:color w:val="auto"/>
        </w:rPr>
      </w:pPr>
      <w:r>
        <w:rPr>
          <w:rFonts w:ascii="Arial" w:cs="Arial" w:eastAsia="Arial" w:hAnsi="Arial"/>
          <w:sz w:val="17"/>
          <w:szCs w:val="17"/>
          <w:color w:val="auto"/>
        </w:rPr>
        <w:t>I.R.S. IDENTIFICATION NO. OF ABOVE PERSON (ENTITIES ONLY):</w:t>
      </w:r>
    </w:p>
    <w:p>
      <w:pPr>
        <w:spacing w:after="0" w:line="232" w:lineRule="exact"/>
        <w:rPr>
          <w:rFonts w:ascii="Arial" w:cs="Arial" w:eastAsia="Arial" w:hAnsi="Arial"/>
          <w:sz w:val="18"/>
          <w:szCs w:val="18"/>
          <w:b w:val="1"/>
          <w:bCs w:val="1"/>
          <w:color w:val="auto"/>
        </w:rPr>
      </w:pPr>
    </w:p>
    <w:p>
      <w:pPr>
        <w:ind w:left="820" w:hanging="474"/>
        <w:spacing w:after="0"/>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94" w:lineRule="exact"/>
        <w:rPr>
          <w:rFonts w:ascii="Arial" w:cs="Arial" w:eastAsia="Arial" w:hAnsi="Arial"/>
          <w:sz w:val="18"/>
          <w:szCs w:val="18"/>
          <w:b w:val="1"/>
          <w:bCs w:val="1"/>
          <w:color w:val="auto"/>
        </w:rPr>
      </w:pPr>
    </w:p>
    <w:p>
      <w:pPr>
        <w:ind w:left="1620" w:hanging="802"/>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184" w:lineRule="exact"/>
        <w:rPr>
          <w:rFonts w:ascii="Arial" w:cs="Arial" w:eastAsia="Arial" w:hAnsi="Arial"/>
          <w:sz w:val="18"/>
          <w:szCs w:val="18"/>
          <w:color w:val="auto"/>
        </w:rPr>
      </w:pPr>
    </w:p>
    <w:p>
      <w:pPr>
        <w:ind w:left="1620" w:hanging="802"/>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w:t>
      </w:r>
    </w:p>
    <w:p>
      <w:pPr>
        <w:spacing w:after="0" w:line="221" w:lineRule="exact"/>
        <w:rPr>
          <w:rFonts w:ascii="Arial" w:cs="Arial" w:eastAsia="Arial" w:hAnsi="Arial"/>
          <w:sz w:val="18"/>
          <w:szCs w:val="18"/>
          <w:color w:val="auto"/>
        </w:rPr>
      </w:pPr>
    </w:p>
    <w:p>
      <w:pPr>
        <w:ind w:left="820" w:hanging="474"/>
        <w:spacing w:after="0"/>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25" w:lineRule="exact"/>
        <w:rPr>
          <w:rFonts w:ascii="Arial" w:cs="Arial" w:eastAsia="Arial" w:hAnsi="Arial"/>
          <w:sz w:val="18"/>
          <w:szCs w:val="18"/>
          <w:b w:val="1"/>
          <w:bCs w:val="1"/>
          <w:color w:val="auto"/>
        </w:rPr>
      </w:pPr>
    </w:p>
    <w:p>
      <w:pPr>
        <w:ind w:left="820" w:right="1560" w:hanging="474"/>
        <w:spacing w:after="0" w:line="391" w:lineRule="auto"/>
        <w:tabs>
          <w:tab w:leader="none" w:pos="8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27" w:lineRule="exact"/>
        <w:rPr>
          <w:rFonts w:ascii="Arial" w:cs="Arial" w:eastAsia="Arial" w:hAnsi="Arial"/>
          <w:sz w:val="18"/>
          <w:szCs w:val="18"/>
          <w:b w:val="1"/>
          <w:bCs w:val="1"/>
          <w:color w:val="auto"/>
        </w:rPr>
      </w:pPr>
    </w:p>
    <w:p>
      <w:pPr>
        <w:ind w:left="3340" w:hanging="368"/>
        <w:spacing w:after="0"/>
        <w:tabs>
          <w:tab w:leader="none" w:pos="3340" w:val="left"/>
        </w:tabs>
        <w:numPr>
          <w:ilvl w:val="2"/>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-976630</wp:posOffset>
            </wp:positionV>
            <wp:extent cx="724662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354"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2200" w:type="dxa"/>
            <w:vAlign w:val="bottom"/>
          </w:tcPr>
          <w:p>
            <w:pPr>
              <w:jc w:val="center"/>
              <w:ind w:right="250"/>
              <w:spacing w:after="0"/>
              <w:rPr>
                <w:sz w:val="20"/>
                <w:szCs w:val="20"/>
                <w:color w:val="auto"/>
              </w:rPr>
            </w:pPr>
            <w:r>
              <w:rPr>
                <w:rFonts w:ascii="Arial" w:cs="Arial" w:eastAsia="Arial" w:hAnsi="Arial"/>
                <w:sz w:val="18"/>
                <w:szCs w:val="18"/>
                <w:b w:val="1"/>
                <w:bCs w:val="1"/>
                <w:color w:val="auto"/>
                <w:w w:val="98"/>
              </w:rPr>
              <w:t>NUMBER OF SHARES</w:t>
            </w:r>
          </w:p>
        </w:tc>
        <w:tc>
          <w:tcPr>
            <w:tcW w:w="6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w:t>
            </w:r>
          </w:p>
        </w:tc>
        <w:tc>
          <w:tcPr>
            <w:tcW w:w="28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22"/>
        </w:trPr>
        <w:tc>
          <w:tcPr>
            <w:tcW w:w="220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rPr>
              <w:t>BENEFICIALLY</w:t>
            </w:r>
          </w:p>
        </w:tc>
        <w:tc>
          <w:tcPr>
            <w:tcW w:w="600" w:type="dxa"/>
            <w:vAlign w:val="bottom"/>
            <w:vMerge w:val="continue"/>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20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2200" w:type="dxa"/>
            <w:vAlign w:val="bottom"/>
          </w:tcPr>
          <w:p>
            <w:pPr>
              <w:jc w:val="center"/>
              <w:ind w:right="230"/>
              <w:spacing w:after="0"/>
              <w:rPr>
                <w:sz w:val="20"/>
                <w:szCs w:val="20"/>
                <w:color w:val="auto"/>
              </w:rPr>
            </w:pPr>
            <w:r>
              <w:rPr>
                <w:rFonts w:ascii="Arial" w:cs="Arial" w:eastAsia="Arial" w:hAnsi="Arial"/>
                <w:sz w:val="18"/>
                <w:szCs w:val="18"/>
                <w:b w:val="1"/>
                <w:bCs w:val="1"/>
                <w:color w:val="auto"/>
              </w:rPr>
              <w:t>OWNED BY EACH</w:t>
            </w:r>
          </w:p>
        </w:tc>
        <w:tc>
          <w:tcPr>
            <w:tcW w:w="6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28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03"/>
        </w:trPr>
        <w:tc>
          <w:tcPr>
            <w:tcW w:w="220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98"/>
              </w:rPr>
              <w:t>REPORTING PERSON</w:t>
            </w:r>
          </w:p>
        </w:tc>
        <w:tc>
          <w:tcPr>
            <w:tcW w:w="60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2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200" w:type="dxa"/>
            <w:vAlign w:val="bottom"/>
          </w:tcPr>
          <w:p>
            <w:pPr>
              <w:jc w:val="center"/>
              <w:ind w:right="190"/>
              <w:spacing w:after="0"/>
              <w:rPr>
                <w:sz w:val="20"/>
                <w:szCs w:val="20"/>
                <w:color w:val="auto"/>
              </w:rPr>
            </w:pPr>
            <w:r>
              <w:rPr>
                <w:rFonts w:ascii="Arial" w:cs="Arial" w:eastAsia="Arial" w:hAnsi="Arial"/>
                <w:sz w:val="18"/>
                <w:szCs w:val="18"/>
                <w:b w:val="1"/>
                <w:bCs w:val="1"/>
                <w:color w:val="auto"/>
              </w:rPr>
              <w:t>WITH</w:t>
            </w:r>
          </w:p>
        </w:tc>
        <w:tc>
          <w:tcPr>
            <w:tcW w:w="6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200" w:type="dxa"/>
            <w:vAlign w:val="bottom"/>
          </w:tcPr>
          <w:p>
            <w:pPr>
              <w:spacing w:after="0"/>
              <w:rPr>
                <w:sz w:val="24"/>
                <w:szCs w:val="24"/>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b w:val="1"/>
                <w:bCs w:val="1"/>
                <w:color w:val="auto"/>
              </w:rPr>
              <w:t>8.</w:t>
            </w: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w w:val="99"/>
              </w:rPr>
              <w:t>SHARED DISPOSITIVE 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jc w:val="right"/>
        <w:ind w:right="580"/>
        <w:spacing w:after="0"/>
        <w:rPr>
          <w:sz w:val="20"/>
          <w:szCs w:val="20"/>
          <w:color w:val="auto"/>
        </w:rPr>
      </w:pPr>
      <w:r>
        <w:rPr>
          <w:rFonts w:ascii="Arial" w:cs="Arial" w:eastAsia="Arial" w:hAnsi="Arial"/>
          <w:sz w:val="18"/>
          <w:szCs w:val="18"/>
          <w:color w:val="auto"/>
        </w:rPr>
        <w:t>Page 4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-139065</wp:posOffset>
            </wp:positionV>
            <wp:extent cx="181800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800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1,124,186</w:t>
      </w: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1,124,186</w:t>
      </w:r>
    </w:p>
    <w:p>
      <w:pPr>
        <w:spacing w:after="0" w:line="200" w:lineRule="exact"/>
        <w:rPr>
          <w:sz w:val="20"/>
          <w:szCs w:val="20"/>
          <w:color w:val="auto"/>
        </w:rPr>
      </w:pPr>
    </w:p>
    <w:p>
      <w:pPr>
        <w:sectPr>
          <w:pgSz w:w="11900" w:h="16838" w:orient="portrait"/>
          <w:cols w:equalWidth="0" w:num="2">
            <w:col w:w="6300" w:space="720"/>
            <w:col w:w="3700"/>
          </w:cols>
          <w:pgMar w:left="240" w:top="383" w:right="939" w:bottom="1440" w:gutter="0" w:footer="0" w:header="0"/>
        </w:sectPr>
      </w:pPr>
    </w:p>
    <w:p>
      <w:pPr>
        <w:spacing w:after="0" w:line="21" w:lineRule="exact"/>
        <w:rPr>
          <w:sz w:val="20"/>
          <w:szCs w:val="20"/>
          <w:color w:val="auto"/>
        </w:rPr>
      </w:pPr>
    </w:p>
    <w:p>
      <w:pPr>
        <w:ind w:left="1460" w:right="2980" w:hanging="1114"/>
        <w:spacing w:after="0" w:line="391" w:lineRule="auto"/>
        <w:tabs>
          <w:tab w:leader="none" w:pos="81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1,124,186</w:t>
      </w:r>
    </w:p>
    <w:p>
      <w:pPr>
        <w:spacing w:after="0" w:line="68" w:lineRule="exact"/>
        <w:rPr>
          <w:sz w:val="20"/>
          <w:szCs w:val="20"/>
          <w:color w:val="auto"/>
        </w:rPr>
      </w:pPr>
    </w:p>
    <w:p>
      <w:pPr>
        <w:ind w:left="300"/>
        <w:spacing w:after="0"/>
        <w:tabs>
          <w:tab w:leader="none" w:pos="800" w:val="left"/>
          <w:tab w:leader="none" w:pos="106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7"/>
          <w:szCs w:val="17"/>
          <w:color w:val="auto"/>
        </w:rPr>
        <w:t>o</w:t>
      </w:r>
    </w:p>
    <w:p>
      <w:pPr>
        <w:spacing w:after="0" w:line="225" w:lineRule="exact"/>
        <w:rPr>
          <w:sz w:val="20"/>
          <w:szCs w:val="20"/>
          <w:color w:val="auto"/>
        </w:rPr>
      </w:pPr>
    </w:p>
    <w:p>
      <w:pPr>
        <w:ind w:left="1460" w:right="4600" w:hanging="1154"/>
        <w:spacing w:after="0" w:line="340" w:lineRule="auto"/>
        <w:tabs>
          <w:tab w:leader="none" w:pos="81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5.56%</w:t>
      </w:r>
      <w:r>
        <w:rPr>
          <w:rFonts w:ascii="Arial" w:cs="Arial" w:eastAsia="Arial" w:hAnsi="Arial"/>
          <w:sz w:val="30"/>
          <w:szCs w:val="30"/>
          <w:color w:val="auto"/>
          <w:vertAlign w:val="superscript"/>
        </w:rPr>
        <w:t>1</w:t>
      </w:r>
    </w:p>
    <w:p>
      <w:pPr>
        <w:spacing w:after="0" w:line="1" w:lineRule="exact"/>
        <w:rPr>
          <w:rFonts w:ascii="Arial" w:cs="Arial" w:eastAsia="Arial" w:hAnsi="Arial"/>
          <w:sz w:val="18"/>
          <w:szCs w:val="18"/>
          <w:b w:val="1"/>
          <w:bCs w:val="1"/>
          <w:color w:val="auto"/>
        </w:rPr>
      </w:pPr>
    </w:p>
    <w:p>
      <w:pPr>
        <w:ind w:left="820" w:hanging="519"/>
        <w:spacing w:after="0"/>
        <w:tabs>
          <w:tab w:leader="none" w:pos="8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10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20"/>
          </w:cols>
          <w:pgMar w:left="240" w:top="383" w:right="9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320"/>
        </w:trPr>
        <w:tc>
          <w:tcPr>
            <w:tcW w:w="2880" w:type="dxa"/>
            <w:vAlign w:val="bottom"/>
          </w:tcPr>
          <w:p>
            <w:pPr>
              <w:spacing w:after="0"/>
              <w:rPr>
                <w:sz w:val="24"/>
                <w:szCs w:val="24"/>
                <w:color w:val="auto"/>
              </w:rPr>
            </w:pPr>
          </w:p>
        </w:tc>
        <w:tc>
          <w:tcPr>
            <w:tcW w:w="5680" w:type="dxa"/>
            <w:vAlign w:val="bottom"/>
            <w:vMerge w:val="restart"/>
          </w:tcPr>
          <w:p>
            <w:pPr>
              <w:ind w:left="2560"/>
              <w:spacing w:after="0"/>
              <w:rPr>
                <w:sz w:val="20"/>
                <w:szCs w:val="20"/>
                <w:color w:val="auto"/>
              </w:rPr>
            </w:pPr>
            <w:r>
              <w:rPr>
                <w:rFonts w:ascii="Arial" w:cs="Arial" w:eastAsia="Arial" w:hAnsi="Arial"/>
                <w:sz w:val="29"/>
                <w:szCs w:val="29"/>
                <w:b w:val="1"/>
                <w:bCs w:val="1"/>
                <w:color w:val="auto"/>
              </w:rPr>
              <w:t>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88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5680" w:type="dxa"/>
            <w:vAlign w:val="bottom"/>
            <w:vMerge w:val="continue"/>
          </w:tcPr>
          <w:p>
            <w:pPr>
              <w:spacing w:after="0" w:line="20" w:lineRule="exact"/>
              <w:rPr>
                <w:sz w:val="1"/>
                <w:szCs w:val="1"/>
                <w:color w:val="auto"/>
              </w:rPr>
            </w:pPr>
          </w:p>
        </w:tc>
        <w:tc>
          <w:tcPr>
            <w:tcW w:w="2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80" w:type="dxa"/>
            <w:vAlign w:val="bottom"/>
            <w:tcBorders>
              <w:left w:val="single" w:sz="8" w:color="auto"/>
              <w:right w:val="single" w:sz="8" w:color="auto"/>
            </w:tcBorders>
          </w:tcPr>
          <w:p>
            <w:pPr>
              <w:spacing w:after="0"/>
              <w:rPr>
                <w:sz w:val="18"/>
                <w:szCs w:val="18"/>
                <w:color w:val="auto"/>
              </w:rPr>
            </w:pPr>
          </w:p>
        </w:tc>
        <w:tc>
          <w:tcPr>
            <w:tcW w:w="568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5 of 9 Pages</w:t>
            </w:r>
          </w:p>
        </w:tc>
        <w:tc>
          <w:tcPr>
            <w:tcW w:w="0" w:type="dxa"/>
            <w:vAlign w:val="bottom"/>
          </w:tcPr>
          <w:p>
            <w:pPr>
              <w:spacing w:after="0"/>
              <w:rPr>
                <w:sz w:val="1"/>
                <w:szCs w:val="1"/>
                <w:color w:val="auto"/>
              </w:rPr>
            </w:pPr>
          </w:p>
        </w:tc>
      </w:tr>
      <w:tr>
        <w:trPr>
          <w:trHeight w:val="107"/>
        </w:trPr>
        <w:tc>
          <w:tcPr>
            <w:tcW w:w="2880" w:type="dxa"/>
            <w:vAlign w:val="bottom"/>
            <w:tcBorders>
              <w:left w:val="single" w:sz="8" w:color="auto"/>
              <w:bottom w:val="single" w:sz="8" w:color="auto"/>
              <w:right w:val="single" w:sz="8" w:color="auto"/>
            </w:tcBorders>
          </w:tcPr>
          <w:p>
            <w:pPr>
              <w:spacing w:after="0"/>
              <w:rPr>
                <w:sz w:val="9"/>
                <w:szCs w:val="9"/>
                <w:color w:val="auto"/>
              </w:rPr>
            </w:pPr>
          </w:p>
        </w:tc>
        <w:tc>
          <w:tcPr>
            <w:tcW w:w="5680" w:type="dxa"/>
            <w:vAlign w:val="bottom"/>
          </w:tcPr>
          <w:p>
            <w:pPr>
              <w:spacing w:after="0"/>
              <w:rPr>
                <w:sz w:val="9"/>
                <w:szCs w:val="9"/>
                <w:color w:val="auto"/>
              </w:rPr>
            </w:pPr>
          </w:p>
        </w:tc>
        <w:tc>
          <w:tcPr>
            <w:tcW w:w="286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720" w:right="8600" w:hanging="564"/>
        <w:spacing w:after="0" w:line="563" w:lineRule="auto"/>
        <w:tabs>
          <w:tab w:leader="none" w:pos="1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Name of Issuer Alcobra Ltd.</w:t>
      </w:r>
    </w:p>
    <w:p>
      <w:pPr>
        <w:spacing w:after="0" w:line="1" w:lineRule="exact"/>
        <w:rPr>
          <w:rFonts w:ascii="Arial" w:cs="Arial" w:eastAsia="Arial" w:hAnsi="Arial"/>
          <w:sz w:val="16"/>
          <w:szCs w:val="16"/>
          <w:color w:val="auto"/>
        </w:rPr>
      </w:pPr>
    </w:p>
    <w:p>
      <w:pPr>
        <w:ind w:left="1720" w:right="6280" w:hanging="564"/>
        <w:spacing w:after="0" w:line="561" w:lineRule="auto"/>
        <w:tabs>
          <w:tab w:leader="none" w:pos="1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Address of Issuer’s Principal Executive Offices 2 Weizman Street, Tel Aviv 6423902, Israel</w:t>
      </w: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720" w:hanging="564"/>
        <w:spacing w:after="0"/>
        <w:tabs>
          <w:tab w:leader="none" w:pos="1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Great Point Partners, LLC</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Dr. Jeffrey R. Jay, M.D.</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Mr. David Kroin</w:t>
      </w:r>
    </w:p>
    <w:p>
      <w:pPr>
        <w:spacing w:after="0" w:line="211" w:lineRule="exact"/>
        <w:rPr>
          <w:sz w:val="20"/>
          <w:szCs w:val="20"/>
          <w:color w:val="auto"/>
        </w:rPr>
      </w:pPr>
    </w:p>
    <w:p>
      <w:pPr>
        <w:jc w:val="both"/>
        <w:ind w:left="1160" w:right="200"/>
        <w:spacing w:after="0" w:line="264" w:lineRule="auto"/>
        <w:rPr>
          <w:sz w:val="20"/>
          <w:szCs w:val="20"/>
          <w:color w:val="auto"/>
        </w:rPr>
      </w:pPr>
      <w:r>
        <w:rPr>
          <w:rFonts w:ascii="Arial" w:cs="Arial" w:eastAsia="Arial" w:hAnsi="Arial"/>
          <w:sz w:val="18"/>
          <w:szCs w:val="18"/>
          <w:color w:val="auto"/>
        </w:rPr>
        <w:t>The Reporting Persons have entered into a Joint Filing Agreement, dated April 16, 2015, a copy of which is filed with this Schedule 13G as Exhibit A, pursuant to which the Reporting Persons have agreed to file this statement jointly in accordance with the provisions of Rule 13d-1(k)(1) under the Act.</w:t>
      </w:r>
    </w:p>
    <w:p>
      <w:pPr>
        <w:spacing w:after="0" w:line="181" w:lineRule="exact"/>
        <w:rPr>
          <w:sz w:val="20"/>
          <w:szCs w:val="20"/>
          <w:color w:val="auto"/>
        </w:rPr>
      </w:pPr>
    </w:p>
    <w:p>
      <w:pPr>
        <w:ind w:left="1720" w:hanging="564"/>
        <w:spacing w:after="0"/>
        <w:tabs>
          <w:tab w:leader="none" w:pos="1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The address of the principal business office of each of the Reporting Persons is</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165 Mason Street, 3rd Floor</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ind w:left="1720" w:hanging="564"/>
        <w:spacing w:after="0"/>
        <w:tabs>
          <w:tab w:leader="none" w:pos="1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1160" w:right="480"/>
        <w:spacing w:after="0" w:line="277" w:lineRule="auto"/>
        <w:rPr>
          <w:sz w:val="20"/>
          <w:szCs w:val="20"/>
          <w:color w:val="auto"/>
        </w:rPr>
      </w:pPr>
      <w:r>
        <w:rPr>
          <w:rFonts w:ascii="Arial" w:cs="Arial" w:eastAsia="Arial" w:hAnsi="Arial"/>
          <w:sz w:val="18"/>
          <w:szCs w:val="18"/>
          <w:color w:val="auto"/>
        </w:rPr>
        <w:t>Great Point Partners, LLC is a limited liability company organized under the laws of the State of Delaware. Dr. Jeffrey R. Jay, M.D. is a citizen of the United States. Mr. David Kroin is a citizen of the United States.</w:t>
      </w:r>
    </w:p>
    <w:p>
      <w:pPr>
        <w:spacing w:after="0" w:line="170" w:lineRule="exact"/>
        <w:rPr>
          <w:sz w:val="20"/>
          <w:szCs w:val="20"/>
          <w:color w:val="auto"/>
        </w:rPr>
      </w:pPr>
    </w:p>
    <w:p>
      <w:pPr>
        <w:ind w:left="1720" w:right="7780" w:hanging="564"/>
        <w:spacing w:after="0" w:line="563" w:lineRule="auto"/>
        <w:tabs>
          <w:tab w:leader="none" w:pos="1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Title of Class of Securities Ordinary Shares</w:t>
      </w:r>
    </w:p>
    <w:p>
      <w:pPr>
        <w:spacing w:after="0" w:line="1" w:lineRule="exact"/>
        <w:rPr>
          <w:rFonts w:ascii="Arial" w:cs="Arial" w:eastAsia="Arial" w:hAnsi="Arial"/>
          <w:sz w:val="16"/>
          <w:szCs w:val="16"/>
          <w:color w:val="auto"/>
        </w:rPr>
      </w:pPr>
    </w:p>
    <w:p>
      <w:pPr>
        <w:ind w:left="1720" w:hanging="564"/>
        <w:spacing w:after="0"/>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CINS Number</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620" w:hanging="464"/>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20"/>
        </w:trPr>
        <w:tc>
          <w:tcPr>
            <w:tcW w:w="2880" w:type="dxa"/>
            <w:vAlign w:val="bottom"/>
          </w:tcPr>
          <w:p>
            <w:pPr>
              <w:spacing w:after="0"/>
              <w:rPr>
                <w:sz w:val="24"/>
                <w:szCs w:val="24"/>
                <w:color w:val="auto"/>
              </w:rPr>
            </w:pPr>
          </w:p>
        </w:tc>
        <w:tc>
          <w:tcPr>
            <w:tcW w:w="5680" w:type="dxa"/>
            <w:vAlign w:val="bottom"/>
            <w:vMerge w:val="restart"/>
          </w:tcPr>
          <w:p>
            <w:pPr>
              <w:ind w:left="2560"/>
              <w:spacing w:after="0"/>
              <w:rPr>
                <w:sz w:val="20"/>
                <w:szCs w:val="20"/>
                <w:color w:val="auto"/>
              </w:rPr>
            </w:pPr>
            <w:r>
              <w:rPr>
                <w:rFonts w:ascii="Arial" w:cs="Arial" w:eastAsia="Arial" w:hAnsi="Arial"/>
                <w:sz w:val="29"/>
                <w:szCs w:val="29"/>
                <w:b w:val="1"/>
                <w:bCs w:val="1"/>
                <w:color w:val="auto"/>
              </w:rPr>
              <w:t>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88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5680" w:type="dxa"/>
            <w:vAlign w:val="bottom"/>
            <w:vMerge w:val="continue"/>
          </w:tcPr>
          <w:p>
            <w:pPr>
              <w:spacing w:after="0" w:line="20" w:lineRule="exact"/>
              <w:rPr>
                <w:sz w:val="1"/>
                <w:szCs w:val="1"/>
                <w:color w:val="auto"/>
              </w:rPr>
            </w:pPr>
          </w:p>
        </w:tc>
        <w:tc>
          <w:tcPr>
            <w:tcW w:w="2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80" w:type="dxa"/>
            <w:vAlign w:val="bottom"/>
            <w:tcBorders>
              <w:left w:val="single" w:sz="8" w:color="auto"/>
              <w:right w:val="single" w:sz="8" w:color="auto"/>
            </w:tcBorders>
          </w:tcPr>
          <w:p>
            <w:pPr>
              <w:spacing w:after="0"/>
              <w:rPr>
                <w:sz w:val="18"/>
                <w:szCs w:val="18"/>
                <w:color w:val="auto"/>
              </w:rPr>
            </w:pPr>
          </w:p>
        </w:tc>
        <w:tc>
          <w:tcPr>
            <w:tcW w:w="568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6 of 9 Pages</w:t>
            </w:r>
          </w:p>
        </w:tc>
        <w:tc>
          <w:tcPr>
            <w:tcW w:w="0" w:type="dxa"/>
            <w:vAlign w:val="bottom"/>
          </w:tcPr>
          <w:p>
            <w:pPr>
              <w:spacing w:after="0"/>
              <w:rPr>
                <w:sz w:val="1"/>
                <w:szCs w:val="1"/>
                <w:color w:val="auto"/>
              </w:rPr>
            </w:pPr>
          </w:p>
        </w:tc>
      </w:tr>
      <w:tr>
        <w:trPr>
          <w:trHeight w:val="107"/>
        </w:trPr>
        <w:tc>
          <w:tcPr>
            <w:tcW w:w="2880" w:type="dxa"/>
            <w:vAlign w:val="bottom"/>
            <w:tcBorders>
              <w:left w:val="single" w:sz="8" w:color="auto"/>
              <w:bottom w:val="single" w:sz="8" w:color="auto"/>
              <w:right w:val="single" w:sz="8" w:color="auto"/>
            </w:tcBorders>
          </w:tcPr>
          <w:p>
            <w:pPr>
              <w:spacing w:after="0"/>
              <w:rPr>
                <w:sz w:val="9"/>
                <w:szCs w:val="9"/>
                <w:color w:val="auto"/>
              </w:rPr>
            </w:pPr>
          </w:p>
        </w:tc>
        <w:tc>
          <w:tcPr>
            <w:tcW w:w="5680" w:type="dxa"/>
            <w:vAlign w:val="bottom"/>
          </w:tcPr>
          <w:p>
            <w:pPr>
              <w:spacing w:after="0"/>
              <w:rPr>
                <w:sz w:val="9"/>
                <w:szCs w:val="9"/>
                <w:color w:val="auto"/>
              </w:rPr>
            </w:pPr>
          </w:p>
        </w:tc>
        <w:tc>
          <w:tcPr>
            <w:tcW w:w="286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2080" w:right="80" w:hanging="924"/>
        <w:spacing w:after="0" w:line="277" w:lineRule="auto"/>
        <w:tabs>
          <w:tab w:leader="none" w:pos="16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620" w:hanging="464"/>
        <w:spacing w:after="0"/>
        <w:tabs>
          <w:tab w:leader="none" w:pos="1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160" w:right="20"/>
        <w:spacing w:after="0" w:line="257" w:lineRule="auto"/>
        <w:rPr>
          <w:sz w:val="20"/>
          <w:szCs w:val="20"/>
          <w:color w:val="auto"/>
        </w:rPr>
      </w:pPr>
      <w:r>
        <w:rPr>
          <w:rFonts w:ascii="Arial" w:cs="Arial" w:eastAsia="Arial" w:hAnsi="Arial"/>
          <w:sz w:val="18"/>
          <w:szCs w:val="18"/>
          <w:color w:val="auto"/>
        </w:rPr>
        <w:t>Biomedical Value Fund, L.P. (“BVF”) is the record owner of 285,823 Ordinary Shares (the “BVF Shares”). Great Point Partners, LLC (“Great Point”) is the investment manager of BVF, and by virtue of such status may be deemed to be the beneficial owner of the BVF Shares. Each of Dr. Jeffrey R. Jay, M.D. (“Dr. Jay”), as senior managing member of Great Point, and Mr. David Kroin (“Mr. Kroin”), as special managing member of Great Point, has voting and investment power with respect to the BVF Shares, and therefore may be deemed to be the beneficial owner of the BVF Shares.</w:t>
      </w:r>
    </w:p>
    <w:p>
      <w:pPr>
        <w:spacing w:after="0" w:line="188" w:lineRule="exact"/>
        <w:rPr>
          <w:sz w:val="20"/>
          <w:szCs w:val="20"/>
          <w:color w:val="auto"/>
        </w:rPr>
      </w:pPr>
    </w:p>
    <w:p>
      <w:pPr>
        <w:ind w:left="1160" w:right="20"/>
        <w:spacing w:after="0" w:line="279" w:lineRule="auto"/>
        <w:rPr>
          <w:sz w:val="20"/>
          <w:szCs w:val="20"/>
          <w:color w:val="auto"/>
        </w:rPr>
      </w:pPr>
      <w:r>
        <w:rPr>
          <w:rFonts w:ascii="Arial" w:cs="Arial" w:eastAsia="Arial" w:hAnsi="Arial"/>
          <w:sz w:val="17"/>
          <w:szCs w:val="17"/>
          <w:color w:val="auto"/>
        </w:rPr>
        <w:t>Biomedical Offshore Value Fund, Ltd. (“BOVF”) is the record owner of 344,961 Ordinary Shares (the “BOVF Shares”). Great Point is the investment manager of BOVF, and by virtue of such status may be deemed to be the beneficial owner of the BOVF Shares. Each of Dr. Jay, as senior managing member of Great Point, and Mr. Kroin, as special managing member of Great Point, has voting and investment power with respect to the BOVF Shares, and therefore may be deemed to be the beneficial owner of the BOVF Shares.</w:t>
      </w:r>
    </w:p>
    <w:p>
      <w:pPr>
        <w:spacing w:after="0" w:line="171" w:lineRule="exact"/>
        <w:rPr>
          <w:sz w:val="20"/>
          <w:szCs w:val="20"/>
          <w:color w:val="auto"/>
        </w:rPr>
      </w:pPr>
    </w:p>
    <w:p>
      <w:pPr>
        <w:ind w:left="1160" w:right="160"/>
        <w:spacing w:after="0" w:line="279" w:lineRule="auto"/>
        <w:rPr>
          <w:sz w:val="20"/>
          <w:szCs w:val="20"/>
          <w:color w:val="auto"/>
        </w:rPr>
      </w:pPr>
      <w:r>
        <w:rPr>
          <w:rFonts w:ascii="Arial" w:cs="Arial" w:eastAsia="Arial" w:hAnsi="Arial"/>
          <w:sz w:val="17"/>
          <w:szCs w:val="17"/>
          <w:color w:val="auto"/>
        </w:rPr>
        <w:t>Biomedical Institutional Value Fund, L.P. (“BIVF”) is the record owner of 68,992 Ordinary Shares (the “BIVF Shares”). Great Point is the investment manager of BIVF, and by virtue of such status may be deemed to be the beneficial owner of the BIVF Shares. Each of Dr. Jay, as senior managing member of Great Point, and Mr. Kroin, as special managing member of Great Point, has voting and investment power with respect to the BIVF Shares, and therefore may be deemed to be the beneficial owner of the BIVF Shares.</w:t>
      </w:r>
    </w:p>
    <w:p>
      <w:pPr>
        <w:spacing w:after="0" w:line="171" w:lineRule="exact"/>
        <w:rPr>
          <w:sz w:val="20"/>
          <w:szCs w:val="20"/>
          <w:color w:val="auto"/>
        </w:rPr>
      </w:pPr>
    </w:p>
    <w:p>
      <w:pPr>
        <w:ind w:left="1160" w:right="180"/>
        <w:spacing w:after="0" w:line="302" w:lineRule="auto"/>
        <w:rPr>
          <w:sz w:val="20"/>
          <w:szCs w:val="20"/>
          <w:color w:val="auto"/>
        </w:rPr>
      </w:pPr>
      <w:r>
        <w:rPr>
          <w:rFonts w:ascii="Arial" w:cs="Arial" w:eastAsia="Arial" w:hAnsi="Arial"/>
          <w:sz w:val="16"/>
          <w:szCs w:val="16"/>
          <w:color w:val="auto"/>
        </w:rPr>
        <w:t>GEF-SMA, LP (“GEF-SMA”) is the record owner of 285,824 Ordinary Shares (the “GEF-SMA Shares”). Great Point is the investment manager of GEF-SMA, and by virtue of such status may be deemed to be the beneficial owner of the GEF-SMA Shares. Each of Dr. Jay, as senior managing member of Great Point, and Mr. Kroin, as special managing member of Great Point, has voting and investment power with respect to the GEF-SMA Shares, and therefore may be deemed to be the beneficial owner of the GEF-SMA Shares.</w:t>
      </w:r>
    </w:p>
    <w:p>
      <w:pPr>
        <w:spacing w:after="0" w:line="154" w:lineRule="exact"/>
        <w:rPr>
          <w:sz w:val="20"/>
          <w:szCs w:val="20"/>
          <w:color w:val="auto"/>
        </w:rPr>
      </w:pPr>
    </w:p>
    <w:p>
      <w:pPr>
        <w:ind w:left="1160" w:right="40"/>
        <w:spacing w:after="0" w:line="279" w:lineRule="auto"/>
        <w:rPr>
          <w:sz w:val="20"/>
          <w:szCs w:val="20"/>
          <w:color w:val="auto"/>
        </w:rPr>
      </w:pPr>
      <w:r>
        <w:rPr>
          <w:rFonts w:ascii="Arial" w:cs="Arial" w:eastAsia="Arial" w:hAnsi="Arial"/>
          <w:sz w:val="17"/>
          <w:szCs w:val="17"/>
          <w:color w:val="auto"/>
        </w:rPr>
        <w:t>Class D Series of GEF-PS, LP (“GEF-PS”) is the record owner of 138,586 Ordinary Shares (the “GEF-PS Shares”). Great Point is the investment manager of GEF-PS, and by virtue of such status may be deemed to be the beneficial owner of the GEF-PS Shares. Each of Dr. Jay, as senior managing member of Great Point, and Mr. Kroin, as special managing member of Great Point, has voting and investment power with respect to the GEF-PS Shares, and therefore may be deemed to be the beneficial owner of the GEF-PS Shares.</w:t>
      </w:r>
    </w:p>
    <w:p>
      <w:pPr>
        <w:spacing w:after="0" w:line="171" w:lineRule="exact"/>
        <w:rPr>
          <w:sz w:val="20"/>
          <w:szCs w:val="20"/>
          <w:color w:val="auto"/>
        </w:rPr>
      </w:pPr>
    </w:p>
    <w:p>
      <w:pPr>
        <w:ind w:left="1160" w:right="40"/>
        <w:spacing w:after="0" w:line="308" w:lineRule="auto"/>
        <w:rPr>
          <w:sz w:val="20"/>
          <w:szCs w:val="20"/>
          <w:color w:val="auto"/>
        </w:rPr>
      </w:pPr>
      <w:r>
        <w:rPr>
          <w:rFonts w:ascii="Arial" w:cs="Arial" w:eastAsia="Arial" w:hAnsi="Arial"/>
          <w:sz w:val="17"/>
          <w:szCs w:val="17"/>
          <w:color w:val="auto"/>
        </w:rPr>
        <w:t>Notwithstanding the above, Great Point, Dr. Jay and Mr. Kroin disclaim beneficial ownership of the BVF Shares, the BOVF Shares, the BIVF Shares, the GEF-SMA Shares and the GEF-PS Shares, except to the extent of their respective pecuniary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20"/>
        </w:trPr>
        <w:tc>
          <w:tcPr>
            <w:tcW w:w="2880" w:type="dxa"/>
            <w:vAlign w:val="bottom"/>
          </w:tcPr>
          <w:p>
            <w:pPr>
              <w:spacing w:after="0"/>
              <w:rPr>
                <w:sz w:val="24"/>
                <w:szCs w:val="24"/>
                <w:color w:val="auto"/>
              </w:rPr>
            </w:pPr>
          </w:p>
        </w:tc>
        <w:tc>
          <w:tcPr>
            <w:tcW w:w="5680" w:type="dxa"/>
            <w:vAlign w:val="bottom"/>
            <w:vMerge w:val="restart"/>
          </w:tcPr>
          <w:p>
            <w:pPr>
              <w:ind w:left="2560"/>
              <w:spacing w:after="0"/>
              <w:rPr>
                <w:sz w:val="20"/>
                <w:szCs w:val="20"/>
                <w:color w:val="auto"/>
              </w:rPr>
            </w:pPr>
            <w:r>
              <w:rPr>
                <w:rFonts w:ascii="Arial" w:cs="Arial" w:eastAsia="Arial" w:hAnsi="Arial"/>
                <w:sz w:val="29"/>
                <w:szCs w:val="29"/>
                <w:b w:val="1"/>
                <w:bCs w:val="1"/>
                <w:color w:val="auto"/>
              </w:rPr>
              <w:t>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88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5680" w:type="dxa"/>
            <w:vAlign w:val="bottom"/>
            <w:vMerge w:val="continue"/>
          </w:tcPr>
          <w:p>
            <w:pPr>
              <w:spacing w:after="0" w:line="20" w:lineRule="exact"/>
              <w:rPr>
                <w:sz w:val="1"/>
                <w:szCs w:val="1"/>
                <w:color w:val="auto"/>
              </w:rPr>
            </w:pPr>
          </w:p>
        </w:tc>
        <w:tc>
          <w:tcPr>
            <w:tcW w:w="2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80" w:type="dxa"/>
            <w:vAlign w:val="bottom"/>
            <w:tcBorders>
              <w:left w:val="single" w:sz="8" w:color="auto"/>
              <w:right w:val="single" w:sz="8" w:color="auto"/>
            </w:tcBorders>
          </w:tcPr>
          <w:p>
            <w:pPr>
              <w:spacing w:after="0"/>
              <w:rPr>
                <w:sz w:val="18"/>
                <w:szCs w:val="18"/>
                <w:color w:val="auto"/>
              </w:rPr>
            </w:pPr>
          </w:p>
        </w:tc>
        <w:tc>
          <w:tcPr>
            <w:tcW w:w="568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7 of 9 Pages</w:t>
            </w:r>
          </w:p>
        </w:tc>
        <w:tc>
          <w:tcPr>
            <w:tcW w:w="0" w:type="dxa"/>
            <w:vAlign w:val="bottom"/>
          </w:tcPr>
          <w:p>
            <w:pPr>
              <w:spacing w:after="0"/>
              <w:rPr>
                <w:sz w:val="1"/>
                <w:szCs w:val="1"/>
                <w:color w:val="auto"/>
              </w:rPr>
            </w:pPr>
          </w:p>
        </w:tc>
      </w:tr>
      <w:tr>
        <w:trPr>
          <w:trHeight w:val="107"/>
        </w:trPr>
        <w:tc>
          <w:tcPr>
            <w:tcW w:w="2880" w:type="dxa"/>
            <w:vAlign w:val="bottom"/>
            <w:tcBorders>
              <w:left w:val="single" w:sz="8" w:color="auto"/>
              <w:bottom w:val="single" w:sz="8" w:color="auto"/>
              <w:right w:val="single" w:sz="8" w:color="auto"/>
            </w:tcBorders>
          </w:tcPr>
          <w:p>
            <w:pPr>
              <w:spacing w:after="0"/>
              <w:rPr>
                <w:sz w:val="9"/>
                <w:szCs w:val="9"/>
                <w:color w:val="auto"/>
              </w:rPr>
            </w:pPr>
          </w:p>
        </w:tc>
        <w:tc>
          <w:tcPr>
            <w:tcW w:w="5680" w:type="dxa"/>
            <w:vAlign w:val="bottom"/>
          </w:tcPr>
          <w:p>
            <w:pPr>
              <w:spacing w:after="0"/>
              <w:rPr>
                <w:sz w:val="9"/>
                <w:szCs w:val="9"/>
                <w:color w:val="auto"/>
              </w:rPr>
            </w:pPr>
          </w:p>
        </w:tc>
        <w:tc>
          <w:tcPr>
            <w:tcW w:w="286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720" w:hanging="564"/>
        <w:spacing w:after="0"/>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Great Point Partners, LLC</w:t>
      </w:r>
    </w:p>
    <w:p>
      <w:pPr>
        <w:spacing w:after="0" w:line="229" w:lineRule="exact"/>
        <w:rPr>
          <w:sz w:val="20"/>
          <w:szCs w:val="20"/>
          <w:color w:val="auto"/>
        </w:rPr>
      </w:pPr>
    </w:p>
    <w:p>
      <w:pPr>
        <w:ind w:left="1720" w:hanging="564"/>
        <w:spacing w:after="0"/>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 1,124,186</w:t>
      </w:r>
    </w:p>
    <w:p>
      <w:pPr>
        <w:spacing w:after="0" w:line="205" w:lineRule="exact"/>
        <w:rPr>
          <w:rFonts w:ascii="Arial" w:cs="Arial" w:eastAsia="Arial" w:hAnsi="Arial"/>
          <w:sz w:val="18"/>
          <w:szCs w:val="18"/>
          <w:color w:val="auto"/>
        </w:rPr>
      </w:pPr>
    </w:p>
    <w:p>
      <w:pPr>
        <w:ind w:left="1720" w:hanging="564"/>
        <w:spacing w:after="0"/>
        <w:tabs>
          <w:tab w:leader="none" w:pos="1720" w:val="left"/>
        </w:tabs>
        <w:numPr>
          <w:ilvl w:val="0"/>
          <w:numId w:val="21"/>
        </w:numPr>
        <w:rPr>
          <w:rFonts w:ascii="Arial" w:cs="Arial" w:eastAsia="Arial" w:hAnsi="Arial"/>
          <w:sz w:val="36"/>
          <w:szCs w:val="36"/>
          <w:color w:val="auto"/>
          <w:vertAlign w:val="superscript"/>
        </w:rPr>
      </w:pPr>
      <w:r>
        <w:rPr>
          <w:rFonts w:ascii="Arial" w:cs="Arial" w:eastAsia="Arial" w:hAnsi="Arial"/>
          <w:sz w:val="18"/>
          <w:szCs w:val="18"/>
          <w:color w:val="auto"/>
        </w:rPr>
        <w:t>Percent of class: 5.56%</w:t>
      </w:r>
      <w:r>
        <w:rPr>
          <w:rFonts w:ascii="Arial" w:cs="Arial" w:eastAsia="Arial" w:hAnsi="Arial"/>
          <w:sz w:val="30"/>
          <w:szCs w:val="30"/>
          <w:color w:val="auto"/>
          <w:vertAlign w:val="superscript"/>
        </w:rPr>
        <w:t>2</w:t>
      </w:r>
    </w:p>
    <w:p>
      <w:pPr>
        <w:spacing w:after="0" w:line="105" w:lineRule="exact"/>
        <w:rPr>
          <w:rFonts w:ascii="Arial" w:cs="Arial" w:eastAsia="Arial" w:hAnsi="Arial"/>
          <w:sz w:val="36"/>
          <w:szCs w:val="36"/>
          <w:color w:val="auto"/>
          <w:vertAlign w:val="superscript"/>
        </w:rPr>
      </w:pPr>
    </w:p>
    <w:p>
      <w:pPr>
        <w:ind w:left="1720" w:hanging="564"/>
        <w:spacing w:after="0"/>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Shared power to vote or to direct the vote: 1,124,186</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1,124,186</w:t>
      </w:r>
    </w:p>
    <w:p>
      <w:pPr>
        <w:spacing w:after="0" w:line="221" w:lineRule="exact"/>
        <w:rPr>
          <w:sz w:val="20"/>
          <w:szCs w:val="20"/>
          <w:color w:val="auto"/>
        </w:rPr>
      </w:pPr>
    </w:p>
    <w:p>
      <w:pPr>
        <w:ind w:left="1720" w:hanging="564"/>
        <w:spacing w:after="0"/>
        <w:tabs>
          <w:tab w:leader="none" w:pos="17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Dr. Jeffrey R. Jay, M.D.</w:t>
      </w:r>
    </w:p>
    <w:p>
      <w:pPr>
        <w:spacing w:after="0" w:line="229" w:lineRule="exact"/>
        <w:rPr>
          <w:sz w:val="20"/>
          <w:szCs w:val="20"/>
          <w:color w:val="auto"/>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beneficially owned: 1,124,186</w:t>
      </w:r>
    </w:p>
    <w:p>
      <w:pPr>
        <w:spacing w:after="0" w:line="205" w:lineRule="exact"/>
        <w:rPr>
          <w:rFonts w:ascii="Arial" w:cs="Arial" w:eastAsia="Arial" w:hAnsi="Arial"/>
          <w:sz w:val="18"/>
          <w:szCs w:val="18"/>
          <w:color w:val="auto"/>
        </w:rPr>
      </w:pPr>
    </w:p>
    <w:p>
      <w:pPr>
        <w:ind w:left="1720" w:hanging="564"/>
        <w:spacing w:after="0"/>
        <w:tabs>
          <w:tab w:leader="none" w:pos="172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Percent of class: 5.56%</w:t>
      </w:r>
      <w:r>
        <w:rPr>
          <w:rFonts w:ascii="Arial" w:cs="Arial" w:eastAsia="Arial" w:hAnsi="Arial"/>
          <w:sz w:val="30"/>
          <w:szCs w:val="30"/>
          <w:color w:val="auto"/>
          <w:vertAlign w:val="superscript"/>
        </w:rPr>
        <w:t>2</w:t>
      </w:r>
    </w:p>
    <w:p>
      <w:pPr>
        <w:spacing w:after="0" w:line="78" w:lineRule="exact"/>
        <w:rPr>
          <w:rFonts w:ascii="Arial" w:cs="Arial" w:eastAsia="Arial" w:hAnsi="Arial"/>
          <w:sz w:val="36"/>
          <w:szCs w:val="36"/>
          <w:color w:val="auto"/>
          <w:vertAlign w:val="superscript"/>
        </w:rPr>
      </w:pPr>
    </w:p>
    <w:p>
      <w:pPr>
        <w:ind w:left="1720" w:hanging="564"/>
        <w:spacing w:after="0"/>
        <w:tabs>
          <w:tab w:leader="none" w:pos="1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power to vote or to direct the vote: 1,124,186</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1,124,186</w:t>
      </w:r>
    </w:p>
    <w:p>
      <w:pPr>
        <w:spacing w:after="0" w:line="221" w:lineRule="exact"/>
        <w:rPr>
          <w:sz w:val="20"/>
          <w:szCs w:val="20"/>
          <w:color w:val="auto"/>
        </w:rPr>
      </w:pPr>
    </w:p>
    <w:p>
      <w:pPr>
        <w:ind w:left="1720" w:hanging="564"/>
        <w:spacing w:after="0"/>
        <w:tabs>
          <w:tab w:leader="none" w:pos="172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Mr. David Kroin</w:t>
      </w:r>
    </w:p>
    <w:p>
      <w:pPr>
        <w:spacing w:after="0" w:line="229" w:lineRule="exact"/>
        <w:rPr>
          <w:sz w:val="20"/>
          <w:szCs w:val="20"/>
          <w:color w:val="auto"/>
        </w:rPr>
      </w:pPr>
    </w:p>
    <w:p>
      <w:pPr>
        <w:ind w:left="1720" w:hanging="564"/>
        <w:spacing w:after="0"/>
        <w:tabs>
          <w:tab w:leader="none" w:pos="1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beneficially owned: 1,124,186</w:t>
      </w:r>
    </w:p>
    <w:p>
      <w:pPr>
        <w:spacing w:after="0" w:line="205" w:lineRule="exact"/>
        <w:rPr>
          <w:rFonts w:ascii="Arial" w:cs="Arial" w:eastAsia="Arial" w:hAnsi="Arial"/>
          <w:sz w:val="18"/>
          <w:szCs w:val="18"/>
          <w:color w:val="auto"/>
        </w:rPr>
      </w:pPr>
    </w:p>
    <w:p>
      <w:pPr>
        <w:ind w:left="1720" w:hanging="564"/>
        <w:spacing w:after="0"/>
        <w:tabs>
          <w:tab w:leader="none" w:pos="1720" w:val="left"/>
        </w:tabs>
        <w:numPr>
          <w:ilvl w:val="0"/>
          <w:numId w:val="25"/>
        </w:numPr>
        <w:rPr>
          <w:rFonts w:ascii="Arial" w:cs="Arial" w:eastAsia="Arial" w:hAnsi="Arial"/>
          <w:sz w:val="36"/>
          <w:szCs w:val="36"/>
          <w:color w:val="auto"/>
          <w:vertAlign w:val="superscript"/>
        </w:rPr>
      </w:pPr>
      <w:r>
        <w:rPr>
          <w:rFonts w:ascii="Arial" w:cs="Arial" w:eastAsia="Arial" w:hAnsi="Arial"/>
          <w:sz w:val="18"/>
          <w:szCs w:val="18"/>
          <w:color w:val="auto"/>
        </w:rPr>
        <w:t>Percent of class: 5.56%</w:t>
      </w:r>
      <w:r>
        <w:rPr>
          <w:rFonts w:ascii="Arial" w:cs="Arial" w:eastAsia="Arial" w:hAnsi="Arial"/>
          <w:sz w:val="30"/>
          <w:szCs w:val="30"/>
          <w:color w:val="auto"/>
          <w:vertAlign w:val="superscript"/>
        </w:rPr>
        <w:t>2</w:t>
      </w:r>
    </w:p>
    <w:p>
      <w:pPr>
        <w:spacing w:after="0" w:line="78" w:lineRule="exact"/>
        <w:rPr>
          <w:rFonts w:ascii="Arial" w:cs="Arial" w:eastAsia="Arial" w:hAnsi="Arial"/>
          <w:sz w:val="36"/>
          <w:szCs w:val="36"/>
          <w:color w:val="auto"/>
          <w:vertAlign w:val="superscript"/>
        </w:rPr>
      </w:pPr>
    </w:p>
    <w:p>
      <w:pPr>
        <w:ind w:left="1720" w:hanging="564"/>
        <w:spacing w:after="0"/>
        <w:tabs>
          <w:tab w:leader="none" w:pos="1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power to vote or to direct the vote: 1,124,186</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1,124,186</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160" w:right="1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each of the Reporting Persons has ceased to be the beneficial owner of more than five percent of the class of securities, check the following o.</w:t>
      </w:r>
    </w:p>
    <w:p>
      <w:pPr>
        <w:spacing w:after="0" w:line="17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a total of 20,202,722 Ordinary Shares outstanding as reported in the Issuer’s Prospectus Supplement filed with the SEC on January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320"/>
        </w:trPr>
        <w:tc>
          <w:tcPr>
            <w:tcW w:w="2880" w:type="dxa"/>
            <w:vAlign w:val="bottom"/>
          </w:tcPr>
          <w:p>
            <w:pPr>
              <w:spacing w:after="0"/>
              <w:rPr>
                <w:sz w:val="24"/>
                <w:szCs w:val="24"/>
                <w:color w:val="auto"/>
              </w:rPr>
            </w:pPr>
          </w:p>
        </w:tc>
        <w:tc>
          <w:tcPr>
            <w:tcW w:w="5680" w:type="dxa"/>
            <w:vAlign w:val="bottom"/>
            <w:vMerge w:val="restart"/>
          </w:tcPr>
          <w:p>
            <w:pPr>
              <w:ind w:left="2560"/>
              <w:spacing w:after="0"/>
              <w:rPr>
                <w:sz w:val="20"/>
                <w:szCs w:val="20"/>
                <w:color w:val="auto"/>
              </w:rPr>
            </w:pPr>
            <w:r>
              <w:rPr>
                <w:rFonts w:ascii="Arial" w:cs="Arial" w:eastAsia="Arial" w:hAnsi="Arial"/>
                <w:sz w:val="29"/>
                <w:szCs w:val="29"/>
                <w:b w:val="1"/>
                <w:bCs w:val="1"/>
                <w:color w:val="auto"/>
              </w:rPr>
              <w:t>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88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5680" w:type="dxa"/>
            <w:vAlign w:val="bottom"/>
            <w:vMerge w:val="continue"/>
          </w:tcPr>
          <w:p>
            <w:pPr>
              <w:spacing w:after="0" w:line="20" w:lineRule="exact"/>
              <w:rPr>
                <w:sz w:val="1"/>
                <w:szCs w:val="1"/>
                <w:color w:val="auto"/>
              </w:rPr>
            </w:pPr>
          </w:p>
        </w:tc>
        <w:tc>
          <w:tcPr>
            <w:tcW w:w="2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80" w:type="dxa"/>
            <w:vAlign w:val="bottom"/>
            <w:tcBorders>
              <w:left w:val="single" w:sz="8" w:color="auto"/>
              <w:right w:val="single" w:sz="8" w:color="auto"/>
            </w:tcBorders>
          </w:tcPr>
          <w:p>
            <w:pPr>
              <w:spacing w:after="0"/>
              <w:rPr>
                <w:sz w:val="18"/>
                <w:szCs w:val="18"/>
                <w:color w:val="auto"/>
              </w:rPr>
            </w:pPr>
          </w:p>
        </w:tc>
        <w:tc>
          <w:tcPr>
            <w:tcW w:w="568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8 of 9 Pages</w:t>
            </w:r>
          </w:p>
        </w:tc>
        <w:tc>
          <w:tcPr>
            <w:tcW w:w="0" w:type="dxa"/>
            <w:vAlign w:val="bottom"/>
          </w:tcPr>
          <w:p>
            <w:pPr>
              <w:spacing w:after="0"/>
              <w:rPr>
                <w:sz w:val="1"/>
                <w:szCs w:val="1"/>
                <w:color w:val="auto"/>
              </w:rPr>
            </w:pPr>
          </w:p>
        </w:tc>
      </w:tr>
      <w:tr>
        <w:trPr>
          <w:trHeight w:val="107"/>
        </w:trPr>
        <w:tc>
          <w:tcPr>
            <w:tcW w:w="2880" w:type="dxa"/>
            <w:vAlign w:val="bottom"/>
            <w:tcBorders>
              <w:left w:val="single" w:sz="8" w:color="auto"/>
              <w:bottom w:val="single" w:sz="8" w:color="auto"/>
              <w:right w:val="single" w:sz="8" w:color="auto"/>
            </w:tcBorders>
          </w:tcPr>
          <w:p>
            <w:pPr>
              <w:spacing w:after="0"/>
              <w:rPr>
                <w:sz w:val="9"/>
                <w:szCs w:val="9"/>
                <w:color w:val="auto"/>
              </w:rPr>
            </w:pPr>
          </w:p>
        </w:tc>
        <w:tc>
          <w:tcPr>
            <w:tcW w:w="5680" w:type="dxa"/>
            <w:vAlign w:val="bottom"/>
          </w:tcPr>
          <w:p>
            <w:pPr>
              <w:spacing w:after="0"/>
              <w:rPr>
                <w:sz w:val="9"/>
                <w:szCs w:val="9"/>
                <w:color w:val="auto"/>
              </w:rPr>
            </w:pPr>
          </w:p>
        </w:tc>
        <w:tc>
          <w:tcPr>
            <w:tcW w:w="286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See Item 4.</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jc w:val="center"/>
        <w:ind w:right="79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320"/>
        </w:trPr>
        <w:tc>
          <w:tcPr>
            <w:tcW w:w="2880" w:type="dxa"/>
            <w:vAlign w:val="bottom"/>
          </w:tcPr>
          <w:p>
            <w:pPr>
              <w:spacing w:after="0"/>
              <w:rPr>
                <w:sz w:val="24"/>
                <w:szCs w:val="24"/>
                <w:color w:val="auto"/>
              </w:rPr>
            </w:pPr>
          </w:p>
        </w:tc>
        <w:tc>
          <w:tcPr>
            <w:tcW w:w="5680" w:type="dxa"/>
            <w:vAlign w:val="bottom"/>
            <w:vMerge w:val="restart"/>
          </w:tcPr>
          <w:p>
            <w:pPr>
              <w:ind w:left="2560"/>
              <w:spacing w:after="0"/>
              <w:rPr>
                <w:sz w:val="20"/>
                <w:szCs w:val="20"/>
                <w:color w:val="auto"/>
              </w:rPr>
            </w:pPr>
            <w:r>
              <w:rPr>
                <w:rFonts w:ascii="Arial" w:cs="Arial" w:eastAsia="Arial" w:hAnsi="Arial"/>
                <w:sz w:val="29"/>
                <w:szCs w:val="29"/>
                <w:b w:val="1"/>
                <w:bCs w:val="1"/>
                <w:color w:val="auto"/>
              </w:rPr>
              <w:t>13G</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88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5680" w:type="dxa"/>
            <w:vAlign w:val="bottom"/>
            <w:vMerge w:val="continue"/>
          </w:tcPr>
          <w:p>
            <w:pPr>
              <w:spacing w:after="0" w:line="20" w:lineRule="exact"/>
              <w:rPr>
                <w:sz w:val="1"/>
                <w:szCs w:val="1"/>
                <w:color w:val="auto"/>
              </w:rPr>
            </w:pPr>
          </w:p>
        </w:tc>
        <w:tc>
          <w:tcPr>
            <w:tcW w:w="28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80" w:type="dxa"/>
            <w:vAlign w:val="bottom"/>
            <w:tcBorders>
              <w:left w:val="single" w:sz="8" w:color="auto"/>
              <w:right w:val="single" w:sz="8" w:color="auto"/>
            </w:tcBorders>
          </w:tcPr>
          <w:p>
            <w:pPr>
              <w:spacing w:after="0"/>
              <w:rPr>
                <w:sz w:val="18"/>
                <w:szCs w:val="18"/>
                <w:color w:val="auto"/>
              </w:rPr>
            </w:pPr>
          </w:p>
        </w:tc>
        <w:tc>
          <w:tcPr>
            <w:tcW w:w="5680" w:type="dxa"/>
            <w:vAlign w:val="bottom"/>
          </w:tcPr>
          <w:p>
            <w:pPr>
              <w:spacing w:after="0"/>
              <w:rPr>
                <w:sz w:val="18"/>
                <w:szCs w:val="18"/>
                <w:color w:val="auto"/>
              </w:rPr>
            </w:pPr>
          </w:p>
        </w:tc>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9 of 9 Pages</w:t>
            </w:r>
          </w:p>
        </w:tc>
        <w:tc>
          <w:tcPr>
            <w:tcW w:w="0" w:type="dxa"/>
            <w:vAlign w:val="bottom"/>
          </w:tcPr>
          <w:p>
            <w:pPr>
              <w:spacing w:after="0"/>
              <w:rPr>
                <w:sz w:val="1"/>
                <w:szCs w:val="1"/>
                <w:color w:val="auto"/>
              </w:rPr>
            </w:pPr>
          </w:p>
        </w:tc>
      </w:tr>
      <w:tr>
        <w:trPr>
          <w:trHeight w:val="107"/>
        </w:trPr>
        <w:tc>
          <w:tcPr>
            <w:tcW w:w="2880" w:type="dxa"/>
            <w:vAlign w:val="bottom"/>
            <w:tcBorders>
              <w:left w:val="single" w:sz="8" w:color="auto"/>
              <w:bottom w:val="single" w:sz="8" w:color="auto"/>
              <w:right w:val="single" w:sz="8" w:color="auto"/>
            </w:tcBorders>
          </w:tcPr>
          <w:p>
            <w:pPr>
              <w:spacing w:after="0"/>
              <w:rPr>
                <w:sz w:val="9"/>
                <w:szCs w:val="9"/>
                <w:color w:val="auto"/>
              </w:rPr>
            </w:pPr>
          </w:p>
        </w:tc>
        <w:tc>
          <w:tcPr>
            <w:tcW w:w="5680" w:type="dxa"/>
            <w:vAlign w:val="bottom"/>
          </w:tcPr>
          <w:p>
            <w:pPr>
              <w:spacing w:after="0"/>
              <w:rPr>
                <w:sz w:val="9"/>
                <w:szCs w:val="9"/>
                <w:color w:val="auto"/>
              </w:rPr>
            </w:pPr>
          </w:p>
        </w:tc>
        <w:tc>
          <w:tcPr>
            <w:tcW w:w="286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April 16,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GREAT POINT PARTNERS,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Jeffrey R. Jay, M.D.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675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as senior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Jeffrey R. Jay, M.D.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Mr. David Kroin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AGREEMENT REGARDING THE JOINT FILING OF SCHEDULE 13G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225" w:lineRule="exact"/>
        <w:rPr>
          <w:sz w:val="20"/>
          <w:szCs w:val="20"/>
          <w:color w:val="auto"/>
        </w:rPr>
      </w:pPr>
    </w:p>
    <w:p>
      <w:pPr>
        <w:ind w:firstLine="656"/>
        <w:spacing w:after="0" w:line="277" w:lineRule="auto"/>
        <w:tabs>
          <w:tab w:leader="none" w:pos="8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of each of them; and</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23"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 April 16,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GREAT POINT PARTNERS,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Jeffrey R. Jay, M.D.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675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as senior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Jeffrey R. Jay, M.D.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Mr. David Kroin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41A7C4C9"/>
    <w:multiLevelType w:val="hybridMultilevel"/>
    <w:lvl w:ilvl="0">
      <w:lvlJc w:val="left"/>
      <w:lvlText w:val="%1."/>
      <w:numFmt w:val="decimal"/>
      <w:start w:val="9"/>
    </w:lvl>
  </w:abstractNum>
  <w:abstractNum w:abstractNumId="4">
    <w:nsid w:val="6B68079A"/>
    <w:multiLevelType w:val="hybridMultilevel"/>
    <w:lvl w:ilvl="0">
      <w:lvlJc w:val="left"/>
      <w:lvlText w:val="%1."/>
      <w:numFmt w:val="decimal"/>
      <w:start w:val="11"/>
    </w:lvl>
  </w:abstractNum>
  <w:abstractNum w:abstractNumId="5">
    <w:nsid w:val="4E6AFB66"/>
    <w:multiLevelType w:val="hybridMultilevel"/>
    <w:lvl w:ilvl="0">
      <w:lvlJc w:val="left"/>
      <w:lvlText w:val="1"/>
      <w:numFmt w:val="bullet"/>
      <w:start w:val="1"/>
    </w:lvl>
  </w:abstractNum>
  <w:abstractNum w:abstractNumId="6">
    <w:nsid w:val="25E45D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
    <w:nsid w:val="519B500D"/>
    <w:multiLevelType w:val="hybridMultilevel"/>
    <w:lvl w:ilvl="0">
      <w:lvlJc w:val="left"/>
      <w:lvlText w:val="%1."/>
      <w:numFmt w:val="decimal"/>
      <w:start w:val="9"/>
    </w:lvl>
  </w:abstractNum>
  <w:abstractNum w:abstractNumId="8">
    <w:nsid w:val="431BD7B7"/>
    <w:multiLevelType w:val="hybridMultilevel"/>
    <w:lvl w:ilvl="0">
      <w:lvlJc w:val="left"/>
      <w:lvlText w:val="%1."/>
      <w:numFmt w:val="decimal"/>
      <w:start w:val="11"/>
    </w:lvl>
  </w:abstractNum>
  <w:abstractNum w:abstractNumId="9">
    <w:nsid w:val="3F2DBA31"/>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Letter"/>
      <w:start w:val="1"/>
    </w:lvl>
  </w:abstractNum>
  <w:abstractNum w:abstractNumId="14">
    <w:nsid w:val="628C895D"/>
    <w:multiLevelType w:val="hybridMultilevel"/>
    <w:lvl w:ilvl="0">
      <w:lvlJc w:val="left"/>
      <w:lvlText w:val="(%1)"/>
      <w:numFmt w:val="lowerLetter"/>
      <w:start w:val="2"/>
    </w:lvl>
  </w:abstractNum>
  <w:abstractNum w:abstractNumId="15">
    <w:nsid w:val="333AB105"/>
    <w:multiLevelType w:val="hybridMultilevel"/>
    <w:lvl w:ilvl="0">
      <w:lvlJc w:val="left"/>
      <w:lvlText w:val="(%1)"/>
      <w:numFmt w:val="lowerLetter"/>
      <w:start w:val="3"/>
    </w:lvl>
  </w:abstractNum>
  <w:abstractNum w:abstractNumId="16">
    <w:nsid w:val="721DA317"/>
    <w:multiLevelType w:val="hybridMultilevel"/>
    <w:lvl w:ilvl="0">
      <w:lvlJc w:val="left"/>
      <w:lvlText w:val="(%1)"/>
      <w:numFmt w:val="lowerLetter"/>
      <w:start w:val="4"/>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6"/>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lvl w:ilvl="1">
      <w:lvlJc w:val="left"/>
      <w:lvlText w:val="(%2)"/>
      <w:numFmt w:val="lowerRoman"/>
      <w:start w:val="1"/>
    </w:lvl>
  </w:abstractNum>
  <w:abstractNum w:abstractNumId="21">
    <w:nsid w:val="8EDBDAB"/>
    <w:multiLevelType w:val="hybridMultilevel"/>
    <w:lvl w:ilvl="0">
      <w:lvlJc w:val="left"/>
      <w:lvlText w:val="%1."/>
      <w:numFmt w:val="decimal"/>
      <w:start w:val="2"/>
    </w:lvl>
  </w:abstractNum>
  <w:abstractNum w:abstractNumId="22">
    <w:nsid w:val="79838CB2"/>
    <w:multiLevelType w:val="hybridMultilevel"/>
    <w:lvl w:ilvl="0">
      <w:lvlJc w:val="left"/>
      <w:lvlText w:val="(%1)"/>
      <w:numFmt w:val="lowerLetter"/>
      <w:start w:val="1"/>
    </w:lvl>
    <w:lvl w:ilvl="1">
      <w:lvlJc w:val="left"/>
      <w:lvlText w:val="(%2)"/>
      <w:numFmt w:val="lowerRoman"/>
      <w:start w:val="1"/>
    </w:lvl>
  </w:abstractNum>
  <w:abstractNum w:abstractNumId="23">
    <w:nsid w:val="4353D0CD"/>
    <w:multiLevelType w:val="hybridMultilevel"/>
    <w:lvl w:ilvl="0">
      <w:lvlJc w:val="left"/>
      <w:lvlText w:val="%1."/>
      <w:numFmt w:val="decimal"/>
      <w:start w:val="3"/>
    </w:lvl>
  </w:abstractNum>
  <w:abstractNum w:abstractNumId="24">
    <w:nsid w:val="B03E0C6"/>
    <w:multiLevelType w:val="hybridMultilevel"/>
    <w:lvl w:ilvl="0">
      <w:lvlJc w:val="left"/>
      <w:lvlText w:val="(%1)"/>
      <w:numFmt w:val="lowerLetter"/>
      <w:start w:val="1"/>
    </w:lvl>
    <w:lvl w:ilvl="1">
      <w:lvlJc w:val="left"/>
      <w:lvlText w:val="(%2)"/>
      <w:numFmt w:val="lowerRoman"/>
      <w:start w:val="1"/>
    </w:lvl>
  </w:abstractNum>
  <w:abstractNum w:abstractNumId="25">
    <w:nsid w:val="189A769B"/>
    <w:multiLevelType w:val="hybridMultilevel"/>
    <w:lvl w:ilvl="0">
      <w:lvlJc w:val="left"/>
      <w:lvlText w:val="2"/>
      <w:numFmt w:val="bullet"/>
      <w:start w:val="1"/>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2019-12-16T09:19:47Z</dcterms:created>
  <dcterms:modified xsi:type="dcterms:W3CDTF">2019-12-16T09:19:47Z</dcterms:modified>
</cp:coreProperties>
</file>