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December 8,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 (858) 900-2660</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212529"/>
                <w:w w:val="99"/>
              </w:rPr>
              <w:t>Securities registered pursuant to Section 12(b) of the Act: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12529"/>
        </w:rPr>
        <w:t>On December 12, 2022 (December 13, 2022 (JST)), Meiji Seika Pharma Co., Ltd. (“</w:t>
      </w:r>
      <w:r>
        <w:rPr>
          <w:rFonts w:ascii="Times New Roman" w:cs="Times New Roman" w:eastAsia="Times New Roman" w:hAnsi="Times New Roman"/>
          <w:sz w:val="18"/>
          <w:szCs w:val="18"/>
          <w:u w:val="single" w:color="auto"/>
          <w:color w:val="212529"/>
        </w:rPr>
        <w:t>Meiji</w:t>
      </w:r>
      <w:r>
        <w:rPr>
          <w:rFonts w:ascii="Times New Roman" w:cs="Times New Roman" w:eastAsia="Times New Roman" w:hAnsi="Times New Roman"/>
          <w:sz w:val="18"/>
          <w:szCs w:val="18"/>
          <w:color w:val="212529"/>
        </w:rPr>
        <w:t xml:space="preserve">”) announced it has started a Phase III clinical trial in Japan of ARCT-154, </w:t>
      </w:r>
      <w:r>
        <w:rPr>
          <w:rFonts w:ascii="Times New Roman" w:cs="Times New Roman" w:eastAsia="Times New Roman" w:hAnsi="Times New Roman"/>
          <w:sz w:val="18"/>
          <w:szCs w:val="18"/>
          <w:color w:val="000000"/>
        </w:rPr>
        <w:t>Arcturus Therapeutics Holdings Inc.’s (the “</w:t>
      </w:r>
      <w:r>
        <w:rPr>
          <w:rFonts w:ascii="Times New Roman" w:cs="Times New Roman" w:eastAsia="Times New Roman" w:hAnsi="Times New Roman"/>
          <w:sz w:val="18"/>
          <w:szCs w:val="18"/>
          <w:u w:val="single" w:color="auto"/>
          <w:color w:val="000000"/>
        </w:rPr>
        <w:t>Company</w:t>
      </w:r>
      <w:r>
        <w:rPr>
          <w:rFonts w:ascii="Times New Roman" w:cs="Times New Roman" w:eastAsia="Times New Roman" w:hAnsi="Times New Roman"/>
          <w:sz w:val="18"/>
          <w:szCs w:val="18"/>
          <w:color w:val="000000"/>
        </w:rPr>
        <w:t>” or “</w:t>
      </w:r>
      <w:r>
        <w:rPr>
          <w:rFonts w:ascii="Times New Roman" w:cs="Times New Roman" w:eastAsia="Times New Roman" w:hAnsi="Times New Roman"/>
          <w:sz w:val="18"/>
          <w:szCs w:val="18"/>
          <w:u w:val="single" w:color="auto"/>
          <w:color w:val="000000"/>
        </w:rPr>
        <w:t>Arcturus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self-amplifying mRNA vaccine candidate against COVID-19. The trial is targeted to include a total of 780 adult participants, with half in the ARCT-154 group and half in a comparator group, and to evaluate non-inferiority of ARCT-154 as a booster series.</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December 12, 2022, CSL Seqirus (“</w:t>
      </w:r>
      <w:r>
        <w:rPr>
          <w:rFonts w:ascii="Times New Roman" w:cs="Times New Roman" w:eastAsia="Times New Roman" w:hAnsi="Times New Roman"/>
          <w:sz w:val="18"/>
          <w:szCs w:val="18"/>
          <w:u w:val="single" w:color="auto"/>
          <w:color w:val="auto"/>
        </w:rPr>
        <w:t>CSL</w:t>
      </w:r>
      <w:r>
        <w:rPr>
          <w:rFonts w:ascii="Times New Roman" w:cs="Times New Roman" w:eastAsia="Times New Roman" w:hAnsi="Times New Roman"/>
          <w:sz w:val="18"/>
          <w:szCs w:val="18"/>
          <w:color w:val="auto"/>
        </w:rPr>
        <w:t>”) published a press release announcing that the previously announced collaboration agreement dated November 1, 2022 between the Company and CSL, became effective on December 8, 2022.</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Cautionary Note Regarding Forward-Looking Statements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12529"/>
        </w:rPr>
        <w:t>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the collaboration with CSL or any collaborations, and the outcomes of clinical trials involving ARCT-154.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12529"/>
        </w:rPr>
        <w:t>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 of Exhibit</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to this Current Report on Form 8-K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2022</w:t>
      </w:r>
    </w:p>
    <w:p>
      <w:pPr>
        <w:spacing w:after="0" w:line="9"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5715</wp:posOffset>
            </wp:positionV>
            <wp:extent cx="2948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Name: Joseph E. Payne</w:t>
      </w:r>
    </w:p>
    <w:p>
      <w:pPr>
        <w:spacing w:after="0" w:line="23" w:lineRule="exact"/>
        <w:rPr>
          <w:sz w:val="20"/>
          <w:szCs w:val="20"/>
          <w:color w:val="auto"/>
        </w:rPr>
      </w:pPr>
    </w:p>
    <w:p>
      <w:pPr>
        <w:ind w:left="6060"/>
        <w:spacing w:after="0"/>
        <w:tabs>
          <w:tab w:leader="none" w:pos="6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sectPr>
      <w:pgSz w:w="11900" w:h="16838" w:orient="portrait"/>
      <w:cols w:equalWidth="0" w:num="1">
        <w:col w:w="10920"/>
      </w:cols>
      <w:pgMar w:left="320" w:top="79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2022-12-13T07:35:57Z</dcterms:created>
  <dcterms:modified xsi:type="dcterms:W3CDTF">2022-12-13T07:35:57Z</dcterms:modified>
</cp:coreProperties>
</file>