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20, 2021</w:t>
      </w:r>
    </w:p>
    <w:p>
      <w:pPr>
        <w:spacing w:after="0" w:line="225"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370"/>
              <w:spacing w:after="0"/>
              <w:rPr>
                <w:sz w:val="20"/>
                <w:szCs w:val="20"/>
                <w:color w:val="auto"/>
              </w:rPr>
            </w:pPr>
            <w:r>
              <w:rPr>
                <w:rFonts w:ascii="Arial" w:cs="Arial" w:eastAsia="Arial" w:hAnsi="Arial"/>
                <w:sz w:val="18"/>
                <w:szCs w:val="18"/>
                <w:b w:val="1"/>
                <w:bCs w:val="1"/>
                <w:color w:val="auto"/>
              </w:rPr>
              <w:t>32-0595345</w:t>
            </w:r>
          </w:p>
        </w:tc>
      </w:tr>
      <w:tr>
        <w:trPr>
          <w:trHeight w:val="216"/>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460" w:type="dxa"/>
            <w:vAlign w:val="bottom"/>
          </w:tcPr>
          <w:p>
            <w:pPr>
              <w:jc w:val="center"/>
              <w:ind w:left="15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incorporation or organization)</w:t>
            </w:r>
          </w:p>
        </w:tc>
        <w:tc>
          <w:tcPr>
            <w:tcW w:w="346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3460" w:type="dxa"/>
            <w:vAlign w:val="bottom"/>
          </w:tcPr>
          <w:p>
            <w:pPr>
              <w:spacing w:after="0"/>
              <w:rPr>
                <w:sz w:val="24"/>
                <w:szCs w:val="24"/>
                <w:color w:val="auto"/>
              </w:rPr>
            </w:pPr>
          </w:p>
        </w:tc>
      </w:tr>
      <w:tr>
        <w:trPr>
          <w:trHeight w:val="216"/>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San Diego, California</w:t>
            </w:r>
          </w:p>
        </w:tc>
        <w:tc>
          <w:tcPr>
            <w:tcW w:w="3460" w:type="dxa"/>
            <w:vAlign w:val="bottom"/>
          </w:tcPr>
          <w:p>
            <w:pPr>
              <w:jc w:val="right"/>
              <w:ind w:right="570"/>
              <w:spacing w:after="0"/>
              <w:rPr>
                <w:sz w:val="20"/>
                <w:szCs w:val="20"/>
                <w:color w:val="auto"/>
              </w:rPr>
            </w:pPr>
            <w:r>
              <w:rPr>
                <w:rFonts w:ascii="Arial" w:cs="Arial" w:eastAsia="Arial" w:hAnsi="Arial"/>
                <w:sz w:val="18"/>
                <w:szCs w:val="18"/>
                <w:b w:val="1"/>
                <w:bCs w:val="1"/>
                <w:color w:val="auto"/>
              </w:rPr>
              <w:t>92121</w:t>
            </w:r>
          </w:p>
        </w:tc>
      </w:tr>
      <w:tr>
        <w:trPr>
          <w:trHeight w:val="234"/>
        </w:trPr>
        <w:tc>
          <w:tcPr>
            <w:tcW w:w="4640" w:type="dxa"/>
            <w:vAlign w:val="bottom"/>
          </w:tcPr>
          <w:p>
            <w:pPr>
              <w:jc w:val="center"/>
              <w:ind w:right="1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6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2021 INDUCEMENT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A. Baumel,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Ilan Katz,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Borders>
              <w:top w:val="single" w:sz="8" w:color="auto"/>
            </w:tcBorders>
          </w:tcPr>
          <w:p>
            <w:pPr>
              <w:spacing w:after="0"/>
              <w:rPr>
                <w:sz w:val="18"/>
                <w:szCs w:val="18"/>
                <w:color w:val="auto"/>
              </w:rPr>
            </w:pPr>
          </w:p>
        </w:tc>
      </w:tr>
      <w:tr>
        <w:trPr>
          <w:trHeight w:val="216"/>
        </w:trPr>
        <w:tc>
          <w:tcPr>
            <w:tcW w:w="49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40" w:type="dxa"/>
            <w:vAlign w:val="bottom"/>
          </w:tcPr>
          <w:p>
            <w:pPr>
              <w:spacing w:after="0"/>
              <w:rPr>
                <w:sz w:val="18"/>
                <w:szCs w:val="18"/>
                <w:color w:val="auto"/>
              </w:rPr>
            </w:pPr>
          </w:p>
        </w:tc>
      </w:tr>
      <w:tr>
        <w:trPr>
          <w:trHeight w:val="216"/>
        </w:trPr>
        <w:tc>
          <w:tcPr>
            <w:tcW w:w="4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Securities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124"/>
        </w:trPr>
        <w:tc>
          <w:tcPr>
            <w:tcW w:w="49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40" w:type="dxa"/>
            <w:vAlign w:val="bottom"/>
          </w:tcPr>
          <w:p>
            <w:pPr>
              <w:spacing w:after="0"/>
              <w:rPr>
                <w:sz w:val="10"/>
                <w:szCs w:val="10"/>
                <w:color w:val="auto"/>
              </w:rPr>
            </w:pPr>
          </w:p>
        </w:tc>
      </w:tr>
    </w:tbl>
    <w:p>
      <w:pPr>
        <w:sectPr>
          <w:pgSz w:w="11900" w:h="16900" w:orient="portrait"/>
          <w:cols w:equalWidth="0" w:num="1">
            <w:col w:w="11240"/>
          </w:cols>
          <w:pgMar w:left="320" w:top="472"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Common Stock (par value $0.001) reserved for issuance under the</w:t>
            </w:r>
          </w:p>
        </w:tc>
        <w:tc>
          <w:tcPr>
            <w:tcW w:w="15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1,000,000</w:t>
            </w:r>
          </w:p>
        </w:tc>
        <w:tc>
          <w:tcPr>
            <w:tcW w:w="15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$45.17 (2)</w:t>
            </w:r>
          </w:p>
        </w:tc>
        <w:tc>
          <w:tcPr>
            <w:tcW w:w="15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$45,170,000</w:t>
            </w:r>
          </w:p>
        </w:tc>
        <w:tc>
          <w:tcPr>
            <w:tcW w:w="1300" w:type="dxa"/>
            <w:vAlign w:val="bottom"/>
          </w:tcPr>
          <w:p>
            <w:pPr>
              <w:jc w:val="right"/>
              <w:spacing w:after="0"/>
              <w:rPr>
                <w:sz w:val="20"/>
                <w:szCs w:val="20"/>
                <w:color w:val="auto"/>
              </w:rPr>
            </w:pPr>
            <w:r>
              <w:rPr>
                <w:rFonts w:ascii="Arial" w:cs="Arial" w:eastAsia="Arial" w:hAnsi="Arial"/>
                <w:sz w:val="18"/>
                <w:szCs w:val="18"/>
                <w:color w:val="auto"/>
              </w:rPr>
              <w:t>$4,187.26 (3)</w:t>
            </w:r>
          </w:p>
        </w:tc>
      </w:tr>
      <w:tr>
        <w:trPr>
          <w:trHeight w:val="216"/>
        </w:trPr>
        <w:tc>
          <w:tcPr>
            <w:tcW w:w="4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Arcturus Therapeutics Holdings Inc. 2021 Inducement Equity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Incentive Plan</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bl>
    <w:p>
      <w:pPr>
        <w:ind w:left="46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(the “Registration Statement”) shall also cover any additional shares of Common Stock of Arcturus Therapeutics Holdings Inc. (the “Registrant”) that become issuable in respect of the securities identified in the above table by reason of any stock dividend, stock split, recapitalization or other similar transaction effected without the receipt of consideration that increases the number of outstanding shares of the Registrant’s Common Stock.</w:t>
      </w:r>
    </w:p>
    <w:p>
      <w:pPr>
        <w:jc w:val="both"/>
        <w:ind w:left="460" w:right="1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Rules 457(c) and 457(h) under the Securities Act on the basis of the average of the reported high and low sales prices for the Registrant’s common stock as reported by the Nasdaq Global Market on October 19, 2021.</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registration fee is calculated pursuant to Section 6(b) of the Securities Act, which currently provides that the filing fee rate shall be “$92.70 per $1 million” of the maximum aggregate price at which such securities are proposed to be offered. The Registration Fee is therefore calculated by multiplying the Proposed Maximum Aggregate Offering Price by 0.0000927.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Registration Information and Employee Plan Annual Information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 and are available upon written or oral request to: Arcturus Therapeutics Holdings Inc., Attn: Chief Financial Officer, Arcturus Therapeutics Holdings Inc., 10628 Science Center Drive, Suite 250, San Diego, California 92121, Tel: (858) 900-2660.</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Registrant hereby incorporates by reference into this Registration Statement the following documents previously filed with the Commission (other than information in a report on Form 8-K that is furnished and not filed pursuant to Form 8-K and, except as may be noted in any such Form 8-K, exhibits filed on such form that are related to such information):</w:t>
      </w:r>
    </w:p>
    <w:p>
      <w:pPr>
        <w:spacing w:after="0" w:line="184" w:lineRule="exact"/>
        <w:rPr>
          <w:sz w:val="20"/>
          <w:szCs w:val="20"/>
          <w:color w:val="auto"/>
        </w:rPr>
      </w:pPr>
    </w:p>
    <w:p>
      <w:pPr>
        <w:ind w:right="240" w:firstLine="8"/>
        <w:spacing w:after="0" w:line="263"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2020, filed with the Commission on March 1, 2021, including the information specifically incorporated by reference therein from our Definitive Proxy Statement on Schedule 14A filed with the Commission on April 30, 2021, pursuant to Section 13 of the Securities Exchange Act of 1934, as amended (the “1934 Act”);</w:t>
      </w:r>
    </w:p>
    <w:p>
      <w:pPr>
        <w:spacing w:after="0" w:line="183" w:lineRule="exact"/>
        <w:rPr>
          <w:rFonts w:ascii="Arial" w:cs="Arial" w:eastAsia="Arial" w:hAnsi="Arial"/>
          <w:sz w:val="18"/>
          <w:szCs w:val="18"/>
          <w:color w:val="auto"/>
        </w:rPr>
      </w:pPr>
    </w:p>
    <w:p>
      <w:pPr>
        <w:ind w:right="20" w:firstLine="8"/>
        <w:spacing w:after="0" w:line="277"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periods ended March 31, 2021 and June 30, 2021, filed with the Commission on May 10, 2021 and August 10, 2021;</w:t>
      </w:r>
    </w:p>
    <w:p>
      <w:pPr>
        <w:spacing w:after="0" w:line="170"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Current Reports on Form 8-K filed with the Commission pursuant to Section 13 of the 1934 Act on February 3, 2021, February 22, 2021, March 1, 2021, April 26, 2021, May 10, 2021, June 22, 2021, August 4, 2021, August 9, 2021, August 26, 2021 and October 5, 2021; and</w:t>
      </w:r>
    </w:p>
    <w:p>
      <w:pPr>
        <w:spacing w:after="0" w:line="124" w:lineRule="exact"/>
        <w:rPr>
          <w:sz w:val="20"/>
          <w:szCs w:val="20"/>
          <w:color w:val="auto"/>
        </w:rPr>
      </w:pPr>
    </w:p>
    <w:p>
      <w:pPr>
        <w:ind w:right="100" w:firstLine="8"/>
        <w:spacing w:after="0" w:line="263"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set forth in the registration statement on Form 8-A registering the Registrant’s common stock under Section 12 of the Exchange Act, as filed with the SEC on May 17, 2013, including any amendments or reports filed for purposes of updating such description, including the Form 8-K12B filed on June 14, 2019.</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All documents filed by the Registrant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documents or information deemed to have been furnished and not filed in accordance with the rules of the Commission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Section 145 of the Delaware General Corporation Law authorizes a corporation to indemnify its directors and officers against liabilities arising out of actions, suits and proceedings to which they are made or threatened to be made a party by reason of the fact of their prior or current service to the corporation as a director or officer, in accordance with the provisions of Section 145, which are sufficiently broad to permit indemnification under certain circumstances for liabilities arising under the Securities Act.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Registrant’s amended and restated certificate of incorporation (the “Certificate of Incorporation”), provides that, to the fullest extent permitted by the Delaware General Corporation Law, (1) a director shall not be personally liable to the Registrant or its stockholders for monetary damages for breach of fiduciary duty as a director, and (2) the Registrant shall indemnify any director or officer made a party to an action or proceeding, whether criminal, civil, administrative or investigative, by reason of the fact of such person’s current or prior service as a director or officer of the Registrant, any predecessor of the Registrant or any other enterprise per the Registrant’s or any predecessor to the Registrant’s request.</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Registrant’s amended and restated bylaws, as amended (the “Bylaws”), provide that (a) the Registrant shall indemnify its directors and officers to the maximum extent and in the manner permitted by the Delaware General Corporation Law against expenses (including attorneys’ fees), judgments, fines, ERISA excise taxes, settlements and other amounts actually and reasonably incurred in connection with any proceeding, whether civil, criminal, administrative or investigative, arising by reason of the fact that such person is or was an agent of the corporation, subject to certain limited exceptions,</w:t>
      </w:r>
    </w:p>
    <w:p>
      <w:pPr>
        <w:spacing w:after="0" w:line="1" w:lineRule="exact"/>
        <w:rPr>
          <w:sz w:val="20"/>
          <w:szCs w:val="20"/>
          <w:color w:val="auto"/>
        </w:rPr>
      </w:pPr>
    </w:p>
    <w:p>
      <w:pPr>
        <w:ind w:right="4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shall advance expenses incurred by any director or officer prior to the final disposition of any proceeding to which the director or officer was or is or is threatened to be made a party promptly following a request therefore, subject to certain limited exceptions, and (c) the rights conferred in the Bylaws are not exclusive.</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Registrant has entered into indemnification agreements with each of its directors and executive officers to give such directors and officers additional contractual assurances regarding the scope of the indemnification set forth in the Certificate of Incorporation and the Bylaws and to provide additional procedural protections. These agreements, among other things, provide that the Registrant will indemnify its directors and executive officers for expenses (including attorneys’ fees), judgments, fines, penalties and amounts paid in settlement (including all interest, assessments and other charges paid or payable in connection therewith) actually and reasonably incurred by a director or executive officer in connection with any action or proceeding to which such person was, is or is threatened to be made a party, a witness or other participant by reason of such person’s services as a director or executive officer of the Registrant, any of the Registrant’s subsidiaries or any other company or enterprise to which the person provides services at the Registrant’s request, and any federal, state, local or foreign taxes imposed on the director or executive officer as a result of the actual or deemed receipt of any payments under the 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160"/>
        <w:spacing w:after="0" w:line="263" w:lineRule="auto"/>
        <w:rPr>
          <w:sz w:val="20"/>
          <w:szCs w:val="20"/>
          <w:color w:val="auto"/>
        </w:rPr>
      </w:pPr>
      <w:r>
        <w:rPr>
          <w:rFonts w:ascii="Arial" w:cs="Arial" w:eastAsia="Arial" w:hAnsi="Arial"/>
          <w:sz w:val="18"/>
          <w:szCs w:val="18"/>
          <w:color w:val="auto"/>
        </w:rPr>
        <w:t>In addition, the indemnification agreements provide that, upon the request of a director or executive officer, the Registrant shall advance expenses (including attorneys’ fees) to the director or officer. The Registrant intends to enter into indemnification agreements with any new directors and executive officers in the future.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 has also obtained insurance policies covering its directors and officers with respect to certain liabilities, including liabilities arising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Documents</w:t>
            </w:r>
          </w:p>
        </w:tc>
      </w:tr>
      <w:tr>
        <w:trPr>
          <w:trHeight w:val="169"/>
        </w:trPr>
        <w:tc>
          <w:tcPr>
            <w:tcW w:w="940" w:type="dxa"/>
            <w:vAlign w:val="bottom"/>
          </w:tcPr>
          <w:p>
            <w:pPr>
              <w:jc w:val="right"/>
              <w:ind w:right="530"/>
              <w:spacing w:after="0" w:line="169" w:lineRule="exact"/>
              <w:rPr>
                <w:sz w:val="20"/>
                <w:szCs w:val="20"/>
                <w:color w:val="auto"/>
              </w:rPr>
            </w:pPr>
            <w:r>
              <w:rPr>
                <w:rFonts w:ascii="Arial" w:cs="Arial" w:eastAsia="Arial" w:hAnsi="Arial"/>
                <w:sz w:val="18"/>
                <w:szCs w:val="18"/>
                <w:color w:val="auto"/>
              </w:rPr>
              <w:t>4.1</w:t>
            </w:r>
          </w:p>
        </w:tc>
        <w:tc>
          <w:tcPr>
            <w:tcW w:w="10300" w:type="dxa"/>
            <w:vAlign w:val="bottom"/>
            <w:gridSpan w:val="6"/>
          </w:tcPr>
          <w:p>
            <w:pPr>
              <w:spacing w:after="0" w:line="169" w:lineRule="exact"/>
              <w:rPr>
                <w:rFonts w:ascii="Arial" w:cs="Arial" w:eastAsia="Arial" w:hAnsi="Arial"/>
                <w:sz w:val="18"/>
                <w:szCs w:val="18"/>
                <w:color w:val="0000EE"/>
              </w:rPr>
            </w:pPr>
            <w:hyperlink w:anchor="page9">
              <w:r>
                <w:rPr>
                  <w:rFonts w:ascii="Arial" w:cs="Arial" w:eastAsia="Arial" w:hAnsi="Arial"/>
                  <w:sz w:val="18"/>
                  <w:szCs w:val="18"/>
                  <w:color w:val="0000EE"/>
                </w:rPr>
                <w:t>Arcturus Therapeutics Holdings Inc. 2021 Inducement Equity Incentive Plan</w:t>
              </w:r>
            </w:hyperlink>
          </w:p>
        </w:tc>
      </w:tr>
      <w:tr>
        <w:trPr>
          <w:trHeight w:val="196"/>
        </w:trPr>
        <w:tc>
          <w:tcPr>
            <w:tcW w:w="94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5.1</w:t>
            </w:r>
          </w:p>
        </w:tc>
        <w:tc>
          <w:tcPr>
            <w:tcW w:w="5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Opinion of Dentons US LLP</w:t>
              </w:r>
            </w:hyperlink>
          </w:p>
        </w:tc>
        <w:tc>
          <w:tcPr>
            <w:tcW w:w="4800" w:type="dxa"/>
            <w:vAlign w:val="bottom"/>
            <w:gridSpan w:val="2"/>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94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85"/>
              </w:rPr>
              <w:t>23.1</w:t>
            </w:r>
          </w:p>
        </w:tc>
        <w:tc>
          <w:tcPr>
            <w:tcW w:w="4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Consent of Independent Registered Public Accounting Firm</w:t>
              </w:r>
            </w:hyperlink>
          </w:p>
        </w:tc>
        <w:tc>
          <w:tcPr>
            <w:tcW w:w="6000" w:type="dxa"/>
            <w:vAlign w:val="bottom"/>
            <w:gridSpan w:val="3"/>
          </w:tcPr>
          <w:p>
            <w:pPr>
              <w:spacing w:after="0"/>
              <w:rPr>
                <w:sz w:val="17"/>
                <w:szCs w:val="17"/>
                <w:color w:val="auto"/>
              </w:rPr>
            </w:pPr>
          </w:p>
        </w:tc>
      </w:tr>
      <w:tr>
        <w:trPr>
          <w:trHeight w:val="196"/>
        </w:trPr>
        <w:tc>
          <w:tcPr>
            <w:tcW w:w="94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85"/>
              </w:rPr>
              <w:t>23.2</w:t>
            </w:r>
          </w:p>
        </w:tc>
        <w:tc>
          <w:tcPr>
            <w:tcW w:w="1030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Consent of Dentons US LLP is contained in Exhibit 5.1 to this Registration Statement.</w:t>
              </w:r>
            </w:hyperlink>
          </w:p>
        </w:tc>
      </w:tr>
      <w:tr>
        <w:trPr>
          <w:trHeight w:val="196"/>
        </w:trPr>
        <w:tc>
          <w:tcPr>
            <w:tcW w:w="94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85"/>
              </w:rPr>
              <w:t>24.1</w:t>
            </w:r>
          </w:p>
        </w:tc>
        <w:tc>
          <w:tcPr>
            <w:tcW w:w="6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Power of Attorney is contained on the signature page.</w:t>
              </w:r>
            </w:hyperlink>
          </w:p>
        </w:tc>
        <w:tc>
          <w:tcPr>
            <w:tcW w:w="41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80" w:firstLine="8"/>
        <w:spacing w:after="0" w:line="293"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460" w:firstLine="8"/>
        <w:spacing w:after="0" w:line="27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1934 Act (15 U.S.C. 78m or 78o(d)) that are incorporated by reference in this Registration Statement.</w:t>
      </w:r>
    </w:p>
    <w:p>
      <w:pPr>
        <w:spacing w:after="0" w:line="184" w:lineRule="exact"/>
        <w:rPr>
          <w:sz w:val="20"/>
          <w:szCs w:val="20"/>
          <w:color w:val="auto"/>
        </w:rPr>
      </w:pPr>
    </w:p>
    <w:p>
      <w:pPr>
        <w:ind w:right="280" w:firstLine="8"/>
        <w:spacing w:after="0" w:line="26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8" w:right="220" w:firstLine="8"/>
        <w:spacing w:after="0" w:line="277"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8" w:firstLine="8"/>
        <w:spacing w:after="0" w:line="301" w:lineRule="auto"/>
        <w:tabs>
          <w:tab w:leader="none" w:pos="24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rFonts w:ascii="Arial" w:cs="Arial" w:eastAsia="Arial" w:hAnsi="Arial"/>
          <w:sz w:val="16"/>
          <w:szCs w:val="16"/>
          <w:color w:val="auto"/>
        </w:rPr>
      </w:pPr>
    </w:p>
    <w:p>
      <w:pPr>
        <w:ind w:left="-8" w:right="20" w:firstLine="8"/>
        <w:spacing w:after="0" w:line="291"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October 20,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7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440" w:type="dxa"/>
            <w:vAlign w:val="bottom"/>
          </w:tcPr>
          <w:p>
            <w:pPr>
              <w:spacing w:after="0"/>
              <w:rPr>
                <w:sz w:val="16"/>
                <w:szCs w:val="16"/>
                <w:color w:val="auto"/>
              </w:rPr>
            </w:pP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440" w:type="dxa"/>
            <w:vAlign w:val="bottom"/>
          </w:tcPr>
          <w:p>
            <w:pPr>
              <w:ind w:left="67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58"/>
        </w:trPr>
        <w:tc>
          <w:tcPr>
            <w:tcW w:w="7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1933, this Registration Statement has been signed below by the following persons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in the capacities and on the dates indicated:</w:t>
      </w:r>
    </w:p>
    <w:p>
      <w:pPr>
        <w:sectPr>
          <w:pgSz w:w="11900" w:h="16838" w:orient="portrait"/>
          <w:cols w:equalWidth="0" w:num="1">
            <w:col w:w="11240"/>
          </w:cols>
          <w:pgMar w:left="320" w:top="364" w:right="339" w:bottom="1440" w:gutter="0" w:footer="0" w:header="0"/>
        </w:sectPr>
      </w:pP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Joseph E. Payne</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 Dr. Padmanabh Chivukula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03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Dr. Padmanabh Chivukula</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Dr. Peter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Dr. Peter Farrell</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Andy Sassine</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Dr.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Dr. Magda Marquet</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James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James Barlow</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Dr. Edward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Dr. Edward Holmes</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Keith C. Kummerfeld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Keith C. Kummerfeld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President, Chief Executive Officer and Director</w:t>
      </w:r>
    </w:p>
    <w:p>
      <w:pPr>
        <w:spacing w:after="0" w:line="35"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Chief Scientific Officer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Chief Operating Officer and Secretary</w:t>
      </w: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Chairman of the Board</w:t>
      </w:r>
    </w:p>
    <w:p>
      <w:pPr>
        <w:spacing w:after="0" w:line="34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Director, Chief Financial Officer</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3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Vice President of Finance and Corporate Controller</w:t>
      </w:r>
    </w:p>
    <w:p>
      <w:pPr>
        <w:spacing w:after="0" w:line="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17145</wp:posOffset>
            </wp:positionV>
            <wp:extent cx="1139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October 20, 2021</w:t>
      </w:r>
    </w:p>
    <w:p>
      <w:pPr>
        <w:sectPr>
          <w:pgSz w:w="11900" w:h="16838" w:orient="portrait"/>
          <w:cols w:equalWidth="0" w:num="3">
            <w:col w:w="4100" w:space="720"/>
            <w:col w:w="4180" w:space="720"/>
            <w:col w:w="1520"/>
          </w:cols>
          <w:pgMar w:left="320" w:top="364"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2021 INDUCEMENT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Arcturus Therapeutics Holdings Inc., a Delaware corporation (the “Company”), has adopted the 2021 Inducement Equity Incentive Plan (the “Plan”) effective as of October 15, 2021 (the “Effective Date”). It is expressly intended that approval of the Company’s stockholders not be required as a condition to the effectiveness of the Plan, and the Plan’s provisions shall be interpreted in a manner consistent with such intent for all purposes.</w:t>
      </w:r>
    </w:p>
    <w:p>
      <w:pPr>
        <w:spacing w:after="0" w:line="187"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Objectives of the Plan</w:t>
      </w:r>
      <w:r>
        <w:rPr>
          <w:rFonts w:ascii="Arial" w:cs="Arial" w:eastAsia="Arial" w:hAnsi="Arial"/>
          <w:sz w:val="18"/>
          <w:szCs w:val="18"/>
          <w:color w:val="auto"/>
        </w:rPr>
        <w:t>. The purpose of the Plan is to advance the interests of the Company’s stockholders by enhancing the Company’s ability to attract, retain and motivate persons who are expected to make important contributions to the Company with an inducement material for such persons to enter into employment with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United States Internal Revenue Code of 1986, as amended, and any regulations thereunder (the “Code”) and any other business venture (including, without limitation, joint venture or limited liability company) in which the Company has a controlling interest, as determined by the Board of Directors of the Company (the “Board”).</w:t>
      </w:r>
    </w:p>
    <w:p>
      <w:pPr>
        <w:spacing w:after="0" w:line="192"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(i)the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200"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SARs, Restricted Shares, Performance Units (which may be paid in cash), Performance Shares, Deferred Stock, Restricted Stock Units, Dividend Equivalents, Bonus Shares or Other Stock-Based Awards granted under the Plan.</w:t>
      </w:r>
    </w:p>
    <w:p>
      <w:pPr>
        <w:spacing w:after="0" w:line="170" w:lineRule="exact"/>
        <w:rPr>
          <w:sz w:val="20"/>
          <w:szCs w:val="20"/>
          <w:color w:val="auto"/>
        </w:rPr>
      </w:pPr>
    </w:p>
    <w:p>
      <w:pPr>
        <w:ind w:right="140" w:firstLine="441"/>
        <w:spacing w:after="0" w:line="30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right="26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commission of any act by a Grantee constituting a felony or crime of moral turpitude (or their equivalent in a non-United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ind w:left="1140" w:hanging="251"/>
        <w:spacing w:after="0"/>
        <w:tabs>
          <w:tab w:leader="none" w:pos="11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 act of dishonesty, fraud, intentional misrepresentation, or harassment which, as determined in good faith by the Committee, would:</w:t>
      </w:r>
    </w:p>
    <w:p>
      <w:pPr>
        <w:spacing w:after="0" w:line="34" w:lineRule="exact"/>
        <w:rPr>
          <w:rFonts w:ascii="Arial" w:cs="Arial" w:eastAsia="Arial" w:hAnsi="Arial"/>
          <w:sz w:val="17"/>
          <w:szCs w:val="17"/>
          <w:color w:val="auto"/>
        </w:rPr>
      </w:pPr>
    </w:p>
    <w:p>
      <w:pPr>
        <w:ind w:firstLine="8"/>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9" w:lineRule="exact"/>
        <w:rPr>
          <w:rFonts w:ascii="Arial" w:cs="Arial" w:eastAsia="Arial" w:hAnsi="Arial"/>
          <w:sz w:val="18"/>
          <w:szCs w:val="18"/>
          <w:color w:val="auto"/>
        </w:rPr>
      </w:pPr>
    </w:p>
    <w:p>
      <w:pPr>
        <w:ind w:left="1140" w:hanging="251"/>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willful and deliberate non-performance of the Grantee’s duties in connection with the business affairs of the Company or its Affiliates;</w:t>
      </w:r>
    </w:p>
    <w:p>
      <w:pPr>
        <w:spacing w:after="0" w:line="237" w:lineRule="exact"/>
        <w:rPr>
          <w:sz w:val="20"/>
          <w:szCs w:val="20"/>
          <w:color w:val="auto"/>
        </w:rPr>
      </w:pPr>
    </w:p>
    <w:p>
      <w:pPr>
        <w:jc w:val="both"/>
        <w:ind w:right="640" w:firstLine="881"/>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170" w:lineRule="exact"/>
        <w:rPr>
          <w:sz w:val="20"/>
          <w:szCs w:val="20"/>
          <w:color w:val="auto"/>
        </w:rPr>
      </w:pPr>
    </w:p>
    <w:p>
      <w:pPr>
        <w:ind w:left="1140" w:hanging="25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225" w:lineRule="exact"/>
        <w:rPr>
          <w:rFonts w:ascii="Arial" w:cs="Arial" w:eastAsia="Arial" w:hAnsi="Arial"/>
          <w:sz w:val="18"/>
          <w:szCs w:val="18"/>
          <w:color w:val="auto"/>
        </w:rPr>
      </w:pPr>
    </w:p>
    <w:p>
      <w:pPr>
        <w:ind w:right="80" w:firstLine="889"/>
        <w:spacing w:after="0" w:line="277"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70" w:lineRule="exact"/>
        <w:rPr>
          <w:rFonts w:ascii="Arial" w:cs="Arial" w:eastAsia="Arial" w:hAnsi="Arial"/>
          <w:sz w:val="18"/>
          <w:szCs w:val="18"/>
          <w:color w:val="auto"/>
        </w:rPr>
      </w:pPr>
    </w:p>
    <w:p>
      <w:pPr>
        <w:ind w:left="880" w:right="160" w:firstLine="450"/>
        <w:spacing w:after="0" w:line="342" w:lineRule="auto"/>
        <w:tabs>
          <w:tab w:leader="none" w:pos="153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23" w:lineRule="exact"/>
        <w:rPr>
          <w:rFonts w:ascii="Arial" w:cs="Arial" w:eastAsia="Arial" w:hAnsi="Arial"/>
          <w:sz w:val="16"/>
          <w:szCs w:val="16"/>
          <w:color w:val="auto"/>
        </w:rPr>
      </w:pPr>
    </w:p>
    <w:p>
      <w:pPr>
        <w:jc w:val="both"/>
        <w:ind w:left="880" w:right="180" w:firstLine="450"/>
        <w:spacing w:after="0" w:line="286" w:lineRule="auto"/>
        <w:tabs>
          <w:tab w:leader="none" w:pos="1586"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6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right="60" w:firstLine="441"/>
        <w:spacing w:after="0" w:line="272"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(a) was not previously an employee or director of the Company or (b) is commencing employment with the Company following a bona fide period of non-employment, in either case as an inducement material to the individual’s entering into employment with the and in accordance with the requirements of Nasdaq Stock Market Rule 5635(c)(4). For the avoidance of doubt, neither consultants nor advisors shall be eligible to participate in the Plan. Notwithstanding the foregoing, an Eligible Person shall also include an individual who is expected to become an employee of the Company or any Affiliate within a reasonable period of time after the grant of an Award; provided that any Award granted to any such individual shall be automatically terminated and cancelled without consideration if the individual does not begin performing services for the Company or any Affiliate within twelve (12) months after the Grant Date.</w:t>
      </w:r>
    </w:p>
    <w:p>
      <w:pPr>
        <w:spacing w:after="0" w:line="17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right="180" w:firstLine="8"/>
        <w:spacing w:after="0" w:line="26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 or “Participant</w:t>
      </w:r>
      <w:r>
        <w:rPr>
          <w:rFonts w:ascii="Arial" w:cs="Arial" w:eastAsia="Arial" w:hAnsi="Arial"/>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and “</w:t>
      </w:r>
      <w:r>
        <w:rPr>
          <w:rFonts w:ascii="Arial" w:cs="Arial" w:eastAsia="Arial" w:hAnsi="Arial"/>
          <w:sz w:val="18"/>
          <w:szCs w:val="18"/>
          <w:u w:val="single" w:color="auto"/>
          <w:color w:val="auto"/>
        </w:rPr>
        <w:t>Performance Unit</w:t>
      </w:r>
      <w:r>
        <w:rPr>
          <w:rFonts w:ascii="Arial" w:cs="Arial" w:eastAsia="Arial" w:hAnsi="Arial"/>
          <w:sz w:val="18"/>
          <w:szCs w:val="18"/>
          <w:color w:val="auto"/>
        </w:rPr>
        <w:t>” have the respective meanings set forth in Article 9.</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170"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ind w:right="260" w:firstLine="44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(or cash in lieu thereof) if the Grantee satisfies the conditions specified in the Award Agreement applicable to such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by the SEC under the Exchange Act, as amended from time to time, together with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2.38 Intentionally Omitted.</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225"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4"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2.44 “</w:t>
      </w:r>
      <w:r>
        <w:rPr>
          <w:rFonts w:ascii="Arial" w:cs="Arial" w:eastAsia="Arial" w:hAnsi="Arial"/>
          <w:sz w:val="17"/>
          <w:szCs w:val="17"/>
          <w:u w:val="single" w:color="auto"/>
          <w:color w:val="auto"/>
        </w:rPr>
        <w:t>Surviving Company</w:t>
      </w:r>
      <w:r>
        <w:rPr>
          <w:rFonts w:ascii="Arial" w:cs="Arial" w:eastAsia="Arial" w:hAnsi="Arial"/>
          <w:sz w:val="17"/>
          <w:szCs w:val="17"/>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6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w:t>
      </w:r>
      <w:r>
        <w:rPr>
          <w:rFonts w:ascii="Arial" w:cs="Arial" w:eastAsia="Arial" w:hAnsi="Arial"/>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70"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2.46 “</w:t>
      </w:r>
      <w:r>
        <w:rPr>
          <w:rFonts w:ascii="Arial" w:cs="Arial" w:eastAsia="Arial" w:hAnsi="Arial"/>
          <w:sz w:val="16"/>
          <w:szCs w:val="16"/>
          <w:u w:val="single" w:color="auto"/>
          <w:color w:val="auto"/>
        </w:rPr>
        <w:t>Termination of Affiliation</w:t>
      </w:r>
      <w:r>
        <w:rPr>
          <w:rFonts w:ascii="Arial" w:cs="Arial" w:eastAsia="Arial" w:hAnsi="Arial"/>
          <w:sz w:val="16"/>
          <w:szCs w:val="16"/>
          <w:color w:val="auto"/>
        </w:rPr>
        <w:t>” occurs on the first day on which an individual is for any reason no longer performing services for the Company or any Affiliate in the capacity of an employee of the Company or any Affiliate or with respect to an individual who is an employee of Affiliate, the first day on which such entity ceases to be an Affiliate of the Company unless such individual continues serve as an employee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225" w:lineRule="exact"/>
        <w:rPr>
          <w:sz w:val="20"/>
          <w:szCs w:val="20"/>
          <w:color w:val="auto"/>
        </w:rPr>
      </w:pPr>
    </w:p>
    <w:p>
      <w:pPr>
        <w:ind w:right="60" w:firstLine="889"/>
        <w:spacing w:after="0" w:line="301" w:lineRule="auto"/>
        <w:tabs>
          <w:tab w:leader="none" w:pos="11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Article 14, and to Section 3.2, the Plan shall be administered by a Committee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w:t>
      </w:r>
    </w:p>
    <w:p>
      <w:pPr>
        <w:spacing w:after="0" w:line="157" w:lineRule="exact"/>
        <w:rPr>
          <w:rFonts w:ascii="Arial" w:cs="Arial" w:eastAsia="Arial" w:hAnsi="Arial"/>
          <w:sz w:val="16"/>
          <w:szCs w:val="16"/>
          <w:color w:val="auto"/>
        </w:rPr>
      </w:pPr>
    </w:p>
    <w:p>
      <w:pPr>
        <w:ind w:left="1140" w:hanging="25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40" w:firstLine="889"/>
        <w:spacing w:after="0" w:line="263" w:lineRule="auto"/>
        <w:tabs>
          <w:tab w:leader="none" w:pos="11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Board or the Compensation Committee to the extent the Board or the Compensation Committee, as applicable, has assumed or exercises administrative powers itself as the Committee pursuant to subsection.</w:t>
      </w:r>
    </w:p>
    <w:p>
      <w:pPr>
        <w:spacing w:after="0" w:line="183" w:lineRule="exact"/>
        <w:rPr>
          <w:rFonts w:ascii="Arial" w:cs="Arial" w:eastAsia="Arial" w:hAnsi="Arial"/>
          <w:sz w:val="18"/>
          <w:szCs w:val="18"/>
          <w:color w:val="auto"/>
        </w:rPr>
      </w:pPr>
    </w:p>
    <w:p>
      <w:pPr>
        <w:ind w:right="60" w:firstLine="889"/>
        <w:spacing w:after="0" w:line="291" w:lineRule="auto"/>
        <w:tabs>
          <w:tab w:leader="none" w:pos="1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 Notwithstanding the foregoing or anything in the Plan to the contrary, the grant of any Award under the Plan must be approved by the Company’s independent compensation committee or a majority of the Company’s independent directors (as defined in Nasdaq Stock Market Rule 5605(a)</w:t>
      </w: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(2)) in order to comply with the exemption from the stockholder approval requirement for “inducement grants” provided under Nasdaq Stock Market Rule 5635(c)(4).</w:t>
      </w:r>
    </w:p>
    <w:p>
      <w:pPr>
        <w:spacing w:after="0" w:line="18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the Committee has full and final authority and sole discretion as follows:</w:t>
      </w:r>
    </w:p>
    <w:p>
      <w:pPr>
        <w:spacing w:after="0" w:line="170" w:lineRule="exact"/>
        <w:rPr>
          <w:sz w:val="20"/>
          <w:szCs w:val="20"/>
          <w:color w:val="auto"/>
        </w:rPr>
      </w:pPr>
    </w:p>
    <w:p>
      <w:pPr>
        <w:ind w:left="1140" w:hanging="25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225" w:lineRule="exact"/>
        <w:rPr>
          <w:rFonts w:ascii="Arial" w:cs="Arial" w:eastAsia="Arial" w:hAnsi="Arial"/>
          <w:sz w:val="18"/>
          <w:szCs w:val="18"/>
          <w:color w:val="auto"/>
        </w:rPr>
      </w:pPr>
    </w:p>
    <w:p>
      <w:pPr>
        <w:ind w:right="40" w:firstLine="889"/>
        <w:spacing w:after="0" w:line="296" w:lineRule="auto"/>
        <w:tabs>
          <w:tab w:leader="none" w:pos="11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61" w:lineRule="exact"/>
        <w:rPr>
          <w:rFonts w:ascii="Arial" w:cs="Arial" w:eastAsia="Arial" w:hAnsi="Arial"/>
          <w:sz w:val="16"/>
          <w:szCs w:val="16"/>
          <w:color w:val="auto"/>
        </w:rPr>
      </w:pPr>
    </w:p>
    <w:p>
      <w:pPr>
        <w:ind w:right="20" w:firstLine="889"/>
        <w:spacing w:after="0" w:line="277" w:lineRule="auto"/>
        <w:tabs>
          <w:tab w:leader="none" w:pos="11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70" w:lineRule="exact"/>
        <w:rPr>
          <w:rFonts w:ascii="Arial" w:cs="Arial" w:eastAsia="Arial" w:hAnsi="Arial"/>
          <w:sz w:val="18"/>
          <w:szCs w:val="18"/>
          <w:color w:val="auto"/>
        </w:rPr>
      </w:pPr>
    </w:p>
    <w:p>
      <w:pPr>
        <w:ind w:right="340" w:firstLine="889"/>
        <w:spacing w:after="0" w:line="342" w:lineRule="auto"/>
        <w:tabs>
          <w:tab w:leader="none" w:pos="11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225" w:lineRule="exact"/>
        <w:rPr>
          <w:rFonts w:ascii="Arial" w:cs="Arial" w:eastAsia="Arial" w:hAnsi="Arial"/>
          <w:sz w:val="18"/>
          <w:szCs w:val="18"/>
          <w:color w:val="auto"/>
        </w:rPr>
      </w:pPr>
    </w:p>
    <w:p>
      <w:pPr>
        <w:ind w:right="60" w:firstLine="889"/>
        <w:spacing w:after="0" w:line="263" w:lineRule="auto"/>
        <w:tabs>
          <w:tab w:leader="none" w:pos="110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83" w:lineRule="exact"/>
        <w:rPr>
          <w:rFonts w:ascii="Arial" w:cs="Arial" w:eastAsia="Arial" w:hAnsi="Arial"/>
          <w:sz w:val="18"/>
          <w:szCs w:val="18"/>
          <w:color w:val="auto"/>
        </w:rPr>
      </w:pPr>
    </w:p>
    <w:p>
      <w:pPr>
        <w:ind w:right="20" w:firstLine="889"/>
        <w:spacing w:after="0" w:line="259"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6" w:lineRule="exact"/>
        <w:rPr>
          <w:rFonts w:ascii="Arial" w:cs="Arial" w:eastAsia="Arial" w:hAnsi="Arial"/>
          <w:sz w:val="18"/>
          <w:szCs w:val="18"/>
          <w:color w:val="auto"/>
        </w:rPr>
      </w:pPr>
    </w:p>
    <w:p>
      <w:pPr>
        <w:ind w:firstLine="889"/>
        <w:spacing w:after="0" w:line="263"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 w:name="page14"/>
    <w:bookmarkEnd w:id="13"/>
    <w:p>
      <w:pPr>
        <w:ind w:left="1100" w:hanging="211"/>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225" w:lineRule="exact"/>
        <w:rPr>
          <w:rFonts w:ascii="Arial" w:cs="Arial" w:eastAsia="Arial" w:hAnsi="Arial"/>
          <w:sz w:val="18"/>
          <w:szCs w:val="18"/>
          <w:color w:val="auto"/>
        </w:rPr>
      </w:pPr>
    </w:p>
    <w:p>
      <w:pPr>
        <w:ind w:right="840" w:firstLine="889"/>
        <w:spacing w:after="0" w:line="277" w:lineRule="auto"/>
        <w:tabs>
          <w:tab w:leader="none" w:pos="10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225" w:lineRule="exact"/>
        <w:rPr>
          <w:rFonts w:ascii="Arial" w:cs="Arial" w:eastAsia="Arial" w:hAnsi="Arial"/>
          <w:sz w:val="18"/>
          <w:szCs w:val="18"/>
          <w:color w:val="auto"/>
        </w:rPr>
      </w:pPr>
    </w:p>
    <w:p>
      <w:pPr>
        <w:ind w:right="40" w:firstLine="889"/>
        <w:spacing w:after="0" w:line="287" w:lineRule="auto"/>
        <w:tabs>
          <w:tab w:leader="none" w:pos="11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2"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1" w:lineRule="exact"/>
        <w:rPr>
          <w:rFonts w:ascii="Arial" w:cs="Arial" w:eastAsia="Arial" w:hAnsi="Arial"/>
          <w:sz w:val="17"/>
          <w:szCs w:val="17"/>
          <w:color w:val="auto"/>
        </w:rPr>
      </w:pPr>
    </w:p>
    <w:p>
      <w:pPr>
        <w:ind w:left="1140" w:hanging="251"/>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225" w:lineRule="exact"/>
        <w:rPr>
          <w:rFonts w:ascii="Arial" w:cs="Arial" w:eastAsia="Arial" w:hAnsi="Arial"/>
          <w:sz w:val="18"/>
          <w:szCs w:val="18"/>
          <w:color w:val="auto"/>
        </w:rPr>
      </w:pPr>
    </w:p>
    <w:p>
      <w:pPr>
        <w:ind w:right="20" w:firstLine="889"/>
        <w:spacing w:after="0" w:line="342" w:lineRule="auto"/>
        <w:tabs>
          <w:tab w:leader="none" w:pos="1136"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23" w:lineRule="exact"/>
        <w:rPr>
          <w:rFonts w:ascii="Arial" w:cs="Arial" w:eastAsia="Arial" w:hAnsi="Arial"/>
          <w:sz w:val="16"/>
          <w:szCs w:val="16"/>
          <w:color w:val="auto"/>
        </w:rPr>
      </w:pPr>
    </w:p>
    <w:p>
      <w:pPr>
        <w:jc w:val="both"/>
        <w:ind w:right="80" w:firstLine="889"/>
        <w:spacing w:after="0" w:line="263" w:lineRule="auto"/>
        <w:tabs>
          <w:tab w:leader="none" w:pos="11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3" w:lineRule="exact"/>
        <w:rPr>
          <w:rFonts w:ascii="Arial" w:cs="Arial" w:eastAsia="Arial" w:hAnsi="Arial"/>
          <w:sz w:val="18"/>
          <w:szCs w:val="18"/>
          <w:color w:val="auto"/>
        </w:rPr>
      </w:pPr>
    </w:p>
    <w:p>
      <w:pPr>
        <w:ind w:firstLine="889"/>
        <w:spacing w:after="0" w:line="277" w:lineRule="auto"/>
        <w:tabs>
          <w:tab w:leader="none" w:pos="11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70" w:lineRule="exact"/>
        <w:rPr>
          <w:rFonts w:ascii="Arial" w:cs="Arial" w:eastAsia="Arial" w:hAnsi="Arial"/>
          <w:sz w:val="18"/>
          <w:szCs w:val="18"/>
          <w:color w:val="auto"/>
        </w:rPr>
      </w:pPr>
    </w:p>
    <w:p>
      <w:pPr>
        <w:ind w:right="340" w:firstLine="889"/>
        <w:spacing w:after="0" w:line="342" w:lineRule="auto"/>
        <w:tabs>
          <w:tab w:leader="none" w:pos="1106"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w:t>
      </w:r>
    </w:p>
    <w:p>
      <w:pPr>
        <w:spacing w:after="0" w:line="46" w:lineRule="exact"/>
        <w:rPr>
          <w:sz w:val="20"/>
          <w:szCs w:val="20"/>
          <w:color w:val="auto"/>
        </w:rPr>
      </w:pPr>
    </w:p>
    <w:p>
      <w:pPr>
        <w:ind w:right="60" w:firstLine="8"/>
        <w:spacing w:after="0" w:line="269" w:lineRule="auto"/>
        <w:tabs>
          <w:tab w:leader="none" w:pos="2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Section 4.2.</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1,000,000 Shares.</w:t>
      </w:r>
    </w:p>
    <w:p>
      <w:pPr>
        <w:spacing w:after="0" w:line="184"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6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87" w:lineRule="auto"/>
        <w:tabs>
          <w:tab w:leader="none" w:pos="111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167" w:lineRule="exact"/>
        <w:rPr>
          <w:rFonts w:ascii="Arial" w:cs="Arial" w:eastAsia="Arial" w:hAnsi="Arial"/>
          <w:sz w:val="16"/>
          <w:szCs w:val="16"/>
          <w:color w:val="auto"/>
        </w:rPr>
      </w:pPr>
    </w:p>
    <w:p>
      <w:pPr>
        <w:ind w:firstLine="889"/>
        <w:spacing w:after="0" w:line="268" w:lineRule="auto"/>
        <w:tabs>
          <w:tab w:leader="none" w:pos="113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20" w:right="40" w:firstLine="889"/>
        <w:spacing w:after="0" w:line="255" w:lineRule="auto"/>
        <w:tabs>
          <w:tab w:leader="none" w:pos="11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Liquidation or Dissolution of the Company</w:t>
      </w:r>
      <w:r>
        <w:rPr>
          <w:rFonts w:ascii="Arial" w:cs="Arial" w:eastAsia="Arial" w:hAnsi="Arial"/>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92" w:lineRule="exact"/>
        <w:rPr>
          <w:rFonts w:ascii="Arial" w:cs="Arial" w:eastAsia="Arial" w:hAnsi="Arial"/>
          <w:sz w:val="18"/>
          <w:szCs w:val="18"/>
          <w:color w:val="auto"/>
        </w:rPr>
      </w:pPr>
    </w:p>
    <w:p>
      <w:pPr>
        <w:ind w:left="-20" w:right="40" w:firstLine="889"/>
        <w:spacing w:after="0" w:line="263" w:lineRule="auto"/>
        <w:tabs>
          <w:tab w:leader="none" w:pos="111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may in its discretion grant Awards to any Eligible Person.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Award Agreement</w:t>
      </w:r>
      <w:r>
        <w:rPr>
          <w:rFonts w:ascii="Arial" w:cs="Arial" w:eastAsia="Arial" w:hAnsi="Arial"/>
          <w:sz w:val="17"/>
          <w:szCs w:val="17"/>
          <w:color w:val="auto"/>
        </w:rPr>
        <w:t>. To the extent not set forth in the Plan, the terms and conditions of each Award shall be set forth in an Award Agreement.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General Terms and Termination of Affiliation; Press Release</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54" w:lineRule="auto"/>
        <w:tabs>
          <w:tab w:leader="none" w:pos="8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may impose on any Award or the exercise or settlement thereof, at the date of grant or, subject to the provisions of Section 15,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1" w:lineRule="exact"/>
        <w:rPr>
          <w:rFonts w:ascii="Arial" w:cs="Arial" w:eastAsia="Arial" w:hAnsi="Arial"/>
          <w:sz w:val="18"/>
          <w:szCs w:val="18"/>
          <w:color w:val="auto"/>
        </w:rPr>
      </w:pPr>
    </w:p>
    <w:p>
      <w:pPr>
        <w:ind w:left="-20" w:right="60" w:firstLine="656"/>
        <w:spacing w:after="0" w:line="259" w:lineRule="auto"/>
        <w:tabs>
          <w:tab w:leader="none" w:pos="8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Award shall be evidenced in such form (written, electronic or otherwise) as the Board shall determine. Each Award may contain terms and conditions in addition to those set forth in the Plan. Promptly following the grant of an Award hereunder, the Company must disclose in a press release the material terms of the grant, the number of shares involved, and, if required by law or Nasdaq listing rules, the identity of the Participant and each Participant, by accepting the Award, consents to the foregoing.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225" w:lineRule="exact"/>
        <w:rPr>
          <w:sz w:val="20"/>
          <w:szCs w:val="20"/>
          <w:color w:val="auto"/>
        </w:rPr>
      </w:pPr>
    </w:p>
    <w:p>
      <w:pPr>
        <w:jc w:val="both"/>
        <w:ind w:left="-20" w:right="60" w:firstLine="889"/>
        <w:spacing w:after="0" w:line="311" w:lineRule="auto"/>
        <w:tabs>
          <w:tab w:leader="none" w:pos="1106"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48" w:lineRule="exact"/>
        <w:rPr>
          <w:rFonts w:ascii="Arial" w:cs="Arial" w:eastAsia="Arial" w:hAnsi="Arial"/>
          <w:sz w:val="16"/>
          <w:szCs w:val="16"/>
          <w:color w:val="auto"/>
        </w:rPr>
      </w:pPr>
    </w:p>
    <w:p>
      <w:pPr>
        <w:jc w:val="both"/>
        <w:ind w:left="-20" w:right="40" w:firstLine="889"/>
        <w:spacing w:after="0" w:line="296" w:lineRule="auto"/>
        <w:tabs>
          <w:tab w:leader="none" w:pos="11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16" w:name="page17"/>
    <w:bookmarkEnd w:id="16"/>
    <w:p>
      <w:pPr>
        <w:ind w:right="20" w:firstLine="889"/>
        <w:spacing w:after="0" w:line="287" w:lineRule="auto"/>
        <w:tabs>
          <w:tab w:leader="none" w:pos="11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71" w:lineRule="exact"/>
        <w:rPr>
          <w:rFonts w:ascii="Arial" w:cs="Arial" w:eastAsia="Arial" w:hAnsi="Arial"/>
          <w:sz w:val="16"/>
          <w:szCs w:val="16"/>
          <w:color w:val="auto"/>
        </w:rPr>
      </w:pPr>
    </w:p>
    <w:p>
      <w:pPr>
        <w:ind w:left="1140" w:hanging="251"/>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Nothing herein shall be construed as requiring the Committee to honor a QDRO except to the extent required under applicable law.</w:t>
      </w:r>
    </w:p>
    <w:p>
      <w:pPr>
        <w:spacing w:after="0" w:line="23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5" w:lineRule="auto"/>
        <w:tabs>
          <w:tab w:leader="none" w:pos="11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non-Plan awards or benefits.</w:t>
      </w:r>
    </w:p>
    <w:p>
      <w:pPr>
        <w:spacing w:after="0" w:line="210" w:lineRule="exact"/>
        <w:rPr>
          <w:rFonts w:ascii="Arial" w:cs="Arial" w:eastAsia="Arial" w:hAnsi="Arial"/>
          <w:sz w:val="16"/>
          <w:szCs w:val="16"/>
          <w:color w:val="auto"/>
        </w:rPr>
      </w:pPr>
    </w:p>
    <w:p>
      <w:pPr>
        <w:ind w:right="200" w:firstLine="889"/>
        <w:spacing w:after="0" w:line="284" w:lineRule="auto"/>
        <w:tabs>
          <w:tab w:leader="none" w:pos="11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extent approval of the stockholders of the Company would not be required therefor under the rules of the Nasdaq, 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w:t>
      </w:r>
    </w:p>
    <w:p>
      <w:pPr>
        <w:spacing w:after="0"/>
        <w:rPr>
          <w:rFonts w:ascii="Arial" w:cs="Arial" w:eastAsia="Arial" w:hAnsi="Arial"/>
          <w:sz w:val="16"/>
          <w:szCs w:val="16"/>
          <w:color w:val="auto"/>
        </w:rPr>
      </w:pPr>
      <w:r>
        <w:rPr>
          <w:rFonts w:ascii="Arial" w:cs="Arial" w:eastAsia="Arial" w:hAnsi="Arial"/>
          <w:sz w:val="18"/>
          <w:szCs w:val="18"/>
          <w:color w:val="auto"/>
        </w:rPr>
        <w:t>Section 5.6(b).</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w:t>
      </w:r>
    </w:p>
    <w:p>
      <w:pPr>
        <w:spacing w:after="0" w:line="225" w:lineRule="exact"/>
        <w:rPr>
          <w:sz w:val="20"/>
          <w:szCs w:val="20"/>
          <w:color w:val="auto"/>
        </w:rPr>
      </w:pPr>
    </w:p>
    <w:p>
      <w:pPr>
        <w:ind w:right="180" w:firstLine="889"/>
        <w:spacing w:after="0" w:line="255" w:lineRule="auto"/>
        <w:tabs>
          <w:tab w:leader="none" w:pos="112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firstLine="889"/>
        <w:spacing w:after="0" w:line="296" w:lineRule="auto"/>
        <w:tabs>
          <w:tab w:leader="none" w:pos="113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61" w:lineRule="exact"/>
        <w:rPr>
          <w:rFonts w:ascii="Arial" w:cs="Arial" w:eastAsia="Arial" w:hAnsi="Arial"/>
          <w:sz w:val="16"/>
          <w:szCs w:val="16"/>
          <w:color w:val="auto"/>
        </w:rPr>
      </w:pPr>
    </w:p>
    <w:p>
      <w:pPr>
        <w:ind w:right="120" w:firstLine="889"/>
        <w:spacing w:after="0" w:line="296" w:lineRule="auto"/>
        <w:tabs>
          <w:tab w:leader="none" w:pos="112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 For avoidance of doubt, no Option granted under this Plan shall constitute an incentive stock option, as defined in Section 422 of the Code.</w:t>
      </w:r>
    </w:p>
    <w:p>
      <w:pPr>
        <w:spacing w:after="0" w:line="184"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The term of an Option under this Plan shall not exceed ten (10) years from the Grant Date.</w:t>
      </w:r>
    </w:p>
    <w:p>
      <w:pPr>
        <w:spacing w:after="0" w:line="225"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84" w:lineRule="exact"/>
        <w:rPr>
          <w:sz w:val="20"/>
          <w:szCs w:val="20"/>
          <w:color w:val="auto"/>
        </w:rPr>
      </w:pPr>
    </w:p>
    <w:p>
      <w:pPr>
        <w:ind w:left="1140" w:hanging="25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225" w:lineRule="exact"/>
        <w:rPr>
          <w:rFonts w:ascii="Arial" w:cs="Arial" w:eastAsia="Arial" w:hAnsi="Arial"/>
          <w:sz w:val="18"/>
          <w:szCs w:val="18"/>
          <w:color w:val="auto"/>
        </w:rPr>
      </w:pPr>
    </w:p>
    <w:p>
      <w:pPr>
        <w:ind w:right="60" w:firstLine="889"/>
        <w:spacing w:after="0" w:line="277" w:lineRule="auto"/>
        <w:tabs>
          <w:tab w:leader="none" w:pos="11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 Value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exercise;</w:t>
      </w:r>
    </w:p>
    <w:p>
      <w:pPr>
        <w:spacing w:after="0" w:line="210" w:lineRule="exact"/>
        <w:rPr>
          <w:rFonts w:ascii="Arial" w:cs="Arial" w:eastAsia="Arial" w:hAnsi="Arial"/>
          <w:sz w:val="16"/>
          <w:szCs w:val="16"/>
          <w:color w:val="auto"/>
        </w:rPr>
      </w:pPr>
    </w:p>
    <w:p>
      <w:pPr>
        <w:ind w:right="140" w:firstLine="889"/>
        <w:spacing w:after="0" w:line="277" w:lineRule="auto"/>
        <w:tabs>
          <w:tab w:leader="none" w:pos="11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60" w:firstLine="889"/>
        <w:spacing w:after="0" w:line="279" w:lineRule="auto"/>
        <w:tabs>
          <w:tab w:leader="none" w:pos="1126"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60" w:firstLine="441"/>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Issuance</w:t>
      </w:r>
      <w:r>
        <w:rPr>
          <w:rFonts w:ascii="Arial" w:cs="Arial" w:eastAsia="Arial" w:hAnsi="Arial"/>
          <w:sz w:val="16"/>
          <w:szCs w:val="16"/>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49"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Award Agreements</w:t>
      </w:r>
      <w:r>
        <w:rPr>
          <w:rFonts w:ascii="Arial" w:cs="Arial" w:eastAsia="Arial" w:hAnsi="Arial"/>
          <w:sz w:val="17"/>
          <w:szCs w:val="17"/>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46"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SAR Exercise Price</w:t>
      </w:r>
      <w:r>
        <w:rPr>
          <w:rFonts w:ascii="Arial" w:cs="Arial" w:eastAsia="Arial" w:hAnsi="Arial"/>
          <w:sz w:val="16"/>
          <w:szCs w:val="16"/>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2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170" w:lineRule="exact"/>
        <w:rPr>
          <w:sz w:val="20"/>
          <w:szCs w:val="20"/>
          <w:color w:val="auto"/>
        </w:rPr>
      </w:pPr>
    </w:p>
    <w:p>
      <w:pPr>
        <w:ind w:left="1140" w:hanging="251"/>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70"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23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78"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right="280" w:firstLine="8"/>
        <w:spacing w:after="0" w:line="260"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right="580" w:firstLine="441"/>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70" w:lineRule="exact"/>
        <w:rPr>
          <w:sz w:val="20"/>
          <w:szCs w:val="20"/>
          <w:color w:val="auto"/>
        </w:rPr>
      </w:pPr>
    </w:p>
    <w:p>
      <w:pPr>
        <w:ind w:left="1140" w:hanging="251"/>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Performance Unit</w:t>
      </w:r>
      <w:r>
        <w:rPr>
          <w:rFonts w:ascii="Arial" w:cs="Arial" w:eastAsia="Arial" w:hAnsi="Arial"/>
          <w:sz w:val="18"/>
          <w:szCs w:val="18"/>
          <w:color w:val="auto"/>
        </w:rPr>
        <w:t>. Each Performance Unit shall have an initial value that is established by the Committee at the time of grant.</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24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7"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right="160" w:firstLine="441"/>
        <w:spacing w:after="0" w:line="30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Grant of Deferred Stock and Restricted Stock Units</w:t>
      </w:r>
      <w:r>
        <w:rPr>
          <w:rFonts w:ascii="Arial" w:cs="Arial" w:eastAsia="Arial" w:hAnsi="Arial"/>
          <w:sz w:val="16"/>
          <w:szCs w:val="16"/>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225" w:lineRule="exact"/>
        <w:rPr>
          <w:sz w:val="20"/>
          <w:szCs w:val="20"/>
          <w:color w:val="auto"/>
        </w:rPr>
      </w:pPr>
    </w:p>
    <w:p>
      <w:pPr>
        <w:ind w:right="100" w:firstLine="889"/>
        <w:spacing w:after="0" w:line="271" w:lineRule="auto"/>
        <w:tabs>
          <w:tab w:leader="none" w:pos="112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Delivery with Respect to Restricted Stock Units</w:t>
      </w:r>
      <w:r>
        <w:rPr>
          <w:rFonts w:ascii="Arial" w:cs="Arial" w:eastAsia="Arial" w:hAnsi="Arial"/>
          <w:sz w:val="16"/>
          <w:szCs w:val="16"/>
          <w:color w:val="auto"/>
        </w:rPr>
        <w:t>. Delivery of Shares subject to a grant of Restricted Stock Units shall occur no later than the</w:t>
      </w:r>
    </w:p>
    <w:p>
      <w:pPr>
        <w:spacing w:after="0" w:line="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Voting and Dividend Equivalent Rights Attributable to Deferred Stock and Restricted Stock Units</w:t>
      </w:r>
      <w:r>
        <w:rPr>
          <w:rFonts w:ascii="Arial" w:cs="Arial" w:eastAsia="Arial" w:hAnsi="Arial"/>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Intentionally Omitted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Except as otherwise provided in Section 3.3 with respect to repricings, the Board may amend, modify or terminate any outstanding Award, including but not limited to, substituting therefor another Award of the same or a different type and changing the date of exercise or realization; provided that no amendment that would require stockholder approval under the rules of Nasdaq may be made effective unless and until the Company’s stockholders approve such amendment. The Participant’s consent to such action shall be required unless (i) the Board determines that the action, taking into account any related action, does not materially and adversely affect the Participant’s rights under the Plan or (ii) the change is permitted under Section 4.2.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Deferral and/or Distribution Elections</w:t>
      </w:r>
      <w:r>
        <w:rPr>
          <w:rFonts w:ascii="Arial" w:cs="Arial" w:eastAsia="Arial" w:hAnsi="Arial"/>
          <w:sz w:val="16"/>
          <w:szCs w:val="16"/>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rPr>
          <w:sz w:val="20"/>
          <w:szCs w:val="20"/>
          <w:color w:val="auto"/>
        </w:rPr>
      </w:pPr>
      <w:r>
        <w:rPr>
          <w:rFonts w:ascii="Arial" w:cs="Arial" w:eastAsia="Arial" w:hAnsi="Arial"/>
          <w:sz w:val="18"/>
          <w:szCs w:val="18"/>
          <w:color w:val="auto"/>
        </w:rPr>
        <w:t>409A Award:</w:t>
      </w:r>
    </w:p>
    <w:p>
      <w:pPr>
        <w:spacing w:after="0" w:line="211" w:lineRule="exact"/>
        <w:rPr>
          <w:sz w:val="20"/>
          <w:szCs w:val="20"/>
          <w:color w:val="auto"/>
        </w:rPr>
      </w:pPr>
    </w:p>
    <w:p>
      <w:pPr>
        <w:ind w:right="920" w:firstLine="889"/>
        <w:spacing w:after="0" w:line="342" w:lineRule="auto"/>
        <w:tabs>
          <w:tab w:leader="none" w:pos="11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23" w:lineRule="exact"/>
        <w:rPr>
          <w:rFonts w:ascii="Arial" w:cs="Arial" w:eastAsia="Arial" w:hAnsi="Arial"/>
          <w:sz w:val="16"/>
          <w:szCs w:val="16"/>
          <w:color w:val="auto"/>
        </w:rPr>
      </w:pPr>
    </w:p>
    <w:p>
      <w:pPr>
        <w:jc w:val="both"/>
        <w:ind w:firstLine="889"/>
        <w:spacing w:after="0" w:line="259" w:lineRule="auto"/>
        <w:tabs>
          <w:tab w:leader="none" w:pos="11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86" w:lineRule="exact"/>
        <w:rPr>
          <w:rFonts w:ascii="Arial" w:cs="Arial" w:eastAsia="Arial" w:hAnsi="Arial"/>
          <w:sz w:val="18"/>
          <w:szCs w:val="18"/>
          <w:color w:val="auto"/>
        </w:rPr>
      </w:pPr>
    </w:p>
    <w:p>
      <w:pPr>
        <w:ind w:right="100" w:firstLine="889"/>
        <w:spacing w:after="0" w:line="277" w:lineRule="auto"/>
        <w:tabs>
          <w:tab w:leader="none" w:pos="11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60" w:firstLine="441"/>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70" w:lineRule="exact"/>
        <w:rPr>
          <w:sz w:val="20"/>
          <w:szCs w:val="20"/>
          <w:color w:val="auto"/>
        </w:rPr>
      </w:pPr>
    </w:p>
    <w:p>
      <w:pPr>
        <w:ind w:left="1140" w:hanging="251"/>
        <w:spacing w:after="0"/>
        <w:tabs>
          <w:tab w:leader="none" w:pos="11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236" w:lineRule="exact"/>
        <w:rPr>
          <w:rFonts w:ascii="Arial" w:cs="Arial" w:eastAsia="Arial" w:hAnsi="Arial"/>
          <w:sz w:val="17"/>
          <w:szCs w:val="17"/>
          <w:color w:val="auto"/>
        </w:rPr>
      </w:pPr>
    </w:p>
    <w:p>
      <w:pPr>
        <w:ind w:right="240" w:firstLine="889"/>
        <w:spacing w:after="0" w:line="308" w:lineRule="auto"/>
        <w:tabs>
          <w:tab w:leader="none" w:pos="11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46" w:lineRule="exact"/>
        <w:rPr>
          <w:rFonts w:ascii="Arial" w:cs="Arial" w:eastAsia="Arial" w:hAnsi="Arial"/>
          <w:sz w:val="17"/>
          <w:szCs w:val="17"/>
          <w:color w:val="auto"/>
        </w:rPr>
      </w:pPr>
    </w:p>
    <w:p>
      <w:pPr>
        <w:ind w:right="480" w:firstLine="889"/>
        <w:spacing w:after="0" w:line="277" w:lineRule="auto"/>
        <w:tabs>
          <w:tab w:leader="none" w:pos="11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Distributions Pursuant to Deferral Elections</w:t>
      </w:r>
      <w:r>
        <w:rPr>
          <w:rFonts w:ascii="Arial" w:cs="Arial" w:eastAsia="Arial" w:hAnsi="Arial"/>
          <w:sz w:val="16"/>
          <w:szCs w:val="16"/>
          <w:color w:val="auto"/>
        </w:rPr>
        <w:t>. Except as otherwise permitted or required by Code Section 409A, no distribution in settlement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409A Award may commence earlier than:</w:t>
      </w:r>
    </w:p>
    <w:p>
      <w:pPr>
        <w:spacing w:after="0" w:line="211" w:lineRule="exact"/>
        <w:rPr>
          <w:sz w:val="20"/>
          <w:szCs w:val="20"/>
          <w:color w:val="auto"/>
        </w:rPr>
      </w:pPr>
    </w:p>
    <w:p>
      <w:pPr>
        <w:ind w:left="1140" w:hanging="25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ind w:right="120" w:firstLine="889"/>
        <w:spacing w:after="0" w:line="342" w:lineRule="auto"/>
        <w:tabs>
          <w:tab w:leader="none" w:pos="11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change in ownership of the Company or a substantial portion of its assets within the meaning of Treasury Regulation Section 1.409A-3(i)</w:t>
      </w:r>
    </w:p>
    <w:p>
      <w:pPr>
        <w:spacing w:after="0" w:line="46" w:lineRule="exact"/>
        <w:rPr>
          <w:rFonts w:ascii="Arial" w:cs="Arial" w:eastAsia="Arial" w:hAnsi="Arial"/>
          <w:sz w:val="16"/>
          <w:szCs w:val="16"/>
          <w:color w:val="auto"/>
        </w:rPr>
      </w:pPr>
    </w:p>
    <w:p>
      <w:pPr>
        <w:ind w:right="600"/>
        <w:spacing w:after="0" w:line="260" w:lineRule="auto"/>
        <w:rPr>
          <w:rFonts w:ascii="Arial" w:cs="Arial" w:eastAsia="Arial" w:hAnsi="Arial"/>
          <w:sz w:val="16"/>
          <w:szCs w:val="16"/>
          <w:color w:val="auto"/>
        </w:rPr>
      </w:pPr>
      <w:r>
        <w:rPr>
          <w:rFonts w:ascii="Arial" w:cs="Arial" w:eastAsia="Arial" w:hAnsi="Arial"/>
          <w:sz w:val="18"/>
          <w:szCs w:val="18"/>
          <w:color w:val="auto"/>
        </w:rPr>
        <w:t>(5)(v) or (vii) or a change in effective control of the Company within the meaning of Treasury Regulation Section 1.409A-3(i)(5)(vi) (a “Change in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Six Month Delay</w:t>
      </w:r>
      <w:r>
        <w:rPr>
          <w:rFonts w:ascii="Arial" w:cs="Arial" w:eastAsia="Arial" w:hAnsi="Arial"/>
          <w:sz w:val="16"/>
          <w:szCs w:val="16"/>
          <w:color w:val="auto"/>
        </w:rPr>
        <w:t>. Notwithstanding anything herein or in any Award Agreement or Election to the contrary, to the extent that distribution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Regulation Section 1.409A-1(i)), no distribution may be made before the date which is six (6) months after such Grantee’s Separation from Service, or, if earlier, the date of the Grantee’s death.</w:t>
      </w:r>
    </w:p>
    <w:p>
      <w:pPr>
        <w:spacing w:after="0" w:line="185" w:lineRule="exact"/>
        <w:rPr>
          <w:sz w:val="20"/>
          <w:szCs w:val="20"/>
          <w:color w:val="auto"/>
        </w:rPr>
      </w:pPr>
    </w:p>
    <w:p>
      <w:pPr>
        <w:jc w:val="both"/>
        <w:ind w:right="26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jc w:val="both"/>
        <w:ind w:right="26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7" w:lineRule="auto"/>
        <w:tabs>
          <w:tab w:leader="none" w:pos="11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 w:name="page24"/>
    <w:bookmarkEnd w:id="23"/>
    <w:p>
      <w:pPr>
        <w:ind w:left="880" w:right="100" w:firstLine="450"/>
        <w:spacing w:after="0" w:line="311" w:lineRule="auto"/>
        <w:tabs>
          <w:tab w:leader="none" w:pos="15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48" w:lineRule="exact"/>
        <w:rPr>
          <w:rFonts w:ascii="Arial" w:cs="Arial" w:eastAsia="Arial" w:hAnsi="Arial"/>
          <w:sz w:val="16"/>
          <w:szCs w:val="16"/>
          <w:color w:val="auto"/>
        </w:rPr>
      </w:pPr>
    </w:p>
    <w:p>
      <w:pPr>
        <w:ind w:left="1600" w:hanging="270"/>
        <w:spacing w:after="0"/>
        <w:tabs>
          <w:tab w:leader="none" w:pos="1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delivering part or all of the amount to be withheld in the form of Common Stock valued at its Fair Market Value on the Tax Date;</w:t>
      </w:r>
    </w:p>
    <w:p>
      <w:pPr>
        <w:spacing w:after="0" w:line="236" w:lineRule="exact"/>
        <w:rPr>
          <w:rFonts w:ascii="Arial" w:cs="Arial" w:eastAsia="Arial" w:hAnsi="Arial"/>
          <w:sz w:val="17"/>
          <w:szCs w:val="17"/>
          <w:color w:val="auto"/>
        </w:rPr>
      </w:pPr>
    </w:p>
    <w:p>
      <w:pPr>
        <w:ind w:left="880" w:right="120" w:firstLine="450"/>
        <w:spacing w:after="0" w:line="263" w:lineRule="auto"/>
        <w:tabs>
          <w:tab w:leader="none" w:pos="1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83" w:lineRule="exact"/>
        <w:rPr>
          <w:rFonts w:ascii="Arial" w:cs="Arial" w:eastAsia="Arial" w:hAnsi="Arial"/>
          <w:sz w:val="18"/>
          <w:szCs w:val="18"/>
          <w:color w:val="auto"/>
        </w:rPr>
      </w:pPr>
    </w:p>
    <w:p>
      <w:pPr>
        <w:ind w:left="1640" w:hanging="310"/>
        <w:spacing w:after="0"/>
        <w:tabs>
          <w:tab w:leader="none" w:pos="1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225" w:lineRule="exact"/>
        <w:rPr>
          <w:sz w:val="20"/>
          <w:szCs w:val="20"/>
          <w:color w:val="auto"/>
        </w:rPr>
      </w:pPr>
    </w:p>
    <w:p>
      <w:pPr>
        <w:ind w:left="440" w:right="100" w:firstLine="441"/>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64" w:lineRule="exact"/>
        <w:rPr>
          <w:sz w:val="20"/>
          <w:szCs w:val="20"/>
          <w:color w:val="auto"/>
        </w:rPr>
      </w:pPr>
    </w:p>
    <w:p>
      <w:pPr>
        <w:ind w:firstLine="889"/>
        <w:spacing w:after="0" w:line="277" w:lineRule="auto"/>
        <w:tabs>
          <w:tab w:leader="none" w:pos="11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Grantee who makes an election under Section 83(b) of the Code shall remit to the Company an amount sufficient to satisfy all resulting tax withholding requirements in the same manner as set forth in subsection (a).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election permitted under Section 83(b) of the Code to include in such Grantee’s gross income in the year of transfer the amounts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83(b) of the Code, then such Grantee shall notify the Company of such election within 10 days of filing the notice of the election with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in addition to any filing and notification required pursuant to regulations issued under Section 83(b) of the Code. The Committee may,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grant of an Award or at any time thereafter, prohibit a Grantee from making the election described above.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jc w:val="both"/>
        <w:ind w:right="120" w:firstLine="441"/>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ind w:right="40" w:firstLine="441"/>
        <w:spacing w:after="0" w:line="31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4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87" w:lineRule="auto"/>
        <w:tabs>
          <w:tab w:leader="none" w:pos="11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67" w:lineRule="exact"/>
        <w:rPr>
          <w:rFonts w:ascii="Arial" w:cs="Arial" w:eastAsia="Arial" w:hAnsi="Arial"/>
          <w:sz w:val="16"/>
          <w:szCs w:val="16"/>
          <w:color w:val="auto"/>
        </w:rPr>
      </w:pPr>
    </w:p>
    <w:p>
      <w:pPr>
        <w:ind w:right="140" w:firstLine="889"/>
        <w:spacing w:after="0" w:line="301" w:lineRule="auto"/>
        <w:tabs>
          <w:tab w:leader="none" w:pos="11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57"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Forfeiture Events</w:t>
      </w:r>
      <w:r>
        <w:rPr>
          <w:rFonts w:ascii="Arial" w:cs="Arial" w:eastAsia="Arial" w:hAnsi="Arial"/>
          <w:sz w:val="17"/>
          <w:szCs w:val="17"/>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8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66" w:lineRule="exact"/>
        <w:rPr>
          <w:sz w:val="20"/>
          <w:szCs w:val="20"/>
          <w:color w:val="auto"/>
        </w:rPr>
      </w:pPr>
    </w:p>
    <w:p>
      <w:pPr>
        <w:jc w:val="both"/>
        <w:ind w:right="12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The adoption of the Plan by the Board shall not be construed as creating any limitations on the power of the Board to adopt such other compensatory arrangements for employees as it may deem desirable.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12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6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the Company or any Affiliate.</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u w:val="single" w:color="auto"/>
          <w:color w:val="auto"/>
        </w:rPr>
        <w:t>Construction</w:t>
      </w:r>
      <w:r>
        <w:rPr>
          <w:rFonts w:ascii="Arial" w:cs="Arial" w:eastAsia="Arial" w:hAnsi="Arial"/>
          <w:sz w:val="17"/>
          <w:szCs w:val="17"/>
          <w:color w:val="auto"/>
        </w:rPr>
        <w:t>. The following rules of construction will apply to the Plan: (a) the word “or” is disjunctive but not necessarily exclusive, and</w:t>
      </w:r>
    </w:p>
    <w:p>
      <w:pPr>
        <w:spacing w:after="0" w:line="35" w:lineRule="exact"/>
        <w:rPr>
          <w:sz w:val="20"/>
          <w:szCs w:val="20"/>
          <w:color w:val="auto"/>
        </w:rPr>
      </w:pPr>
    </w:p>
    <w:p>
      <w:pPr>
        <w:ind w:right="320" w:firstLine="8"/>
        <w:spacing w:after="0" w:line="260"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ind w:right="380" w:firstLine="441"/>
        <w:spacing w:after="0" w:line="263"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030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020" cy="26543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ind w:left="7800"/>
        <w:spacing w:after="0" w:line="194" w:lineRule="exact"/>
        <w:rPr>
          <w:sz w:val="20"/>
          <w:szCs w:val="20"/>
          <w:color w:val="auto"/>
        </w:rPr>
      </w:pPr>
      <w:r>
        <w:rPr>
          <w:rFonts w:ascii="SimSun" w:cs="SimSun" w:eastAsia="SimSun" w:hAnsi="SimSun"/>
          <w:sz w:val="16"/>
          <w:szCs w:val="16"/>
          <w:color w:val="auto"/>
          <w:highlight w:val="black"/>
        </w:rPr>
        <w:t>大成</w:t>
      </w:r>
      <w:r>
        <w:rPr>
          <w:rFonts w:ascii="Arial" w:cs="Arial" w:eastAsia="Arial" w:hAnsi="Arial"/>
          <w:sz w:val="16"/>
          <w:szCs w:val="16"/>
          <w:color w:val="auto"/>
        </w:rPr>
        <w:t xml:space="preserve"> Salans FMC SNR Denton McKenna Long</w:t>
      </w:r>
    </w:p>
    <w:p>
      <w:pPr>
        <w:spacing w:after="0" w:line="36"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dentons.com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October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capacity as counsel to Arcturus Therapeutics Holdings Inc., a Delaware corporation (the “Company”), we have been asked to render this opinion in connection with a registration statement on Form S-8 (the “Registration Statement”), being filed contemporaneously herewith by the Company with the Securities and Exchange Commission under the Securities Act of 1933, as amended (the “Act”), covering an aggregate of 1,000,000 shares (the “Shares”) of common stock, par value $0.001 per share, of the Company issuable pursuant to the terms of the Company’s 2021 Inducement Equity Incentive Plan (the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rendering this opinion, we have examined (i) the Company’s Certificate of Incorporation, (ii) the Company’s By-Laws, (iii) the Plan,</w:t>
      </w:r>
    </w:p>
    <w:p>
      <w:pPr>
        <w:spacing w:after="0" w:line="35" w:lineRule="exact"/>
        <w:rPr>
          <w:sz w:val="20"/>
          <w:szCs w:val="20"/>
          <w:color w:val="auto"/>
        </w:rPr>
      </w:pPr>
    </w:p>
    <w:p>
      <w:pPr>
        <w:ind w:right="180" w:firstLine="8"/>
        <w:spacing w:after="0" w:line="260"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(v) corporate proceedings of the Company relating to the Plan, and (vi) such other instruments and documents as we have deemed relevant under the circumstances.</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the Company’s common stock, par value $0.001 per share,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Based upon the foregoing and subject to the assumptions and qualifications set forth herein, we are of the opinion that the Shares have been duly and validly authorized and, when issued and paid for in accordance with the terms of the Plan, will be duly and validly issued, fully paid and non-assessable.</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line="263" w:lineRule="auto"/>
        <w:rPr>
          <w:sz w:val="20"/>
          <w:szCs w:val="20"/>
          <w:color w:val="auto"/>
        </w:rPr>
      </w:pPr>
      <w:r>
        <w:rPr>
          <w:rFonts w:ascii="Arial" w:cs="Arial" w:eastAsia="Arial" w:hAnsi="Arial"/>
          <w:sz w:val="18"/>
          <w:szCs w:val="18"/>
          <w:color w:val="auto"/>
        </w:rPr>
        <w:t>We hereby consent to the use of our opinion as an exhibit to the Registration Statement. In giving such consent, we do not hereby admit that we come within the category of persons whose consent is required under Section 7 of the Act, or the rules and regulations of the Securities and Exchange Commission thereunder.</w:t>
      </w:r>
    </w:p>
    <w:p>
      <w:pPr>
        <w:spacing w:after="0" w:line="40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0780"/>
          </w:cols>
          <w:pgMar w:left="320" w:top="341" w:right="799" w:bottom="1440" w:gutter="0" w:footer="0" w:header="0"/>
        </w:sectPr>
      </w:pPr>
    </w:p>
    <w:bookmarkStart w:id="28" w:name="page29"/>
    <w:bookmarkEnd w:id="28"/>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Arcturus Therapeutics Holdings Inc. 2021 Inducement Equity Incentive Plan of our reports dated March 1, 2021,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2020, filed with the Securities and Exchange Commission.</w:t>
      </w:r>
    </w:p>
    <w:p>
      <w:pPr>
        <w:spacing w:after="0" w:line="1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2021</w:t>
      </w:r>
    </w:p>
    <w:sectPr>
      <w:pgSz w:w="11900" w:h="16838" w:orient="portrait"/>
      <w:cols w:equalWidth="0" w:num="1">
        <w:col w:w="10720"/>
      </w:cols>
      <w:pgMar w:left="320" w:top="36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lowerRoman"/>
      <w:start w:val="1"/>
    </w:lvl>
  </w:abstractNum>
  <w:abstractNum w:abstractNumId="2">
    <w:nsid w:val="721DA317"/>
    <w:multiLevelType w:val="hybridMultilevel"/>
    <w:lvl w:ilvl="0">
      <w:lvlJc w:val="left"/>
      <w:lvlText w:val="(%1)"/>
      <w:numFmt w:val="lowerRoman"/>
      <w:start w:val="3"/>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lowerRoman"/>
      <w:start w:val="2"/>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lowerLetter"/>
      <w:start w:val="2"/>
    </w:lvl>
  </w:abstractNum>
  <w:abstractNum w:abstractNumId="9">
    <w:nsid w:val="4353D0CD"/>
    <w:multiLevelType w:val="hybridMultilevel"/>
    <w:lvl w:ilvl="0">
      <w:lvlJc w:val="left"/>
      <w:lvlText w:val="%1"/>
      <w:numFmt w:val="lowerLetter"/>
      <w:start w:val="1"/>
    </w:lvl>
    <w:lvl w:ilvl="1">
      <w:lvlJc w:val="left"/>
      <w:lvlText w:val="(%2)"/>
      <w:numFmt w:val="lowerLetter"/>
      <w:start w:val="1"/>
    </w:lvl>
  </w:abstractNum>
  <w:abstractNum w:abstractNumId="10">
    <w:nsid w:val="B03E0C6"/>
    <w:multiLevelType w:val="hybridMultilevel"/>
    <w:lvl w:ilvl="0">
      <w:lvlJc w:val="left"/>
      <w:lvlText w:val="(%1)"/>
      <w:numFmt w:val="lowerLetter"/>
      <w:start w:val="9"/>
    </w:lvl>
    <w:lvl w:ilvl="1">
      <w:lvlJc w:val="left"/>
      <w:lvlText w:val="(%2)"/>
      <w:numFmt w:val="lowerLetter"/>
      <w:start w:val="3"/>
    </w:lvl>
  </w:abstractNum>
  <w:abstractNum w:abstractNumId="11">
    <w:nsid w:val="189A769B"/>
    <w:multiLevelType w:val="hybridMultilevel"/>
    <w:lvl w:ilvl="0">
      <w:lvlJc w:val="left"/>
      <w:lvlText w:val="(%1)"/>
      <w:numFmt w:val="lowerLetter"/>
      <w:start w:val="1"/>
    </w:lvl>
    <w:lvl w:ilvl="1">
      <w:lvlJc w:val="left"/>
      <w:lvlText w:val="(%2)"/>
      <w:numFmt w:val="lowerRoman"/>
      <w:start w:val="1"/>
    </w:lvl>
  </w:abstractNum>
  <w:abstractNum w:abstractNumId="12">
    <w:nsid w:val="54E49EB4"/>
    <w:multiLevelType w:val="hybridMultilevel"/>
    <w:lvl w:ilvl="0">
      <w:lvlJc w:val="left"/>
      <w:lvlText w:val="(%1)"/>
      <w:numFmt w:val="lowerLetter"/>
      <w:start w:val="2"/>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lvl w:ilvl="1">
      <w:lvlJc w:val="left"/>
      <w:lvlText w:val="(%2)"/>
      <w:numFmt w:val="lowerLetter"/>
      <w:start w:val="9"/>
    </w:lvl>
  </w:abstractNum>
  <w:abstractNum w:abstractNumId="16">
    <w:nsid w:val="2901D82"/>
    <w:multiLevelType w:val="hybridMultilevel"/>
    <w:lvl w:ilvl="0">
      <w:lvlJc w:val="left"/>
      <w:lvlText w:val="(%1)"/>
      <w:numFmt w:val="lowerLetter"/>
      <w:start w:val="35"/>
    </w:lvl>
    <w:lvl w:ilvl="1">
      <w:lvlJc w:val="left"/>
      <w:lvlText w:val="(%2)"/>
      <w:numFmt w:val="lowerLetter"/>
      <w:start w:val="14"/>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3"/>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3"/>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5"/>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5"/>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2"/>
    </w:lvl>
  </w:abstractNum>
  <w:abstractNum w:abstractNumId="40">
    <w:nsid w:val="153EA43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2021-10-20T16:25:27Z</dcterms:created>
  <dcterms:modified xsi:type="dcterms:W3CDTF">2021-10-20T16:25:27Z</dcterms:modified>
</cp:coreProperties>
</file>