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640" w:type="dxa"/>
            <w:vAlign w:val="bottom"/>
            <w:vMerge w:val="restart"/>
          </w:tcPr>
          <w:p>
            <w:pPr>
              <w:jc w:val="center"/>
              <w:ind w:left="3525"/>
              <w:spacing w:after="0"/>
              <w:rPr>
                <w:sz w:val="20"/>
                <w:szCs w:val="20"/>
                <w:color w:val="auto"/>
              </w:rPr>
            </w:pPr>
            <w:r>
              <w:rPr>
                <w:rFonts w:ascii="Arial" w:cs="Arial" w:eastAsia="Arial" w:hAnsi="Arial"/>
                <w:sz w:val="18"/>
                <w:szCs w:val="18"/>
                <w:b w:val="1"/>
                <w:bCs w:val="1"/>
                <w:color w:val="auto"/>
                <w:w w:val="97"/>
              </w:rPr>
              <w:t>FORM 12b-25</w:t>
            </w:r>
          </w:p>
        </w:tc>
        <w:tc>
          <w:tcPr>
            <w:tcW w:w="1380" w:type="dxa"/>
            <w:vAlign w:val="bottom"/>
            <w:tcBorders>
              <w:right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231F20"/>
              </w:rPr>
              <w:t>OMB APPROVAL</w:t>
            </w:r>
          </w:p>
        </w:tc>
        <w:tc>
          <w:tcPr>
            <w:tcW w:w="0" w:type="dxa"/>
            <w:vAlign w:val="bottom"/>
          </w:tcPr>
          <w:p>
            <w:pPr>
              <w:spacing w:after="0"/>
              <w:rPr>
                <w:sz w:val="1"/>
                <w:szCs w:val="1"/>
                <w:color w:val="auto"/>
              </w:rPr>
            </w:pPr>
          </w:p>
        </w:tc>
      </w:tr>
      <w:tr>
        <w:trPr>
          <w:trHeight w:val="195"/>
        </w:trPr>
        <w:tc>
          <w:tcPr>
            <w:tcW w:w="7640" w:type="dxa"/>
            <w:vAlign w:val="bottom"/>
            <w:vMerge w:val="continue"/>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231F20"/>
                <w:w w:val="94"/>
              </w:rPr>
              <w:t>OMB Number:…….3235-0058</w:t>
            </w:r>
          </w:p>
        </w:tc>
        <w:tc>
          <w:tcPr>
            <w:tcW w:w="0" w:type="dxa"/>
            <w:vAlign w:val="bottom"/>
          </w:tcPr>
          <w:p>
            <w:pPr>
              <w:spacing w:after="0"/>
              <w:rPr>
                <w:sz w:val="1"/>
                <w:szCs w:val="1"/>
                <w:color w:val="auto"/>
              </w:rPr>
            </w:pPr>
          </w:p>
        </w:tc>
      </w:tr>
      <w:tr>
        <w:trPr>
          <w:trHeight w:val="216"/>
        </w:trPr>
        <w:tc>
          <w:tcPr>
            <w:tcW w:w="7640" w:type="dxa"/>
            <w:vAlign w:val="bottom"/>
            <w:vMerge w:val="restart"/>
          </w:tcPr>
          <w:p>
            <w:pPr>
              <w:jc w:val="center"/>
              <w:ind w:left="3525"/>
              <w:spacing w:after="0"/>
              <w:rPr>
                <w:sz w:val="20"/>
                <w:szCs w:val="20"/>
                <w:color w:val="auto"/>
              </w:rPr>
            </w:pPr>
            <w:r>
              <w:rPr>
                <w:rFonts w:ascii="Arial" w:cs="Arial" w:eastAsia="Arial" w:hAnsi="Arial"/>
                <w:sz w:val="18"/>
                <w:szCs w:val="18"/>
                <w:b w:val="1"/>
                <w:bCs w:val="1"/>
                <w:color w:val="auto"/>
              </w:rPr>
              <w:t>NOTIFICATION OF LATE FILING</w:t>
            </w:r>
          </w:p>
        </w:tc>
        <w:tc>
          <w:tcPr>
            <w:tcW w:w="13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231F20"/>
                <w:w w:val="90"/>
              </w:rPr>
              <w:t>Expires:October 31, 2018</w:t>
            </w:r>
          </w:p>
        </w:tc>
        <w:tc>
          <w:tcPr>
            <w:tcW w:w="0" w:type="dxa"/>
            <w:vAlign w:val="bottom"/>
          </w:tcPr>
          <w:p>
            <w:pPr>
              <w:spacing w:after="0"/>
              <w:rPr>
                <w:sz w:val="1"/>
                <w:szCs w:val="1"/>
                <w:color w:val="auto"/>
              </w:rPr>
            </w:pPr>
          </w:p>
        </w:tc>
      </w:tr>
      <w:tr>
        <w:trPr>
          <w:trHeight w:val="216"/>
        </w:trPr>
        <w:tc>
          <w:tcPr>
            <w:tcW w:w="7640" w:type="dxa"/>
            <w:vAlign w:val="bottom"/>
            <w:vMerge w:val="continue"/>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231F20"/>
              </w:rPr>
              <w:t>Estimated average burden</w:t>
            </w: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231F20"/>
                <w:w w:val="95"/>
              </w:rPr>
              <w:t>hours per response..........2.50</w:t>
            </w:r>
          </w:p>
        </w:tc>
        <w:tc>
          <w:tcPr>
            <w:tcW w:w="0" w:type="dxa"/>
            <w:vAlign w:val="bottom"/>
          </w:tcPr>
          <w:p>
            <w:pPr>
              <w:spacing w:after="0"/>
              <w:rPr>
                <w:sz w:val="1"/>
                <w:szCs w:val="1"/>
                <w:color w:val="auto"/>
              </w:rPr>
            </w:pPr>
          </w:p>
        </w:tc>
      </w:tr>
      <w:tr>
        <w:trPr>
          <w:trHeight w:val="202"/>
        </w:trPr>
        <w:tc>
          <w:tcPr>
            <w:tcW w:w="7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480"/>
              <w:spacing w:after="0" w:line="201" w:lineRule="exact"/>
              <w:rPr>
                <w:sz w:val="20"/>
                <w:szCs w:val="20"/>
                <w:color w:val="auto"/>
              </w:rPr>
            </w:pPr>
            <w:r>
              <w:rPr>
                <w:rFonts w:ascii="Arial" w:cs="Arial" w:eastAsia="Arial" w:hAnsi="Arial"/>
                <w:sz w:val="18"/>
                <w:szCs w:val="18"/>
                <w:color w:val="auto"/>
              </w:rPr>
              <w:t>SEC FILE NUMBER</w:t>
            </w: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1520" w:type="dxa"/>
            <w:vAlign w:val="bottom"/>
            <w:tcBorders>
              <w:right w:val="single" w:sz="8" w:color="auto"/>
            </w:tcBorders>
            <w:gridSpan w:val="2"/>
          </w:tcPr>
          <w:p>
            <w:pPr>
              <w:spacing w:after="0"/>
              <w:rPr>
                <w:sz w:val="20"/>
                <w:szCs w:val="20"/>
                <w:color w:val="auto"/>
              </w:rPr>
            </w:pPr>
          </w:p>
        </w:tc>
        <w:tc>
          <w:tcPr>
            <w:tcW w:w="22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001-35932</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418"/>
        </w:trPr>
        <w:tc>
          <w:tcPr>
            <w:tcW w:w="7640" w:type="dxa"/>
            <w:vAlign w:val="bottom"/>
          </w:tcPr>
          <w:p>
            <w:pPr>
              <w:spacing w:after="0"/>
              <w:rPr>
                <w:sz w:val="24"/>
                <w:szCs w:val="24"/>
                <w:color w:val="auto"/>
              </w:rPr>
            </w:pPr>
          </w:p>
        </w:tc>
        <w:tc>
          <w:tcPr>
            <w:tcW w:w="1520" w:type="dxa"/>
            <w:vAlign w:val="bottom"/>
            <w:tcBorders>
              <w:right w:val="single" w:sz="8" w:color="auto"/>
            </w:tcBorders>
            <w:gridSpan w:val="2"/>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640" w:type="dxa"/>
            <w:vAlign w:val="bottom"/>
          </w:tcPr>
          <w:p>
            <w:pPr>
              <w:spacing w:after="0" w:line="207" w:lineRule="exact"/>
              <w:rPr>
                <w:sz w:val="20"/>
                <w:szCs w:val="20"/>
                <w:color w:val="auto"/>
              </w:rPr>
            </w:pPr>
            <w:r>
              <w:rPr>
                <w:rFonts w:ascii="Arial" w:cs="Arial" w:eastAsia="Arial" w:hAnsi="Arial"/>
                <w:sz w:val="18"/>
                <w:szCs w:val="18"/>
                <w:i w:val="1"/>
                <w:iCs w:val="1"/>
                <w:color w:val="auto"/>
              </w:rPr>
              <w:t>(Check one):</w:t>
            </w:r>
            <w:r>
              <w:rPr>
                <w:rFonts w:ascii="MS PGothic" w:cs="MS PGothic" w:eastAsia="MS PGothic" w:hAnsi="MS PGothic"/>
                <w:sz w:val="18"/>
                <w:szCs w:val="18"/>
                <w:color w:val="auto"/>
              </w:rPr>
              <w:t xml:space="preserve">☐ </w:t>
            </w:r>
            <w:r>
              <w:rPr>
                <w:rFonts w:ascii="Arial" w:cs="Arial" w:eastAsia="Arial" w:hAnsi="Arial"/>
                <w:sz w:val="18"/>
                <w:szCs w:val="18"/>
                <w:color w:val="auto"/>
              </w:rPr>
              <w:t>Form10 K</w:t>
            </w:r>
            <w:r>
              <w:rPr>
                <w:rFonts w:ascii="MS PGothic" w:cs="MS PGothic" w:eastAsia="MS PGothic" w:hAnsi="MS PGothic"/>
                <w:sz w:val="18"/>
                <w:szCs w:val="18"/>
                <w:color w:val="auto"/>
              </w:rPr>
              <w:t xml:space="preserve">    ☒ </w:t>
            </w:r>
            <w:r>
              <w:rPr>
                <w:rFonts w:ascii="Arial" w:cs="Arial" w:eastAsia="Arial" w:hAnsi="Arial"/>
                <w:sz w:val="18"/>
                <w:szCs w:val="18"/>
                <w:color w:val="auto"/>
              </w:rPr>
              <w:t>Form 20-F</w:t>
            </w:r>
            <w:r>
              <w:rPr>
                <w:rFonts w:ascii="MS PGothic" w:cs="MS PGothic" w:eastAsia="MS PGothic" w:hAnsi="MS PGothic"/>
                <w:sz w:val="18"/>
                <w:szCs w:val="18"/>
                <w:color w:val="auto"/>
              </w:rPr>
              <w:t xml:space="preserve">    ☐ </w:t>
            </w:r>
            <w:r>
              <w:rPr>
                <w:rFonts w:ascii="Arial" w:cs="Arial" w:eastAsia="Arial" w:hAnsi="Arial"/>
                <w:sz w:val="18"/>
                <w:szCs w:val="18"/>
                <w:color w:val="auto"/>
              </w:rPr>
              <w:t>Form 11-K</w:t>
            </w:r>
            <w:r>
              <w:rPr>
                <w:rFonts w:ascii="MS PGothic" w:cs="MS PGothic" w:eastAsia="MS PGothic" w:hAnsi="MS PGothic"/>
                <w:sz w:val="18"/>
                <w:szCs w:val="18"/>
                <w:color w:val="auto"/>
              </w:rPr>
              <w:t xml:space="preserve">   ☐ </w:t>
            </w:r>
            <w:r>
              <w:rPr>
                <w:rFonts w:ascii="Arial" w:cs="Arial" w:eastAsia="Arial" w:hAnsi="Arial"/>
                <w:sz w:val="18"/>
                <w:szCs w:val="18"/>
                <w:color w:val="auto"/>
              </w:rPr>
              <w:t>Form 10-Q</w:t>
            </w:r>
            <w:r>
              <w:rPr>
                <w:rFonts w:ascii="MS PGothic" w:cs="MS PGothic" w:eastAsia="MS PGothic" w:hAnsi="MS PGothic"/>
                <w:sz w:val="18"/>
                <w:szCs w:val="18"/>
                <w:color w:val="auto"/>
              </w:rPr>
              <w:t xml:space="preserve">   ☐ </w:t>
            </w:r>
            <w:r>
              <w:rPr>
                <w:rFonts w:ascii="Arial" w:cs="Arial" w:eastAsia="Arial" w:hAnsi="Arial"/>
                <w:sz w:val="18"/>
                <w:szCs w:val="18"/>
                <w:color w:val="auto"/>
              </w:rPr>
              <w:t>Form 10-D</w:t>
            </w:r>
          </w:p>
        </w:tc>
        <w:tc>
          <w:tcPr>
            <w:tcW w:w="3780" w:type="dxa"/>
            <w:vAlign w:val="bottom"/>
            <w:gridSpan w:val="3"/>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tc>
        <w:tc>
          <w:tcPr>
            <w:tcW w:w="0" w:type="dxa"/>
            <w:vAlign w:val="bottom"/>
          </w:tcPr>
          <w:p>
            <w:pPr>
              <w:spacing w:after="0"/>
              <w:rPr>
                <w:sz w:val="1"/>
                <w:szCs w:val="1"/>
                <w:color w:val="auto"/>
              </w:rPr>
            </w:pPr>
          </w:p>
        </w:tc>
      </w:tr>
      <w:tr>
        <w:trPr>
          <w:trHeight w:val="283"/>
        </w:trPr>
        <w:tc>
          <w:tcPr>
            <w:tcW w:w="7640" w:type="dxa"/>
            <w:vAlign w:val="bottom"/>
          </w:tcPr>
          <w:p>
            <w:pPr>
              <w:ind w:left="1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u w:val="single" w:color="auto"/>
          <w:color w:val="auto"/>
        </w:rPr>
        <w:t>December 31, 2017</w:t>
      </w:r>
    </w:p>
    <w:p>
      <w:pPr>
        <w:spacing w:after="0" w:line="18" w:lineRule="exact"/>
        <w:rPr>
          <w:sz w:val="24"/>
          <w:szCs w:val="24"/>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For the Transition Period Ended: 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Alcobra Ltd.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7242810</wp:posOffset>
            </wp:positionH>
            <wp:positionV relativeFrom="paragraph">
              <wp:posOffset>117475</wp:posOffset>
            </wp:positionV>
            <wp:extent cx="8890" cy="892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9217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117475</wp:posOffset>
            </wp:positionV>
            <wp:extent cx="8890" cy="892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92175"/>
                    </a:xfrm>
                    <a:prstGeom prst="rect">
                      <a:avLst/>
                    </a:prstGeom>
                    <a:noFill/>
                  </pic:spPr>
                </pic:pic>
              </a:graphicData>
            </a:graphic>
          </wp:anchor>
        </w:drawing>
      </w:r>
    </w:p>
    <w:p>
      <w:pPr>
        <w:spacing w:after="0" w:line="204" w:lineRule="exact"/>
        <w:rPr>
          <w:sz w:val="24"/>
          <w:szCs w:val="24"/>
          <w:color w:val="auto"/>
        </w:rPr>
      </w:pPr>
    </w:p>
    <w:p>
      <w:pPr>
        <w:ind w:left="1220" w:hanging="514"/>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3" w:lineRule="exact"/>
        <w:rPr>
          <w:rFonts w:ascii="Arial" w:cs="Arial" w:eastAsia="Arial" w:hAnsi="Arial"/>
          <w:sz w:val="18"/>
          <w:szCs w:val="18"/>
          <w:color w:val="auto"/>
        </w:rPr>
      </w:pPr>
    </w:p>
    <w:p>
      <w:pPr>
        <w:ind w:left="1280" w:hanging="574"/>
        <w:spacing w:after="0"/>
        <w:tabs>
          <w:tab w:leader="none" w:pos="12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N-SAR or Form N-CSR, or</w:t>
      </w:r>
    </w:p>
    <w:p>
      <w:pPr>
        <w:spacing w:after="0" w:line="20" w:lineRule="exact"/>
        <w:rPr>
          <w:rFonts w:ascii="Arial" w:cs="Arial" w:eastAsia="Arial" w:hAnsi="Arial"/>
          <w:sz w:val="17"/>
          <w:szCs w:val="17"/>
          <w:color w:val="auto"/>
        </w:rPr>
      </w:pPr>
    </w:p>
    <w:p>
      <w:pPr>
        <w:jc w:val="both"/>
        <w:ind w:left="700" w:right="120" w:hanging="505"/>
        <w:spacing w:after="0" w:line="250" w:lineRule="auto"/>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MS PGothic" w:cs="MS PGothic" w:eastAsia="MS PGothic" w:hAnsi="MS PGothic"/>
          <w:sz w:val="18"/>
          <w:szCs w:val="18"/>
          <w:color w:val="auto"/>
        </w:rPr>
      </w:pPr>
    </w:p>
    <w:p>
      <w:pPr>
        <w:ind w:left="1220" w:hanging="514"/>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State below in reasonable detail why Forms 10-K, 20-F, 11-K, 10-Q,10-D, N-SAR, N-CSR, or the transition report or portion thereof, could not be filed within the prescribed time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right="100" w:firstLine="648"/>
        <w:spacing w:after="0" w:line="255" w:lineRule="auto"/>
        <w:rPr>
          <w:sz w:val="20"/>
          <w:szCs w:val="20"/>
          <w:color w:val="auto"/>
        </w:rPr>
      </w:pPr>
      <w:r>
        <w:rPr>
          <w:rFonts w:ascii="Arial" w:cs="Arial" w:eastAsia="Arial" w:hAnsi="Arial"/>
          <w:sz w:val="18"/>
          <w:szCs w:val="18"/>
          <w:color w:val="auto"/>
        </w:rPr>
        <w:t>Arcturus Therapeutics Ltd. (the “Company”) is unable to timely file its Annual Report on Form 20-F for the year ended December 31, 2017 (the “2017 Form 20-F”) in a timely manner without unreasonable effort and expense as a result of the completion of a merger transaction on November 15, 2017 with Arcturus Therapeutics, Inc. From an accounting perspective, Arcturus Therapeutics, Inc. was deemed the accounting acquirer in the transaction, and the Company was the deemed the accounting acquiree. Accordingly, the Company’s financial statements will reflect Arcturus Therapeutics, Inc.’s financial statements up to November 15, 2017, and the combined financial statements for the period subsequent to November 15, 2017. In light of the complexities involved in this transaction, the Company requires additional time to complete its consolidated financial statements for the fiscal year ended December 31, 2017.</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anticipates that the 2017 Form 20-F will be filed on or before the fifteenth calendar day following the prescribed due date for the 2017 Form 20-F.</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Mark Herbert</w:t>
            </w:r>
          </w:p>
        </w:tc>
        <w:tc>
          <w:tcPr>
            <w:tcW w:w="3640" w:type="dxa"/>
            <w:vAlign w:val="bottom"/>
          </w:tcPr>
          <w:p>
            <w:pPr>
              <w:jc w:val="right"/>
              <w:ind w:right="1550"/>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21"/>
                <w:szCs w:val="21"/>
                <w:color w:val="auto"/>
              </w:rPr>
            </w:pPr>
          </w:p>
        </w:tc>
        <w:tc>
          <w:tcPr>
            <w:tcW w:w="3640" w:type="dxa"/>
            <w:vAlign w:val="bottom"/>
          </w:tcPr>
          <w:p>
            <w:pPr>
              <w:jc w:val="right"/>
              <w:ind w:right="1390"/>
              <w:spacing w:after="0"/>
              <w:rPr>
                <w:sz w:val="20"/>
                <w:szCs w:val="20"/>
                <w:color w:val="auto"/>
              </w:rPr>
            </w:pPr>
            <w:r>
              <w:rPr>
                <w:rFonts w:ascii="Arial" w:cs="Arial" w:eastAsia="Arial" w:hAnsi="Arial"/>
                <w:sz w:val="18"/>
                <w:szCs w:val="18"/>
                <w:color w:val="auto"/>
              </w:rPr>
              <w:t>900-2660</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6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500" w:hanging="492"/>
        <w:spacing w:after="0" w:line="227" w:lineRule="exact"/>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 identify report(s).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500" w:hanging="492"/>
        <w:spacing w:after="0" w:line="233" w:lineRule="exact"/>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rFonts w:ascii="Arial" w:cs="Arial" w:eastAsia="Arial" w:hAnsi="Arial"/>
          <w:sz w:val="18"/>
          <w:szCs w:val="18"/>
          <w:color w:val="auto"/>
        </w:rPr>
      </w:pPr>
    </w:p>
    <w:p>
      <w:pPr>
        <w:ind w:left="500" w:right="20"/>
        <w:spacing w:after="0" w:line="277" w:lineRule="auto"/>
        <w:rPr>
          <w:rFonts w:ascii="Arial" w:cs="Arial" w:eastAsia="Arial" w:hAnsi="Arial"/>
          <w:sz w:val="18"/>
          <w:szCs w:val="18"/>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66"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color w:val="auto"/>
        </w:rPr>
        <w:t>Forward Looking Statements</w:t>
      </w:r>
    </w:p>
    <w:p>
      <w:pPr>
        <w:spacing w:after="0" w:line="229" w:lineRule="exact"/>
        <w:rPr>
          <w:rFonts w:ascii="Arial" w:cs="Arial" w:eastAsia="Arial" w:hAnsi="Arial"/>
          <w:sz w:val="18"/>
          <w:szCs w:val="18"/>
          <w:color w:val="auto"/>
        </w:rPr>
      </w:pPr>
    </w:p>
    <w:p>
      <w:pPr>
        <w:jc w:val="both"/>
        <w:ind w:left="500"/>
        <w:spacing w:after="0" w:line="253" w:lineRule="auto"/>
        <w:rPr>
          <w:rFonts w:ascii="Arial" w:cs="Arial" w:eastAsia="Arial" w:hAnsi="Arial"/>
          <w:sz w:val="18"/>
          <w:szCs w:val="18"/>
          <w:color w:val="auto"/>
        </w:rPr>
      </w:pPr>
      <w:r>
        <w:rPr>
          <w:rFonts w:ascii="Arial" w:cs="Arial" w:eastAsia="Arial" w:hAnsi="Arial"/>
          <w:sz w:val="18"/>
          <w:szCs w:val="18"/>
          <w:color w:val="auto"/>
        </w:rPr>
        <w:t>Except for the historical statements contained herein, this notification includes forward-looking statements within the meaning of Section 21E of the Exchange Act of 1934, including statements regarding the estimated timing for the filing of the Company’s Form 20-F. Actual results could differ materially from these forward-looking statements as a result of certain factors, including, without limitation: the Company’s inability to complete the work required to file the Form 20-F in the timeframe that is anticipated; risks related to the Company’s ability to finalize the financial statements to be included in the Form 20-F, including those related to the need to complete the Company’s internal review and the performance of the requisite procedures by its independent registered public accounting firm; as well as other risks detailed in the Company’s filings with the Securities and Exchange Commission, including under the heading “Risk Factors” in the Company’s Annual Report on Form 20-F for the fiscal year ended December 31, 2016, filed with the Securities and Exchange Commission on April 28, 2017 and in subsequent filings with, or submissions to, the Securities and Exchange Commission. The Company disclaims any obligation or undertaking to update or revise any forward-looking statements contained in this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Date April 27, 2018</w:t>
      </w:r>
      <w:r>
        <w:rPr>
          <w:sz w:val="20"/>
          <w:szCs w:val="20"/>
          <w:color w:val="auto"/>
        </w:rPr>
        <w:tab/>
      </w:r>
      <w:r>
        <w:rPr>
          <w:rFonts w:ascii="Arial" w:cs="Arial" w:eastAsia="Arial" w:hAnsi="Arial"/>
          <w:sz w:val="16"/>
          <w:szCs w:val="16"/>
          <w:color w:val="auto"/>
        </w:rPr>
        <w:t>By: /s/ Mark Herbert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2019-12-08T04:12:57Z</dcterms:created>
  <dcterms:modified xsi:type="dcterms:W3CDTF">2019-12-08T04:12:57Z</dcterms:modified>
</cp:coreProperties>
</file>