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333-230353</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PROXY STATEMENT OF ARCTURUS THERAPEUTICS LTD.</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OF ARCTURUS THERAPEUTICS HOLDINGS INC.</w:t>
      </w:r>
    </w:p>
    <w:p>
      <w:pPr>
        <w:spacing w:after="0" w:line="211" w:lineRule="exact"/>
        <w:rPr>
          <w:sz w:val="24"/>
          <w:szCs w:val="24"/>
          <w:color w:val="auto"/>
        </w:rPr>
      </w:pPr>
    </w:p>
    <w:p>
      <w:pPr>
        <w:ind w:left="200"/>
        <w:spacing w:after="0"/>
        <w:rPr>
          <w:sz w:val="20"/>
          <w:szCs w:val="20"/>
          <w:color w:val="auto"/>
        </w:rPr>
      </w:pPr>
      <w:r>
        <w:rPr>
          <w:rFonts w:ascii="Arial" w:cs="Arial" w:eastAsia="Arial" w:hAnsi="Arial"/>
          <w:sz w:val="18"/>
          <w:szCs w:val="18"/>
          <w:color w:val="auto"/>
        </w:rPr>
        <w:t>Dear Shareholders of Arcturus Therapeutics Ltd.:</w:t>
      </w:r>
    </w:p>
    <w:p>
      <w:pPr>
        <w:spacing w:after="0" w:line="225" w:lineRule="exact"/>
        <w:rPr>
          <w:sz w:val="24"/>
          <w:szCs w:val="24"/>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We are making this proxy statement/prospectus available in connection with the solicitation by the board of directors of Arcturus Therapeutics Ltd. (“</w:t>
      </w:r>
      <w:r>
        <w:rPr>
          <w:rFonts w:ascii="Arial" w:cs="Arial" w:eastAsia="Arial" w:hAnsi="Arial"/>
          <w:sz w:val="18"/>
          <w:szCs w:val="18"/>
          <w:b w:val="1"/>
          <w:bCs w:val="1"/>
          <w:color w:val="auto"/>
        </w:rPr>
        <w:t>Arcturus-Israel</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of proxies to be voted at a shareholder meeting to be convened for the purposes set forth in the accompanying Notice of a Special Meeting of Arcturus’ Shareholders.</w:t>
      </w:r>
    </w:p>
    <w:p>
      <w:pPr>
        <w:spacing w:after="0" w:line="17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The board of directors of Arcturus-Israel (the “</w:t>
      </w:r>
      <w:r>
        <w:rPr>
          <w:rFonts w:ascii="Arial" w:cs="Arial" w:eastAsia="Arial" w:hAnsi="Arial"/>
          <w:sz w:val="16"/>
          <w:szCs w:val="16"/>
          <w:b w:val="1"/>
          <w:bCs w:val="1"/>
          <w:color w:val="auto"/>
        </w:rPr>
        <w:t>Board</w:t>
      </w:r>
      <w:r>
        <w:rPr>
          <w:rFonts w:ascii="Arial" w:cs="Arial" w:eastAsia="Arial" w:hAnsi="Arial"/>
          <w:sz w:val="16"/>
          <w:szCs w:val="16"/>
          <w:color w:val="auto"/>
        </w:rPr>
        <w:t>”) has approved the entry by Arcturus-Israel into an Agreement, dated as of February 8, 2019</w:t>
      </w:r>
    </w:p>
    <w:p>
      <w:pPr>
        <w:spacing w:after="0" w:line="50" w:lineRule="exact"/>
        <w:rPr>
          <w:sz w:val="24"/>
          <w:szCs w:val="24"/>
          <w:color w:val="auto"/>
        </w:rPr>
      </w:pPr>
    </w:p>
    <w:p>
      <w:pPr>
        <w:ind w:left="20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Exchange Agreement</w:t>
      </w:r>
      <w:r>
        <w:rPr>
          <w:rFonts w:ascii="Arial" w:cs="Arial" w:eastAsia="Arial" w:hAnsi="Arial"/>
          <w:sz w:val="16"/>
          <w:szCs w:val="16"/>
          <w:color w:val="auto"/>
        </w:rPr>
        <w:t>”), with a newly established Delaware corporation known as Arcturus Therapeutics Holdings Inc. and referred to herein as</w:t>
      </w:r>
    </w:p>
    <w:p>
      <w:pPr>
        <w:spacing w:after="0" w:line="32" w:lineRule="exact"/>
        <w:rPr>
          <w:sz w:val="24"/>
          <w:szCs w:val="24"/>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Arcturus-Delaware</w:t>
      </w:r>
      <w:r>
        <w:rPr>
          <w:rFonts w:ascii="Arial" w:cs="Arial" w:eastAsia="Arial" w:hAnsi="Arial"/>
          <w:sz w:val="17"/>
          <w:szCs w:val="17"/>
          <w:color w:val="auto"/>
        </w:rPr>
        <w:t>”) relating to the redomicile of Arcturus-Israel as a Delaware corporation. The Exchange Agreement provides for a statutory</w:t>
      </w:r>
    </w:p>
    <w:p>
      <w:pPr>
        <w:spacing w:after="0" w:line="21" w:lineRule="exact"/>
        <w:rPr>
          <w:sz w:val="24"/>
          <w:szCs w:val="24"/>
          <w:color w:val="auto"/>
        </w:rPr>
      </w:pPr>
    </w:p>
    <w:p>
      <w:pPr>
        <w:ind w:left="200"/>
        <w:spacing w:after="0"/>
        <w:rPr>
          <w:sz w:val="20"/>
          <w:szCs w:val="20"/>
          <w:color w:val="auto"/>
        </w:rPr>
      </w:pPr>
      <w:r>
        <w:rPr>
          <w:rFonts w:ascii="Arial" w:cs="Arial" w:eastAsia="Arial" w:hAnsi="Arial"/>
          <w:sz w:val="17"/>
          <w:szCs w:val="17"/>
          <w:color w:val="auto"/>
        </w:rPr>
        <w:t>procedure under Sections 350-351 of the Israeli Companies Law, 5759-1999 (the “</w:t>
      </w:r>
      <w:r>
        <w:rPr>
          <w:rFonts w:ascii="Arial" w:cs="Arial" w:eastAsia="Arial" w:hAnsi="Arial"/>
          <w:sz w:val="17"/>
          <w:szCs w:val="17"/>
          <w:b w:val="1"/>
          <w:bCs w:val="1"/>
          <w:color w:val="auto"/>
        </w:rPr>
        <w:t>Companies Law</w:t>
      </w:r>
      <w:r>
        <w:rPr>
          <w:rFonts w:ascii="Arial" w:cs="Arial" w:eastAsia="Arial" w:hAnsi="Arial"/>
          <w:sz w:val="17"/>
          <w:szCs w:val="17"/>
          <w:color w:val="auto"/>
        </w:rPr>
        <w:t>”) known as a Scheme of Arrangement (the</w:t>
      </w:r>
    </w:p>
    <w:p>
      <w:pPr>
        <w:spacing w:after="0" w:line="21" w:lineRule="exact"/>
        <w:rPr>
          <w:sz w:val="24"/>
          <w:szCs w:val="24"/>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Scheme of Arrangement</w:t>
      </w:r>
      <w:r>
        <w:rPr>
          <w:rFonts w:ascii="Arial" w:cs="Arial" w:eastAsia="Arial" w:hAnsi="Arial"/>
          <w:sz w:val="16"/>
          <w:szCs w:val="16"/>
          <w:color w:val="auto"/>
        </w:rPr>
        <w:t>”) to be implemented by Arcturus-Israel and Arcturus-Delaware, subject to approval of the District Court of the Tel-Aviv (the</w:t>
      </w:r>
    </w:p>
    <w:p>
      <w:pPr>
        <w:spacing w:after="0" w:line="32" w:lineRule="exact"/>
        <w:rPr>
          <w:sz w:val="24"/>
          <w:szCs w:val="24"/>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Israel Court</w:t>
      </w:r>
      <w:r>
        <w:rPr>
          <w:rFonts w:ascii="Arial" w:cs="Arial" w:eastAsia="Arial" w:hAnsi="Arial"/>
          <w:sz w:val="16"/>
          <w:szCs w:val="16"/>
          <w:color w:val="auto"/>
        </w:rPr>
        <w:t>”). Pursuant to the Exchange Agreement and the Scheme of Arrangement, all issued ordinary shares and options to purchase ordinary</w:t>
      </w:r>
    </w:p>
    <w:p>
      <w:pPr>
        <w:spacing w:after="0" w:line="32" w:lineRule="exact"/>
        <w:rPr>
          <w:sz w:val="24"/>
          <w:szCs w:val="24"/>
          <w:color w:val="auto"/>
        </w:rPr>
      </w:pPr>
    </w:p>
    <w:p>
      <w:pPr>
        <w:ind w:left="200"/>
        <w:spacing w:after="0"/>
        <w:rPr>
          <w:sz w:val="20"/>
          <w:szCs w:val="20"/>
          <w:color w:val="auto"/>
        </w:rPr>
      </w:pPr>
      <w:r>
        <w:rPr>
          <w:rFonts w:ascii="Arial" w:cs="Arial" w:eastAsia="Arial" w:hAnsi="Arial"/>
          <w:sz w:val="17"/>
          <w:szCs w:val="17"/>
          <w:color w:val="auto"/>
        </w:rPr>
        <w:t>shares in the capital of Arcturus-Israel as of immediately prior to the effective time of the Scheme of Arrangement will be exchanged by Arcturus-</w:t>
      </w:r>
    </w:p>
    <w:p>
      <w:pPr>
        <w:spacing w:after="0" w:line="21" w:lineRule="exact"/>
        <w:rPr>
          <w:sz w:val="24"/>
          <w:szCs w:val="24"/>
          <w:color w:val="auto"/>
        </w:rPr>
      </w:pPr>
    </w:p>
    <w:p>
      <w:pPr>
        <w:ind w:left="200"/>
        <w:spacing w:after="0"/>
        <w:rPr>
          <w:sz w:val="20"/>
          <w:szCs w:val="20"/>
          <w:color w:val="auto"/>
        </w:rPr>
      </w:pPr>
      <w:r>
        <w:rPr>
          <w:rFonts w:ascii="Arial" w:cs="Arial" w:eastAsia="Arial" w:hAnsi="Arial"/>
          <w:sz w:val="17"/>
          <w:szCs w:val="17"/>
          <w:color w:val="auto"/>
        </w:rPr>
        <w:t>Delaware on a one-for-one basis in exchange for newly issued shares of common stock and options to purchase common stock, respectively, of</w:t>
      </w:r>
    </w:p>
    <w:p>
      <w:pPr>
        <w:spacing w:after="0" w:line="21" w:lineRule="exact"/>
        <w:rPr>
          <w:sz w:val="24"/>
          <w:szCs w:val="24"/>
          <w:color w:val="auto"/>
        </w:rPr>
      </w:pPr>
    </w:p>
    <w:p>
      <w:pPr>
        <w:ind w:left="200"/>
        <w:spacing w:after="0"/>
        <w:rPr>
          <w:sz w:val="20"/>
          <w:szCs w:val="20"/>
          <w:color w:val="auto"/>
        </w:rPr>
      </w:pPr>
      <w:r>
        <w:rPr>
          <w:rFonts w:ascii="Arial" w:cs="Arial" w:eastAsia="Arial" w:hAnsi="Arial"/>
          <w:sz w:val="17"/>
          <w:szCs w:val="17"/>
          <w:color w:val="auto"/>
        </w:rPr>
        <w:t>Arcturus-Delaware, which will cause Arcturus-Israel to become a subsidiary of Arcturus-Delaware. In addition, Arcturus-Israel intends to transfer to</w:t>
      </w:r>
    </w:p>
    <w:p>
      <w:pPr>
        <w:spacing w:after="0" w:line="21" w:lineRule="exact"/>
        <w:rPr>
          <w:sz w:val="24"/>
          <w:szCs w:val="24"/>
          <w:color w:val="auto"/>
        </w:rPr>
      </w:pPr>
    </w:p>
    <w:p>
      <w:pPr>
        <w:ind w:left="200"/>
        <w:spacing w:after="0"/>
        <w:rPr>
          <w:sz w:val="20"/>
          <w:szCs w:val="20"/>
          <w:color w:val="auto"/>
        </w:rPr>
      </w:pPr>
      <w:r>
        <w:rPr>
          <w:rFonts w:ascii="Arial" w:cs="Arial" w:eastAsia="Arial" w:hAnsi="Arial"/>
          <w:sz w:val="16"/>
          <w:szCs w:val="16"/>
          <w:color w:val="auto"/>
        </w:rPr>
        <w:t>Arcturus-Delaware, by way of a dividend distribution in kind, all of the shares of its wholly-owned subsidiary, Arcturus Therapeutics, Inc., a Delaware</w:t>
      </w:r>
    </w:p>
    <w:p>
      <w:pPr>
        <w:spacing w:after="0" w:line="32" w:lineRule="exact"/>
        <w:rPr>
          <w:sz w:val="24"/>
          <w:szCs w:val="24"/>
          <w:color w:val="auto"/>
        </w:rPr>
      </w:pPr>
    </w:p>
    <w:p>
      <w:pPr>
        <w:ind w:left="200"/>
        <w:spacing w:after="0"/>
        <w:rPr>
          <w:sz w:val="20"/>
          <w:szCs w:val="20"/>
          <w:color w:val="auto"/>
        </w:rPr>
      </w:pPr>
      <w:r>
        <w:rPr>
          <w:rFonts w:ascii="Arial" w:cs="Arial" w:eastAsia="Arial" w:hAnsi="Arial"/>
          <w:sz w:val="16"/>
          <w:szCs w:val="16"/>
          <w:color w:val="auto"/>
        </w:rPr>
        <w:t>corporation (“</w:t>
      </w:r>
      <w:r>
        <w:rPr>
          <w:rFonts w:ascii="Arial" w:cs="Arial" w:eastAsia="Arial" w:hAnsi="Arial"/>
          <w:sz w:val="16"/>
          <w:szCs w:val="16"/>
          <w:b w:val="1"/>
          <w:bCs w:val="1"/>
          <w:color w:val="auto"/>
        </w:rPr>
        <w:t>Private Arcturus</w:t>
      </w:r>
      <w:r>
        <w:rPr>
          <w:rFonts w:ascii="Arial" w:cs="Arial" w:eastAsia="Arial" w:hAnsi="Arial"/>
          <w:sz w:val="16"/>
          <w:szCs w:val="16"/>
          <w:color w:val="auto"/>
        </w:rPr>
        <w:t>”) so that Private Arcturus will then be a wholly-owned subsidiary of Arcturus-Delaware. The Company may decide to</w:t>
      </w:r>
    </w:p>
    <w:p>
      <w:pPr>
        <w:spacing w:after="0" w:line="32" w:lineRule="exact"/>
        <w:rPr>
          <w:sz w:val="24"/>
          <w:szCs w:val="24"/>
          <w:color w:val="auto"/>
        </w:rPr>
      </w:pPr>
    </w:p>
    <w:p>
      <w:pPr>
        <w:ind w:left="200"/>
        <w:spacing w:after="0"/>
        <w:rPr>
          <w:sz w:val="20"/>
          <w:szCs w:val="20"/>
          <w:color w:val="auto"/>
        </w:rPr>
      </w:pPr>
      <w:r>
        <w:rPr>
          <w:rFonts w:ascii="Arial" w:cs="Arial" w:eastAsia="Arial" w:hAnsi="Arial"/>
          <w:sz w:val="17"/>
          <w:szCs w:val="17"/>
          <w:color w:val="auto"/>
        </w:rPr>
        <w:t>proceed with this second step distribution in kind, or not to proceed with such distribution, at any time after the effective time of the Scheme of</w:t>
      </w:r>
    </w:p>
    <w:p>
      <w:pPr>
        <w:spacing w:after="0" w:line="21" w:lineRule="exact"/>
        <w:rPr>
          <w:sz w:val="24"/>
          <w:szCs w:val="24"/>
          <w:color w:val="auto"/>
        </w:rPr>
      </w:pPr>
    </w:p>
    <w:p>
      <w:pPr>
        <w:ind w:left="200"/>
        <w:spacing w:after="0"/>
        <w:rPr>
          <w:sz w:val="20"/>
          <w:szCs w:val="20"/>
          <w:color w:val="auto"/>
        </w:rPr>
      </w:pPr>
      <w:r>
        <w:rPr>
          <w:rFonts w:ascii="Arial" w:cs="Arial" w:eastAsia="Arial" w:hAnsi="Arial"/>
          <w:sz w:val="16"/>
          <w:szCs w:val="16"/>
          <w:color w:val="auto"/>
        </w:rPr>
        <w:t>Arrangement, but no later than December 31, 2019. The Company will decide, in its sole discretion, if it is in the best interests of the Company to effect</w:t>
      </w:r>
    </w:p>
    <w:p>
      <w:pPr>
        <w:spacing w:after="0" w:line="32" w:lineRule="exact"/>
        <w:rPr>
          <w:sz w:val="24"/>
          <w:szCs w:val="24"/>
          <w:color w:val="auto"/>
        </w:rPr>
      </w:pPr>
    </w:p>
    <w:p>
      <w:pPr>
        <w:ind w:left="200"/>
        <w:spacing w:after="0"/>
        <w:rPr>
          <w:sz w:val="20"/>
          <w:szCs w:val="20"/>
          <w:color w:val="auto"/>
        </w:rPr>
      </w:pPr>
      <w:r>
        <w:rPr>
          <w:rFonts w:ascii="Arial" w:cs="Arial" w:eastAsia="Arial" w:hAnsi="Arial"/>
          <w:sz w:val="16"/>
          <w:szCs w:val="16"/>
          <w:color w:val="auto"/>
        </w:rPr>
        <w:t>the second step distribution in kind and will consider all relevant factors, including potential tax consequences to the Company that may result from this</w:t>
      </w:r>
    </w:p>
    <w:p>
      <w:pPr>
        <w:spacing w:after="0" w:line="32" w:lineRule="exact"/>
        <w:rPr>
          <w:sz w:val="24"/>
          <w:szCs w:val="24"/>
          <w:color w:val="auto"/>
        </w:rPr>
      </w:pPr>
    </w:p>
    <w:p>
      <w:pPr>
        <w:ind w:left="200"/>
        <w:spacing w:after="0"/>
        <w:rPr>
          <w:sz w:val="20"/>
          <w:szCs w:val="20"/>
          <w:color w:val="auto"/>
        </w:rPr>
      </w:pPr>
      <w:r>
        <w:rPr>
          <w:rFonts w:ascii="Arial" w:cs="Arial" w:eastAsia="Arial" w:hAnsi="Arial"/>
          <w:sz w:val="18"/>
          <w:szCs w:val="18"/>
          <w:color w:val="auto"/>
        </w:rPr>
        <w:t>distribution.</w:t>
      </w:r>
    </w:p>
    <w:p>
      <w:pPr>
        <w:spacing w:after="0" w:line="211" w:lineRule="exact"/>
        <w:rPr>
          <w:sz w:val="24"/>
          <w:szCs w:val="24"/>
          <w:color w:val="auto"/>
        </w:rPr>
      </w:pPr>
    </w:p>
    <w:p>
      <w:pPr>
        <w:ind w:left="200" w:firstLine="441"/>
        <w:spacing w:after="0" w:line="272" w:lineRule="auto"/>
        <w:rPr>
          <w:sz w:val="20"/>
          <w:szCs w:val="20"/>
          <w:color w:val="auto"/>
        </w:rPr>
      </w:pPr>
      <w:r>
        <w:rPr>
          <w:rFonts w:ascii="Arial" w:cs="Arial" w:eastAsia="Arial" w:hAnsi="Arial"/>
          <w:sz w:val="17"/>
          <w:szCs w:val="17"/>
          <w:color w:val="auto"/>
        </w:rPr>
        <w:t>While our incorporation in Israel has served us and our shareholders well, there are compelling reasons that support redomiciling to cause the parent company of our group to be an entity organized in the State of Delaware in the United States at this time. After considering various factors, the Board unanimously determined that restructuring our corporate group to cause the parent company of our group to be an entity incorporated in Delaware is in the best interests of the Company and its shareholders and will best help us accomplish our strategic objectives. All of Arcturus’ employees and all of our operating assets are in the United States. Further, we believe that a significant majority of our shareholders are U.S.-based investors. In addition, our board of directors believes that our company will be more attractive as a potential acquisition candidate as a Delaware corporation. As a result, we think it makes sense to have our parent company based in the United States.</w:t>
      </w:r>
    </w:p>
    <w:p>
      <w:pPr>
        <w:spacing w:after="0" w:line="178" w:lineRule="exact"/>
        <w:rPr>
          <w:sz w:val="24"/>
          <w:szCs w:val="24"/>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For you, our shareholders, much will remain unchanged following the time the Scheme of Arrangement comes into effect. There will be some differences in your shareholder rights, given the differences in the laws between Israel and Delaware. We have included a detailed chart outlining these differences in the attached proxy statement/prospectus in the section titled “Comparison of Rights of Israel Shareholders and Delaware Stockholders,” which begins on page 76.</w:t>
      </w:r>
    </w:p>
    <w:p>
      <w:pPr>
        <w:spacing w:after="0" w:line="187" w:lineRule="exact"/>
        <w:rPr>
          <w:sz w:val="24"/>
          <w:szCs w:val="24"/>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Just as is the case today with our ordinary shares, the shares of common stock of Arcturus-Delaware will trade on the NASDAQ Global Select Market (“</w:t>
      </w:r>
      <w:r>
        <w:rPr>
          <w:rFonts w:ascii="Arial" w:cs="Arial" w:eastAsia="Arial" w:hAnsi="Arial"/>
          <w:sz w:val="17"/>
          <w:szCs w:val="17"/>
          <w:b w:val="1"/>
          <w:bCs w:val="1"/>
          <w:color w:val="auto"/>
        </w:rPr>
        <w:t>NASDAQ</w:t>
      </w:r>
      <w:r>
        <w:rPr>
          <w:rFonts w:ascii="Arial" w:cs="Arial" w:eastAsia="Arial" w:hAnsi="Arial"/>
          <w:sz w:val="17"/>
          <w:szCs w:val="17"/>
          <w:color w:val="auto"/>
        </w:rPr>
        <w:t>”), under the symbol “ARCT.” We will remain subject to the reporting requirements of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the mandates of the Sarbanes-Oxley Act of 2002 and the corporate governance rules of NASDAQ. We will continue to report our consolidated financial results in U.S. dollars and under U.S. generally accepted accounting principles (“</w:t>
      </w:r>
      <w:r>
        <w:rPr>
          <w:rFonts w:ascii="Arial" w:cs="Arial" w:eastAsia="Arial" w:hAnsi="Arial"/>
          <w:sz w:val="17"/>
          <w:szCs w:val="17"/>
          <w:b w:val="1"/>
          <w:bCs w:val="1"/>
          <w:color w:val="auto"/>
        </w:rPr>
        <w:t>U.S. GAAP</w:t>
      </w:r>
      <w:r>
        <w:rPr>
          <w:rFonts w:ascii="Arial" w:cs="Arial" w:eastAsia="Arial" w:hAnsi="Arial"/>
          <w:sz w:val="17"/>
          <w:szCs w:val="17"/>
          <w:color w:val="auto"/>
        </w:rPr>
        <w:t>”).</w:t>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It is intended that holders of our ordinary shares and holders of options to purchase ordinary shares will not recognize any gain or loss for U.S. federal income tax purposes in connection with the transaction. With regard to Israeli capital gains taxation, in connection with the Exchange Agreement, Arcturus-Israel will seek a pre-ruling (the “Tax Ruling”) on behalf of the Israeli tax resident Arcturus-Israel shareholders by the Israel Tax Authority (the “ITA”) regarding the capital gains taxation arrangements that shall apply in respect of a transfer of all ordinary shares of Arcturus-Israel in exchange for common stock of Arcturus-Delaware. It is expected that the Tax Ruling will find that capital gains taxation related to the Exchange will be deferred until a later disposition event and, as such, no tax will be due for Israeli tax resident Arcturus-Israel ordinary shareholders at the time of the Exchange. Non-Israeli tax resident shareholders are anticipated to be exempt from Israeli capital gains tax by virtue of Israeli tax law and/or the application of the appropriate income tax treaty. As such, the Tax Ruling will not address Arcturus-Israel shareholders which are not tax residents of Israel. It should be noted that the closing of the Transaction is not conditioned upon the receipt of an opinion or tax ruling from the ITA or the United States Internal Revenue Service (“IRS”). Please see “Taxation” for a description of the material U.S. federal income tax consequences and Israeli tax consequences of the Transaction to Arcturus-Israel ordinary shareholders. Determining the actual tax consequences of the Transaction to you may be complex and will depend on your specific situation. We urge you to consult your tax advisor for a full understanding of the tax consequences of the Transaction to you.</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Holders of ordinary shares in the capital of Arcturus-Israel will be asked to vote on a proposal to approve the Scheme of Arrangement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Arcturus Redomiciliation Proposal</w:t>
      </w:r>
      <w:r>
        <w:rPr>
          <w:rFonts w:ascii="Arial" w:cs="Arial" w:eastAsia="Arial" w:hAnsi="Arial"/>
          <w:sz w:val="16"/>
          <w:szCs w:val="16"/>
          <w:color w:val="auto"/>
        </w:rPr>
        <w:t>”) at an extraordinary general meeting of Arcturus-Israel’s shareholders that has been directed to be convened by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Israel Court (the “</w:t>
      </w:r>
      <w:r>
        <w:rPr>
          <w:rFonts w:ascii="Arial" w:cs="Arial" w:eastAsia="Arial" w:hAnsi="Arial"/>
          <w:sz w:val="17"/>
          <w:szCs w:val="17"/>
          <w:b w:val="1"/>
          <w:bCs w:val="1"/>
          <w:color w:val="auto"/>
        </w:rPr>
        <w:t>Special Meeting</w:t>
      </w:r>
      <w:r>
        <w:rPr>
          <w:rFonts w:ascii="Arial" w:cs="Arial" w:eastAsia="Arial" w:hAnsi="Arial"/>
          <w:sz w:val="17"/>
          <w:szCs w:val="17"/>
          <w:color w:val="auto"/>
        </w:rPr>
        <w:t>”) and is to be convened on May 17, 2019, at 8:00 a.m. Pacific time. The Special Meeting will be held at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offices of Dentons US LLP, our outside counsel, at 4655 Executive Drive, Suite 700, San Diego, CA 92121. At the Special Meeting, Arcturus-Israel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shareholders will be asked to approve the Arcturus Redomiciliation Proposal. After the approval by the Special Meeting, the Scheme of Arrangement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will also require the approval of the Israel Court.</w:t>
      </w:r>
    </w:p>
    <w:p>
      <w:pPr>
        <w:spacing w:after="0" w:line="211" w:lineRule="exact"/>
        <w:rPr>
          <w:sz w:val="20"/>
          <w:szCs w:val="20"/>
          <w:color w:val="auto"/>
        </w:rPr>
      </w:pPr>
    </w:p>
    <w:p>
      <w:pPr>
        <w:ind w:left="200" w:right="140" w:firstLine="441"/>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This proxy statement/prospectus provides you with detailed information regarding the transaction contemplated by the Arcturus Redomiciliation Proposal. We encourage you to read this entire document carefully. </w:t>
      </w:r>
      <w:r>
        <w:rPr>
          <w:rFonts w:ascii="Arial" w:cs="Arial" w:eastAsia="Arial" w:hAnsi="Arial"/>
          <w:sz w:val="18"/>
          <w:szCs w:val="18"/>
          <w:b w:val="1"/>
          <w:bCs w:val="1"/>
          <w:color w:val="auto"/>
        </w:rPr>
        <w:t>You should carefully consider “</w:t>
      </w:r>
      <w:hyperlink w:anchor="page29">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beginning on page 21 for a</w:t>
      </w:r>
      <w:r>
        <w:rPr>
          <w:rFonts w:ascii="Arial" w:cs="Arial" w:eastAsia="Arial" w:hAnsi="Arial"/>
          <w:sz w:val="18"/>
          <w:szCs w:val="18"/>
          <w:color w:val="auto"/>
        </w:rPr>
        <w:t xml:space="preserve"> </w:t>
      </w:r>
      <w:r>
        <w:rPr>
          <w:rFonts w:ascii="Arial" w:cs="Arial" w:eastAsia="Arial" w:hAnsi="Arial"/>
          <w:sz w:val="18"/>
          <w:szCs w:val="18"/>
          <w:b w:val="1"/>
          <w:bCs w:val="1"/>
          <w:color w:val="auto"/>
        </w:rPr>
        <w:t>discussion of potential risks before voting</w:t>
      </w:r>
      <w:r>
        <w:rPr>
          <w:rFonts w:ascii="Arial" w:cs="Arial" w:eastAsia="Arial" w:hAnsi="Arial"/>
          <w:sz w:val="18"/>
          <w:szCs w:val="18"/>
          <w:color w:val="auto"/>
        </w:rPr>
        <w:t>.</w:t>
      </w:r>
    </w:p>
    <w:p>
      <w:pPr>
        <w:spacing w:after="0" w:line="177" w:lineRule="exact"/>
        <w:rPr>
          <w:sz w:val="20"/>
          <w:szCs w:val="20"/>
          <w:color w:val="auto"/>
        </w:rPr>
      </w:pPr>
    </w:p>
    <w:p>
      <w:pPr>
        <w:ind w:left="200" w:right="140" w:firstLine="441"/>
        <w:spacing w:after="0" w:line="347" w:lineRule="auto"/>
        <w:rPr>
          <w:sz w:val="20"/>
          <w:szCs w:val="20"/>
          <w:color w:val="auto"/>
        </w:rPr>
      </w:pPr>
      <w:r>
        <w:rPr>
          <w:rFonts w:ascii="Arial" w:cs="Arial" w:eastAsia="Arial" w:hAnsi="Arial"/>
          <w:sz w:val="16"/>
          <w:szCs w:val="16"/>
          <w:b w:val="1"/>
          <w:bCs w:val="1"/>
          <w:color w:val="auto"/>
        </w:rPr>
        <w:t>The Board has unanimously determined that the Scheme of Arrangement is advisable and in the best interests of Arcturus-Israel and its shareholders and recommends that Arcturus-Israel shareholders vote “FOR” the approval of the Arcturus Redomiciliation Proposal</w:t>
      </w:r>
      <w:r>
        <w:rPr>
          <w:rFonts w:ascii="Arial" w:cs="Arial" w:eastAsia="Arial" w:hAnsi="Arial"/>
          <w:sz w:val="16"/>
          <w:szCs w:val="16"/>
          <w:color w:val="auto"/>
        </w:rPr>
        <w:t>.</w:t>
      </w:r>
    </w:p>
    <w:p>
      <w:pPr>
        <w:spacing w:after="0" w:line="12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i w:val="1"/>
          <w:iCs w:val="1"/>
          <w:color w:val="auto"/>
        </w:rPr>
        <w:t xml:space="preserve">Please mark, date, sign and return the enclosed proxy card </w:t>
      </w:r>
      <w:r>
        <w:rPr>
          <w:rFonts w:ascii="Arial" w:cs="Arial" w:eastAsia="Arial" w:hAnsi="Arial"/>
          <w:sz w:val="17"/>
          <w:szCs w:val="17"/>
          <w:color w:val="auto"/>
        </w:rPr>
        <w:t>in the enclosed, postage-paid envelope as promptly as possible, as described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attached proxy statement/prospectus, so that your shares may be represented at the Special Meeting and voted in accordance with your wishes. For detailed information regarding eligibility to vote at, and voting procedures for, the Special Meeting, please refer to “The Special Meeting—Record Date; Voting Rights; Votes Required for Approval” starting on page 94 of the accompanying proxy statement/prospectus.</w:t>
      </w:r>
    </w:p>
    <w:p>
      <w:pPr>
        <w:spacing w:after="0" w:line="171" w:lineRule="exact"/>
        <w:rPr>
          <w:sz w:val="20"/>
          <w:szCs w:val="20"/>
          <w:color w:val="auto"/>
        </w:rPr>
      </w:pPr>
    </w:p>
    <w:p>
      <w:pPr>
        <w:ind w:left="640"/>
        <w:spacing w:after="0"/>
        <w:tabs>
          <w:tab w:leader="none" w:pos="7800" w:val="left"/>
        </w:tabs>
        <w:rPr>
          <w:sz w:val="20"/>
          <w:szCs w:val="20"/>
          <w:color w:val="auto"/>
        </w:rPr>
      </w:pPr>
      <w:r>
        <w:rPr>
          <w:rFonts w:ascii="Arial" w:cs="Arial" w:eastAsia="Arial" w:hAnsi="Arial"/>
          <w:sz w:val="18"/>
          <w:szCs w:val="18"/>
          <w:color w:val="auto"/>
        </w:rPr>
        <w:t>If you have any questions about the meeting, or if you require assistance, please call</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Joseph E. Payne</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JOSEPH E. PAYNE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ARCTURUS THERAPEUTICS LTD.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(Incorporated under the Israeli Companies Law, 5759-1999)</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(Company Registration Number 514098995)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237490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NOTICE OF AN EXTRAORDINARY GENERAL MEETING OF ARCTURUS THERAPEUTICS LTD. SHAREHOLDERS ORDERED BY</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TEL-AVIV DISTRICT COURT,</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TO BE HELD May 17, 2019</w:t>
      </w:r>
    </w:p>
    <w:p>
      <w:pPr>
        <w:spacing w:after="0" w:line="21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In the Matter of Sections 350 and 351 of the</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Israeli Companies Law, 5759-1999</w:t>
      </w:r>
    </w:p>
    <w:p>
      <w:pPr>
        <w:spacing w:after="0" w:line="20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Scheme of Arrangement</w:t>
      </w: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under Sections 350 and 351 of the Israeli Companies Law, 5759-1999</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Arcturus Therapeutics Ltd., a public company limited by shares incorporated under Israeli Companies Law, 5759-1999 (“</w:t>
      </w:r>
      <w:r>
        <w:rPr>
          <w:rFonts w:ascii="Arial" w:cs="Arial" w:eastAsia="Arial" w:hAnsi="Arial"/>
          <w:sz w:val="17"/>
          <w:szCs w:val="17"/>
          <w:b w:val="1"/>
          <w:bCs w:val="1"/>
          <w:color w:val="auto"/>
        </w:rPr>
        <w:t>Arcturus-Israel</w:t>
      </w:r>
      <w:r>
        <w:rPr>
          <w:rFonts w:ascii="Arial" w:cs="Arial" w:eastAsia="Arial" w:hAnsi="Arial"/>
          <w:sz w:val="17"/>
          <w:szCs w:val="17"/>
          <w:color w:val="auto"/>
        </w:rPr>
        <w:t>”),</w:t>
      </w: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the Scheme Shareholders (as defined herein)</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Arcturus Therapeutics Holdings Inc., a Delaware corporation (“</w:t>
      </w:r>
      <w:r>
        <w:rPr>
          <w:rFonts w:ascii="Arial" w:cs="Arial" w:eastAsia="Arial" w:hAnsi="Arial"/>
          <w:sz w:val="18"/>
          <w:szCs w:val="18"/>
          <w:b w:val="1"/>
          <w:bCs w:val="1"/>
          <w:color w:val="auto"/>
        </w:rPr>
        <w:t>Arcturus-Delaware</w:t>
      </w:r>
      <w:r>
        <w:rPr>
          <w:rFonts w:ascii="Arial" w:cs="Arial" w:eastAsia="Arial" w:hAnsi="Arial"/>
          <w:sz w:val="18"/>
          <w:szCs w:val="18"/>
          <w:color w:val="auto"/>
        </w:rPr>
        <w:t>”)</w:t>
      </w:r>
    </w:p>
    <w:p>
      <w:pPr>
        <w:sectPr>
          <w:pgSz w:w="11900" w:h="16838" w:orient="portrait"/>
          <w:cols w:equalWidth="0" w:num="1">
            <w:col w:w="11140"/>
          </w:cols>
          <w:pgMar w:left="240" w:top="459" w:right="5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NOTICE OF MEETING</w:t>
      </w:r>
    </w:p>
    <w:p>
      <w:pPr>
        <w:spacing w:after="0" w:line="225" w:lineRule="exact"/>
        <w:rPr>
          <w:sz w:val="20"/>
          <w:szCs w:val="20"/>
          <w:color w:val="auto"/>
        </w:rPr>
      </w:pPr>
    </w:p>
    <w:p>
      <w:pPr>
        <w:ind w:left="200" w:firstLine="441"/>
        <w:spacing w:after="0" w:line="303" w:lineRule="auto"/>
        <w:rPr>
          <w:sz w:val="20"/>
          <w:szCs w:val="20"/>
          <w:color w:val="auto"/>
        </w:rPr>
      </w:pPr>
      <w:r>
        <w:rPr>
          <w:rFonts w:ascii="Arial" w:cs="Arial" w:eastAsia="Arial" w:hAnsi="Arial"/>
          <w:sz w:val="16"/>
          <w:szCs w:val="16"/>
          <w:color w:val="auto"/>
        </w:rPr>
        <w:t>NOTICE IS HEREBY GIVEN that, the District Court of the Tel-Aviv (the “</w:t>
      </w:r>
      <w:r>
        <w:rPr>
          <w:rFonts w:ascii="Arial" w:cs="Arial" w:eastAsia="Arial" w:hAnsi="Arial"/>
          <w:sz w:val="16"/>
          <w:szCs w:val="16"/>
          <w:b w:val="1"/>
          <w:bCs w:val="1"/>
          <w:color w:val="auto"/>
        </w:rPr>
        <w:t>Israel Court</w:t>
      </w:r>
      <w:r>
        <w:rPr>
          <w:rFonts w:ascii="Arial" w:cs="Arial" w:eastAsia="Arial" w:hAnsi="Arial"/>
          <w:sz w:val="16"/>
          <w:szCs w:val="16"/>
          <w:color w:val="auto"/>
        </w:rPr>
        <w:t>”) in a resolution dated March 13, 2019, has directed a Meeting to be convened of the Scheme Shareholders (as defined in the Schedule below) of Arcturus-Israel, and following that resolution, such Meeting shall be held at the offices of Dentons US LLP, our outside counsel, at 4655 Executive Drive, Suite 700, San Diego, CA 92121, on May 17, 2019 at 8:00 a.m. Pacific time, for the purpose of considering and, if thought fit, approving (with or without modification) the following resolution:</w:t>
      </w:r>
    </w:p>
    <w:p>
      <w:pPr>
        <w:spacing w:after="0" w:line="155" w:lineRule="exact"/>
        <w:rPr>
          <w:sz w:val="20"/>
          <w:szCs w:val="20"/>
          <w:color w:val="auto"/>
        </w:rPr>
      </w:pPr>
    </w:p>
    <w:p>
      <w:pPr>
        <w:ind w:left="640" w:right="100" w:firstLine="423"/>
        <w:spacing w:after="0" w:line="264" w:lineRule="auto"/>
        <w:rPr>
          <w:sz w:val="20"/>
          <w:szCs w:val="20"/>
          <w:color w:val="auto"/>
        </w:rPr>
      </w:pPr>
      <w:r>
        <w:rPr>
          <w:rFonts w:ascii="Arial" w:cs="Arial" w:eastAsia="Arial" w:hAnsi="Arial"/>
          <w:sz w:val="18"/>
          <w:szCs w:val="18"/>
          <w:color w:val="auto"/>
        </w:rPr>
        <w:t>“That the Scheme of Arrangement proposed to be made pursuant to Sections 350 and 351 of the Israeli Companies Law, 5759-1999, between Arcturus-Israel (a public company limited by shares incorporated under the laws of the State of Israel), and the Scheme Shareholders, as described in the Notice convening this Meeting, be and is hereby approved.”</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details and information regarding the Scheme of Arrangement are incorporated in the proxy statement/prospectus of which this Notice forms a part.</w:t>
      </w:r>
    </w:p>
    <w:p>
      <w:pPr>
        <w:spacing w:after="0" w:line="170"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A Scheme Shareholder who was a shareholder of record of Arcturus-Israel as at April 8, 2019, being the record date for the Meeting, may vote in person at the Meeting or may appoint one (and not more than one) person, whether a member of Arcturus-Israel or not, as his or her proxy to attend and vote in his or her stead.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form of proxy applicable for the Meeting is enclosed with the proxy statement/prospectus of which this Notice forms a part.</w:t>
      </w:r>
    </w:p>
    <w:p>
      <w:pPr>
        <w:spacing w:after="0" w:line="225"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It is requested that forms appointing proxies be lodged at Proxy Services, c/o Continental Stock Transfer &amp; Trust, 1 State Street, 30th Floor, New York, NY 10004-1561, not less than 24 hours before the time appointed for holding the Meeting or such longer period as may be specified by the procedures of the participants of The Depository Trust Company.</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the case of joint Scheme Shareholders, any one of such persons may vote, but if more than one of such persons are present at the Meeting, the person whose name stands first on the Register of Members of Arcturus-Israel shall alone be entitled to vote.</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 xml:space="preserve">In accordance with Arcturus-Israel’s Articles of Association, Peter Farrell, Chairman of the Board of Directors will serve as chairperson of the Meeting. The Scheme of Arrangement will be subject, </w:t>
      </w:r>
      <w:r>
        <w:rPr>
          <w:rFonts w:ascii="Arial" w:cs="Arial" w:eastAsia="Arial" w:hAnsi="Arial"/>
          <w:sz w:val="18"/>
          <w:szCs w:val="18"/>
          <w:i w:val="1"/>
          <w:iCs w:val="1"/>
          <w:color w:val="auto"/>
        </w:rPr>
        <w:t>inter alia</w:t>
      </w:r>
      <w:r>
        <w:rPr>
          <w:rFonts w:ascii="Arial" w:cs="Arial" w:eastAsia="Arial" w:hAnsi="Arial"/>
          <w:sz w:val="18"/>
          <w:szCs w:val="18"/>
          <w:color w:val="auto"/>
        </w:rPr>
        <w:t>, to the subsequent approval of the Israel Court.</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THE SCHEDULE</w:t>
      </w:r>
    </w:p>
    <w:p>
      <w:pPr>
        <w:spacing w:after="0" w:line="244" w:lineRule="exact"/>
        <w:rPr>
          <w:sz w:val="20"/>
          <w:szCs w:val="20"/>
          <w:color w:val="auto"/>
        </w:rPr>
      </w:pPr>
    </w:p>
    <w:p>
      <w:pPr>
        <w:ind w:left="1320"/>
        <w:spacing w:after="0"/>
        <w:tabs>
          <w:tab w:leader="none" w:pos="6960" w:val="left"/>
        </w:tabs>
        <w:rPr>
          <w:sz w:val="20"/>
          <w:szCs w:val="20"/>
          <w:color w:val="auto"/>
        </w:rPr>
      </w:pPr>
      <w:r>
        <w:rPr>
          <w:rFonts w:ascii="Arial" w:cs="Arial" w:eastAsia="Arial" w:hAnsi="Arial"/>
          <w:sz w:val="14"/>
          <w:szCs w:val="14"/>
          <w:b w:val="1"/>
          <w:bCs w:val="1"/>
          <w:color w:val="auto"/>
        </w:rPr>
        <w:t>Expression</w:t>
      </w:r>
      <w:r>
        <w:rPr>
          <w:sz w:val="20"/>
          <w:szCs w:val="20"/>
          <w:color w:val="auto"/>
        </w:rPr>
        <w:tab/>
      </w:r>
      <w:r>
        <w:rPr>
          <w:rFonts w:ascii="Arial" w:cs="Arial" w:eastAsia="Arial" w:hAnsi="Arial"/>
          <w:sz w:val="14"/>
          <w:szCs w:val="14"/>
          <w:b w:val="1"/>
          <w:bCs w:val="1"/>
          <w:color w:val="auto"/>
        </w:rPr>
        <w:t>Meaning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6350</wp:posOffset>
            </wp:positionV>
            <wp:extent cx="65862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5" w:lineRule="exact"/>
        <w:rPr>
          <w:sz w:val="20"/>
          <w:szCs w:val="20"/>
          <w:color w:val="auto"/>
        </w:rPr>
      </w:pPr>
    </w:p>
    <w:p>
      <w:pPr>
        <w:ind w:left="3300" w:hanging="2569"/>
        <w:spacing w:after="0" w:line="275" w:lineRule="auto"/>
        <w:tabs>
          <w:tab w:leader="none" w:pos="3280" w:val="left"/>
        </w:tabs>
        <w:rPr>
          <w:sz w:val="20"/>
          <w:szCs w:val="20"/>
          <w:color w:val="auto"/>
        </w:rPr>
      </w:pPr>
      <w:r>
        <w:rPr>
          <w:rFonts w:ascii="Arial" w:cs="Arial" w:eastAsia="Arial" w:hAnsi="Arial"/>
          <w:sz w:val="18"/>
          <w:szCs w:val="18"/>
          <w:b w:val="1"/>
          <w:bCs w:val="1"/>
          <w:color w:val="auto"/>
        </w:rPr>
        <w:t>“Scheme Shareholders”</w:t>
      </w:r>
      <w:r>
        <w:rPr>
          <w:sz w:val="20"/>
          <w:szCs w:val="20"/>
          <w:color w:val="auto"/>
        </w:rPr>
        <w:tab/>
      </w:r>
      <w:r>
        <w:rPr>
          <w:rFonts w:ascii="Arial" w:cs="Arial" w:eastAsia="Arial" w:hAnsi="Arial"/>
          <w:sz w:val="18"/>
          <w:szCs w:val="18"/>
          <w:color w:val="auto"/>
        </w:rPr>
        <w:t>(i) Persons who are registered as holders of ordinary shares in the capital of Arcturus-Israel in the Register of Members of Arcturus-Israel, other than CEDE &amp; Co. (“</w:t>
      </w:r>
      <w:r>
        <w:rPr>
          <w:rFonts w:ascii="Arial" w:cs="Arial" w:eastAsia="Arial" w:hAnsi="Arial"/>
          <w:sz w:val="18"/>
          <w:szCs w:val="18"/>
          <w:b w:val="1"/>
          <w:bCs w:val="1"/>
          <w:color w:val="auto"/>
        </w:rPr>
        <w:t>Registered Holders</w:t>
      </w:r>
      <w:r>
        <w:rPr>
          <w:rFonts w:ascii="Arial" w:cs="Arial" w:eastAsia="Arial" w:hAnsi="Arial"/>
          <w:sz w:val="18"/>
          <w:szCs w:val="18"/>
          <w:color w:val="auto"/>
        </w:rPr>
        <w:t>”); and</w:t>
      </w:r>
    </w:p>
    <w:p>
      <w:pPr>
        <w:spacing w:after="0" w:line="64" w:lineRule="exact"/>
        <w:rPr>
          <w:sz w:val="20"/>
          <w:szCs w:val="20"/>
          <w:color w:val="auto"/>
        </w:rPr>
      </w:pPr>
    </w:p>
    <w:p>
      <w:pPr>
        <w:jc w:val="both"/>
        <w:ind w:left="3300" w:right="220" w:hanging="3"/>
        <w:spacing w:after="0" w:line="259" w:lineRule="auto"/>
        <w:tabs>
          <w:tab w:leader="none" w:pos="3565"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persons who are registered as holders of ordinary shares in the capital of Arcturus-Israel in book-entry form on the register of The Depository Trust Company, which shares are held through CEDE &amp; Co. as the registered holder of the said Arcturus-Israel shares on the Register of Members of Arcturus-Israel (“</w:t>
      </w:r>
      <w:r>
        <w:rPr>
          <w:rFonts w:ascii="Arial" w:cs="Arial" w:eastAsia="Arial" w:hAnsi="Arial"/>
          <w:sz w:val="18"/>
          <w:szCs w:val="18"/>
          <w:b w:val="1"/>
          <w:bCs w:val="1"/>
          <w:color w:val="auto"/>
        </w:rPr>
        <w:t>DTC</w:t>
      </w:r>
      <w:r>
        <w:rPr>
          <w:rFonts w:ascii="Arial" w:cs="Arial" w:eastAsia="Arial" w:hAnsi="Arial"/>
          <w:sz w:val="18"/>
          <w:szCs w:val="18"/>
          <w:color w:val="auto"/>
        </w:rPr>
        <w:t xml:space="preserve"> </w:t>
      </w:r>
      <w:r>
        <w:rPr>
          <w:rFonts w:ascii="Arial" w:cs="Arial" w:eastAsia="Arial" w:hAnsi="Arial"/>
          <w:sz w:val="18"/>
          <w:szCs w:val="18"/>
          <w:b w:val="1"/>
          <w:bCs w:val="1"/>
          <w:color w:val="auto"/>
        </w:rPr>
        <w:t>Participants</w:t>
      </w:r>
      <w:r>
        <w:rPr>
          <w:rFonts w:ascii="Arial" w:cs="Arial" w:eastAsia="Arial" w:hAnsi="Arial"/>
          <w:sz w:val="18"/>
          <w:szCs w:val="18"/>
          <w:color w:val="auto"/>
        </w:rPr>
        <w:t>”).</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Dated this April 11, 2019</w:t>
      </w:r>
    </w:p>
    <w:p>
      <w:pPr>
        <w:spacing w:after="0" w:line="221"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nor any securities regulatory authority in Israel, has approved or disapproved of the securities to be issued in connection with this transaction or determined if this proxy statement/prospectus is accurate or complete. Any representation to the contrary is a criminal offense.</w:t>
      </w:r>
    </w:p>
    <w:p>
      <w:pPr>
        <w:sectPr>
          <w:pgSz w:w="11900" w:h="16838" w:orient="portrait"/>
          <w:cols w:equalWidth="0" w:num="1">
            <w:col w:w="11160"/>
          </w:cols>
          <w:pgMar w:left="24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9040" w:type="dxa"/>
            <w:vAlign w:val="bottom"/>
            <w:gridSpan w:val="3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CAUTIONARY NOTE REGARDING FORWARD-LOOKING STATEMENTS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304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5"/>
              </w:rPr>
            </w:pPr>
            <w:hyperlink w:anchor="page10">
              <w:r>
                <w:rPr>
                  <w:rFonts w:ascii="Arial" w:cs="Arial" w:eastAsia="Arial" w:hAnsi="Arial"/>
                  <w:sz w:val="18"/>
                  <w:szCs w:val="18"/>
                  <w:color w:val="0000EE"/>
                  <w:w w:val="95"/>
                </w:rPr>
                <w:t>STRUCTURE OF THE TRANSACTION</w:t>
              </w:r>
            </w:hyperlink>
          </w:p>
        </w:tc>
        <w:tc>
          <w:tcPr>
            <w:tcW w:w="2740" w:type="dxa"/>
            <w:vAlign w:val="bottom"/>
            <w:tcBorders>
              <w:top w:val="single" w:sz="8" w:color="0000EE"/>
            </w:tcBorders>
            <w:gridSpan w:val="11"/>
          </w:tcPr>
          <w:p>
            <w:pPr>
              <w:spacing w:after="0"/>
              <w:rPr>
                <w:sz w:val="24"/>
                <w:szCs w:val="24"/>
                <w:color w:val="auto"/>
              </w:rPr>
            </w:pPr>
          </w:p>
        </w:tc>
        <w:tc>
          <w:tcPr>
            <w:tcW w:w="3260" w:type="dxa"/>
            <w:vAlign w:val="bottom"/>
            <w:gridSpan w:val="3"/>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7180" w:type="dxa"/>
            <w:vAlign w:val="bottom"/>
            <w:tcBorders>
              <w:bottom w:val="single" w:sz="8" w:color="0000EE"/>
            </w:tcBorders>
            <w:gridSpan w:val="33"/>
          </w:tcPr>
          <w:p>
            <w:pPr>
              <w:spacing w:after="0"/>
              <w:rPr>
                <w:rFonts w:ascii="Arial" w:cs="Arial" w:eastAsia="Arial" w:hAnsi="Arial"/>
                <w:sz w:val="18"/>
                <w:szCs w:val="18"/>
                <w:color w:val="0000EE"/>
                <w:w w:val="96"/>
              </w:rPr>
            </w:pPr>
            <w:hyperlink w:anchor="page13">
              <w:r>
                <w:rPr>
                  <w:rFonts w:ascii="Arial" w:cs="Arial" w:eastAsia="Arial" w:hAnsi="Arial"/>
                  <w:sz w:val="18"/>
                  <w:szCs w:val="18"/>
                  <w:color w:val="0000EE"/>
                  <w:w w:val="96"/>
                </w:rPr>
                <w:t>QUESTIONS AND ANSWERS ABOUT THE TRANSACTION AND THE SPECIAL MEETING</w:t>
              </w:r>
            </w:hyperlink>
          </w:p>
        </w:tc>
        <w:tc>
          <w:tcPr>
            <w:tcW w:w="186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9040" w:type="dxa"/>
            <w:vAlign w:val="bottom"/>
            <w:gridSpan w:val="3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SUMMARY</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3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8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Parties to the Transaction</w:t>
              </w:r>
            </w:hyperlink>
          </w:p>
        </w:tc>
        <w:tc>
          <w:tcPr>
            <w:tcW w:w="6840" w:type="dxa"/>
            <w:vAlign w:val="bottom"/>
            <w:gridSpan w:val="20"/>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The Transaction</w:t>
              </w:r>
            </w:hyperlink>
          </w:p>
        </w:tc>
        <w:tc>
          <w:tcPr>
            <w:tcW w:w="7500" w:type="dxa"/>
            <w:vAlign w:val="bottom"/>
            <w:gridSpan w:val="2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32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Background and Reasons for the Transaction</w:t>
              </w:r>
            </w:hyperlink>
          </w:p>
        </w:tc>
        <w:tc>
          <w:tcPr>
            <w:tcW w:w="5420" w:type="dxa"/>
            <w:vAlign w:val="bottom"/>
            <w:gridSpan w:val="10"/>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Potential Tax Consequences to the Arcturus Group</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Comparison of Rights</w:t>
              </w:r>
            </w:hyperlink>
          </w:p>
        </w:tc>
        <w:tc>
          <w:tcPr>
            <w:tcW w:w="2060" w:type="dxa"/>
            <w:vAlign w:val="bottom"/>
            <w:tcBorders>
              <w:top w:val="single" w:sz="8" w:color="0000EE"/>
            </w:tcBorders>
            <w:gridSpan w:val="17"/>
          </w:tcPr>
          <w:p>
            <w:pPr>
              <w:spacing w:after="0"/>
              <w:rPr>
                <w:sz w:val="17"/>
                <w:szCs w:val="17"/>
                <w:color w:val="auto"/>
              </w:rPr>
            </w:pPr>
          </w:p>
        </w:tc>
        <w:tc>
          <w:tcPr>
            <w:tcW w:w="5020" w:type="dxa"/>
            <w:vAlign w:val="bottom"/>
            <w:gridSpan w:val="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Stock Exchange Listing</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34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Approval of the Scheme of Arrangement by the Israel Court</w:t>
              </w:r>
            </w:hyperlink>
          </w:p>
        </w:tc>
        <w:tc>
          <w:tcPr>
            <w:tcW w:w="4340" w:type="dxa"/>
            <w:vAlign w:val="bottom"/>
            <w:gridSpan w:val="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Amendment</w:t>
              </w:r>
            </w:hyperlink>
          </w:p>
        </w:tc>
        <w:tc>
          <w:tcPr>
            <w:tcW w:w="7760" w:type="dxa"/>
            <w:vAlign w:val="bottom"/>
            <w:gridSpan w:val="2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Effective Date of the Transaction</w:t>
              </w:r>
            </w:hyperlink>
          </w:p>
        </w:tc>
        <w:tc>
          <w:tcPr>
            <w:tcW w:w="6280" w:type="dxa"/>
            <w:vAlign w:val="bottom"/>
            <w:gridSpan w:val="1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29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Accounting Treatment of the Transaction</w:t>
              </w:r>
            </w:hyperlink>
          </w:p>
        </w:tc>
        <w:tc>
          <w:tcPr>
            <w:tcW w:w="5700" w:type="dxa"/>
            <w:vAlign w:val="bottom"/>
            <w:gridSpan w:val="1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Special Meeting</w:t>
              </w:r>
            </w:hyperlink>
          </w:p>
        </w:tc>
        <w:tc>
          <w:tcPr>
            <w:tcW w:w="7500" w:type="dxa"/>
            <w:vAlign w:val="bottom"/>
            <w:gridSpan w:val="2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Recommendation of the Board of Directors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31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Quorum and Required Vote</w:t>
              </w:r>
            </w:hyperlink>
          </w:p>
        </w:tc>
        <w:tc>
          <w:tcPr>
            <w:tcW w:w="5560" w:type="dxa"/>
            <w:vAlign w:val="bottom"/>
            <w:gridSpan w:val="1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1980" w:type="dxa"/>
            <w:vAlign w:val="bottom"/>
            <w:tcBorders>
              <w:top w:val="single" w:sz="8" w:color="0000EE"/>
            </w:tcBorders>
            <w:gridSpan w:val="14"/>
          </w:tcPr>
          <w:p>
            <w:pPr>
              <w:spacing w:after="0" w:line="196"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Summary Financial Data</w:t>
              </w:r>
            </w:hyperlink>
          </w:p>
        </w:tc>
        <w:tc>
          <w:tcPr>
            <w:tcW w:w="6700" w:type="dxa"/>
            <w:vAlign w:val="bottom"/>
            <w:gridSpan w:val="19"/>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Market Price and Dividend Policy</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6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Dividend Policy</w:t>
              </w:r>
            </w:hyperlink>
          </w:p>
        </w:tc>
        <w:tc>
          <w:tcPr>
            <w:tcW w:w="1280" w:type="dxa"/>
            <w:vAlign w:val="bottom"/>
            <w:tcBorders>
              <w:top w:val="single" w:sz="8" w:color="0000EE"/>
            </w:tcBorders>
            <w:gridSpan w:val="10"/>
          </w:tcPr>
          <w:p>
            <w:pPr>
              <w:spacing w:after="0"/>
              <w:rPr>
                <w:sz w:val="17"/>
                <w:szCs w:val="17"/>
                <w:color w:val="auto"/>
              </w:rPr>
            </w:pPr>
          </w:p>
        </w:tc>
        <w:tc>
          <w:tcPr>
            <w:tcW w:w="6220" w:type="dxa"/>
            <w:vAlign w:val="bottom"/>
            <w:gridSpan w:val="1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304"/>
        </w:trPr>
        <w:tc>
          <w:tcPr>
            <w:tcW w:w="126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RISK FACTORS</w:t>
              </w:r>
            </w:hyperlink>
          </w:p>
        </w:tc>
        <w:tc>
          <w:tcPr>
            <w:tcW w:w="7780" w:type="dxa"/>
            <w:vAlign w:val="bottom"/>
            <w:gridSpan w:val="29"/>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9040" w:type="dxa"/>
            <w:vAlign w:val="bottom"/>
            <w:gridSpan w:val="34"/>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THE ARCTURUS REDOMICILIATION PROPOSAL</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360" w:type="dxa"/>
            <w:vAlign w:val="bottom"/>
            <w:tcBorders>
              <w:top w:val="single" w:sz="8" w:color="0000EE"/>
            </w:tcBorders>
          </w:tcPr>
          <w:p>
            <w:pPr>
              <w:spacing w:after="0"/>
              <w:rPr>
                <w:sz w:val="24"/>
                <w:szCs w:val="24"/>
                <w:color w:val="auto"/>
              </w:rPr>
            </w:pPr>
          </w:p>
        </w:tc>
        <w:tc>
          <w:tcPr>
            <w:tcW w:w="7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Overview</w:t>
              </w:r>
            </w:hyperlink>
          </w:p>
        </w:tc>
        <w:tc>
          <w:tcPr>
            <w:tcW w:w="2880" w:type="dxa"/>
            <w:vAlign w:val="bottom"/>
            <w:tcBorders>
              <w:top w:val="single" w:sz="8" w:color="0000EE"/>
            </w:tcBorders>
            <w:gridSpan w:val="23"/>
          </w:tcPr>
          <w:p>
            <w:pPr>
              <w:spacing w:after="0"/>
              <w:rPr>
                <w:sz w:val="24"/>
                <w:szCs w:val="24"/>
                <w:color w:val="auto"/>
              </w:rPr>
            </w:pPr>
          </w:p>
        </w:tc>
        <w:tc>
          <w:tcPr>
            <w:tcW w:w="5080" w:type="dxa"/>
            <w:vAlign w:val="bottom"/>
            <w:gridSpan w:val="7"/>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Background and Reasons for the Transaction</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360" w:type="dxa"/>
            <w:vAlign w:val="bottom"/>
          </w:tcPr>
          <w:p>
            <w:pPr>
              <w:spacing w:after="0"/>
              <w:rPr>
                <w:sz w:val="17"/>
                <w:szCs w:val="17"/>
                <w:color w:val="auto"/>
              </w:rPr>
            </w:pPr>
          </w:p>
        </w:tc>
        <w:tc>
          <w:tcPr>
            <w:tcW w:w="9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Amendment</w:t>
              </w:r>
            </w:hyperlink>
          </w:p>
        </w:tc>
        <w:tc>
          <w:tcPr>
            <w:tcW w:w="2320" w:type="dxa"/>
            <w:vAlign w:val="bottom"/>
            <w:tcBorders>
              <w:top w:val="single" w:sz="8" w:color="0000EE"/>
            </w:tcBorders>
            <w:gridSpan w:val="17"/>
          </w:tcPr>
          <w:p>
            <w:pPr>
              <w:spacing w:after="0"/>
              <w:rPr>
                <w:sz w:val="17"/>
                <w:szCs w:val="17"/>
                <w:color w:val="auto"/>
              </w:rPr>
            </w:pPr>
          </w:p>
        </w:tc>
        <w:tc>
          <w:tcPr>
            <w:tcW w:w="5440" w:type="dxa"/>
            <w:vAlign w:val="bottom"/>
            <w:gridSpan w:val="11"/>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360" w:type="dxa"/>
            <w:vAlign w:val="bottom"/>
          </w:tcPr>
          <w:p>
            <w:pPr>
              <w:spacing w:after="0"/>
              <w:rPr>
                <w:sz w:val="17"/>
                <w:szCs w:val="17"/>
                <w:color w:val="auto"/>
              </w:rPr>
            </w:pPr>
          </w:p>
        </w:tc>
        <w:tc>
          <w:tcPr>
            <w:tcW w:w="34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Conditions to Consummation of the Transaction</w:t>
              </w:r>
            </w:hyperlink>
          </w:p>
        </w:tc>
        <w:tc>
          <w:tcPr>
            <w:tcW w:w="5200" w:type="dxa"/>
            <w:vAlign w:val="bottom"/>
            <w:gridSpan w:val="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360" w:type="dxa"/>
            <w:vAlign w:val="bottom"/>
          </w:tcPr>
          <w:p>
            <w:pPr>
              <w:spacing w:after="0"/>
              <w:rPr>
                <w:sz w:val="17"/>
                <w:szCs w:val="17"/>
                <w:color w:val="auto"/>
              </w:rPr>
            </w:pPr>
          </w:p>
        </w:tc>
        <w:tc>
          <w:tcPr>
            <w:tcW w:w="434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Approval of the Scheme of Arrangement by the Israel Court</w:t>
              </w:r>
            </w:hyperlink>
          </w:p>
        </w:tc>
        <w:tc>
          <w:tcPr>
            <w:tcW w:w="4340" w:type="dxa"/>
            <w:vAlign w:val="bottom"/>
            <w:gridSpan w:val="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Effective Date of the Transaction</w:t>
              </w:r>
            </w:hyperlink>
          </w:p>
        </w:tc>
        <w:tc>
          <w:tcPr>
            <w:tcW w:w="6280" w:type="dxa"/>
            <w:vAlign w:val="bottom"/>
            <w:gridSpan w:val="1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Management of Arcturus-Delaware</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360" w:type="dxa"/>
            <w:vAlign w:val="bottom"/>
          </w:tcPr>
          <w:p>
            <w:pPr>
              <w:spacing w:after="0"/>
              <w:rPr>
                <w:sz w:val="17"/>
                <w:szCs w:val="17"/>
                <w:color w:val="auto"/>
              </w:rPr>
            </w:pPr>
          </w:p>
        </w:tc>
        <w:tc>
          <w:tcPr>
            <w:tcW w:w="25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Indemnification Agreements</w:t>
              </w:r>
            </w:hyperlink>
          </w:p>
        </w:tc>
        <w:tc>
          <w:tcPr>
            <w:tcW w:w="6120" w:type="dxa"/>
            <w:vAlign w:val="bottom"/>
            <w:gridSpan w:val="1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Interests of Certain Persons in the Transaction</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6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Regulatory Matters</w:t>
              </w:r>
            </w:hyperlink>
          </w:p>
        </w:tc>
        <w:tc>
          <w:tcPr>
            <w:tcW w:w="1920" w:type="dxa"/>
            <w:vAlign w:val="bottom"/>
            <w:tcBorders>
              <w:top w:val="single" w:sz="8" w:color="0000EE"/>
            </w:tcBorders>
            <w:gridSpan w:val="16"/>
          </w:tcPr>
          <w:p>
            <w:pPr>
              <w:spacing w:after="0"/>
              <w:rPr>
                <w:sz w:val="17"/>
                <w:szCs w:val="17"/>
                <w:color w:val="auto"/>
              </w:rPr>
            </w:pPr>
          </w:p>
        </w:tc>
        <w:tc>
          <w:tcPr>
            <w:tcW w:w="5360" w:type="dxa"/>
            <w:vAlign w:val="bottom"/>
            <w:gridSpan w:val="9"/>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No Appraisal Rights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8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Action Required to Transfer Arcturus-Israel Ordinary Shares and Receive Arcturus-Delaware Shares of Common Stock.</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Equity Plans</w:t>
              </w:r>
            </w:hyperlink>
          </w:p>
        </w:tc>
        <w:tc>
          <w:tcPr>
            <w:tcW w:w="7760" w:type="dxa"/>
            <w:vAlign w:val="bottom"/>
            <w:gridSpan w:val="2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Stock Exchange Listing</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9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69">
              <w:r>
                <w:rPr>
                  <w:rFonts w:ascii="Arial" w:cs="Arial" w:eastAsia="Arial" w:hAnsi="Arial"/>
                  <w:sz w:val="18"/>
                  <w:szCs w:val="18"/>
                  <w:color w:val="0000EE"/>
                  <w:w w:val="91"/>
                </w:rPr>
                <w:t>Accounting Treatment of the Transaction</w:t>
              </w:r>
            </w:hyperlink>
          </w:p>
        </w:tc>
        <w:tc>
          <w:tcPr>
            <w:tcW w:w="5700" w:type="dxa"/>
            <w:vAlign w:val="bottom"/>
            <w:gridSpan w:val="1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Effect of the Transaction on Reporting Obligations of the Arcturus Corporate Group</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3440" w:type="dxa"/>
            <w:vAlign w:val="bottom"/>
            <w:gridSpan w:val="23"/>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70">
              <w:r>
                <w:rPr>
                  <w:rFonts w:ascii="Arial" w:cs="Arial" w:eastAsia="Arial" w:hAnsi="Arial"/>
                  <w:sz w:val="18"/>
                  <w:szCs w:val="18"/>
                  <w:color w:val="0000EE"/>
                  <w:w w:val="97"/>
                </w:rPr>
                <w:t>TAXATION</w:t>
              </w:r>
            </w:hyperlink>
          </w:p>
        </w:tc>
        <w:tc>
          <w:tcPr>
            <w:tcW w:w="8120" w:type="dxa"/>
            <w:vAlign w:val="bottom"/>
            <w:gridSpan w:val="3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04"/>
        </w:trPr>
        <w:tc>
          <w:tcPr>
            <w:tcW w:w="4920" w:type="dxa"/>
            <w:vAlign w:val="bottom"/>
            <w:tcBorders>
              <w:bottom w:val="single" w:sz="8" w:color="0000EE"/>
            </w:tcBorders>
            <w:gridSpan w:val="30"/>
          </w:tcPr>
          <w:p>
            <w:pPr>
              <w:spacing w:after="0"/>
              <w:rPr>
                <w:rFonts w:ascii="Arial" w:cs="Arial" w:eastAsia="Arial" w:hAnsi="Arial"/>
                <w:sz w:val="18"/>
                <w:szCs w:val="18"/>
                <w:color w:val="0000EE"/>
                <w:w w:val="95"/>
              </w:rPr>
            </w:pPr>
            <w:hyperlink w:anchor="page79">
              <w:r>
                <w:rPr>
                  <w:rFonts w:ascii="Arial" w:cs="Arial" w:eastAsia="Arial" w:hAnsi="Arial"/>
                  <w:sz w:val="18"/>
                  <w:szCs w:val="18"/>
                  <w:color w:val="0000EE"/>
                  <w:w w:val="95"/>
                </w:rPr>
                <w:t>DESCRIPTION OF ARCTURUS-DELAWARE CAPITAL STOCK</w:t>
              </w:r>
            </w:hyperlink>
          </w:p>
        </w:tc>
        <w:tc>
          <w:tcPr>
            <w:tcW w:w="4120" w:type="dxa"/>
            <w:vAlign w:val="bottom"/>
            <w:gridSpan w:val="4"/>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04"/>
        </w:trPr>
        <w:tc>
          <w:tcPr>
            <w:tcW w:w="36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79">
              <w:r>
                <w:rPr>
                  <w:rFonts w:ascii="Arial" w:cs="Arial" w:eastAsia="Arial" w:hAnsi="Arial"/>
                  <w:sz w:val="18"/>
                  <w:szCs w:val="18"/>
                  <w:color w:val="0000EE"/>
                  <w:w w:val="87"/>
                </w:rPr>
                <w:t>General</w:t>
              </w:r>
            </w:hyperlink>
          </w:p>
        </w:tc>
        <w:tc>
          <w:tcPr>
            <w:tcW w:w="8100" w:type="dxa"/>
            <w:vAlign w:val="bottom"/>
            <w:gridSpan w:val="31"/>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Common Stock</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380" w:type="dxa"/>
            <w:vAlign w:val="bottom"/>
          </w:tcPr>
          <w:p>
            <w:pPr>
              <w:spacing w:after="0"/>
              <w:rPr>
                <w:sz w:val="16"/>
                <w:szCs w:val="16"/>
                <w:color w:val="auto"/>
              </w:rPr>
            </w:pPr>
          </w:p>
        </w:tc>
        <w:tc>
          <w:tcPr>
            <w:tcW w:w="8780" w:type="dxa"/>
            <w:vAlign w:val="bottom"/>
            <w:gridSpan w:val="40"/>
          </w:tcPr>
          <w:p>
            <w:pPr>
              <w:spacing w:after="0" w:line="190" w:lineRule="exact"/>
              <w:rPr>
                <w:rFonts w:ascii="Arial" w:cs="Arial" w:eastAsia="Arial" w:hAnsi="Arial"/>
                <w:sz w:val="18"/>
                <w:szCs w:val="18"/>
                <w:color w:val="0000EE"/>
              </w:rPr>
            </w:pPr>
            <w:hyperlink w:anchor="page80">
              <w:r>
                <w:rPr>
                  <w:rFonts w:ascii="Arial" w:cs="Arial" w:eastAsia="Arial" w:hAnsi="Arial"/>
                  <w:sz w:val="18"/>
                  <w:szCs w:val="18"/>
                  <w:color w:val="0000EE"/>
                </w:rPr>
                <w:t>Preferred Stock</w:t>
              </w:r>
            </w:hyperlink>
          </w:p>
        </w:tc>
        <w:tc>
          <w:tcPr>
            <w:tcW w:w="1820" w:type="dxa"/>
            <w:vAlign w:val="bottom"/>
          </w:tcPr>
          <w:p>
            <w:pPr>
              <w:jc w:val="right"/>
              <w:spacing w:after="0" w:line="190" w:lineRule="exact"/>
              <w:rPr>
                <w:sz w:val="20"/>
                <w:szCs w:val="20"/>
                <w:color w:val="auto"/>
              </w:rPr>
            </w:pPr>
            <w:r>
              <w:rPr>
                <w:rFonts w:ascii="Arial" w:cs="Arial" w:eastAsia="Arial" w:hAnsi="Arial"/>
                <w:sz w:val="18"/>
                <w:szCs w:val="18"/>
                <w:color w:val="auto"/>
              </w:rPr>
              <w:t>72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Annual Stockholder Meetings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tcBorders>
              <w:bottom w:val="single" w:sz="8" w:color="0000EE"/>
            </w:tcBorders>
            <w:gridSpan w:val="40"/>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Anti-Takeover Effects of Provisions of the Arcturus-Delaware Certificate of Incorporation and Bylaws and Delaware Law</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Limitations of Liability and Indemnification Matters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380" w:type="dxa"/>
            <w:vAlign w:val="bottom"/>
          </w:tcPr>
          <w:p>
            <w:pPr>
              <w:spacing w:after="0"/>
              <w:rPr>
                <w:sz w:val="17"/>
                <w:szCs w:val="17"/>
                <w:color w:val="auto"/>
              </w:rPr>
            </w:pPr>
          </w:p>
        </w:tc>
        <w:tc>
          <w:tcPr>
            <w:tcW w:w="376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Stock Exchange Listing</w:t>
              </w:r>
            </w:hyperlink>
          </w:p>
        </w:tc>
        <w:tc>
          <w:tcPr>
            <w:tcW w:w="5020" w:type="dxa"/>
            <w:vAlign w:val="bottom"/>
            <w:gridSpan w:val="10"/>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380" w:type="dxa"/>
            <w:vAlign w:val="bottom"/>
          </w:tcPr>
          <w:p>
            <w:pPr>
              <w:spacing w:after="0"/>
              <w:rPr>
                <w:sz w:val="17"/>
                <w:szCs w:val="17"/>
                <w:color w:val="auto"/>
              </w:rPr>
            </w:pPr>
          </w:p>
        </w:tc>
        <w:tc>
          <w:tcPr>
            <w:tcW w:w="17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No Sinking Fund</w:t>
              </w:r>
            </w:hyperlink>
          </w:p>
        </w:tc>
        <w:tc>
          <w:tcPr>
            <w:tcW w:w="7080" w:type="dxa"/>
            <w:vAlign w:val="bottom"/>
            <w:gridSpan w:val="30"/>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Transfer Agent and Registrar</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7480" w:type="dxa"/>
            <w:vAlign w:val="bottom"/>
            <w:tcBorders>
              <w:bottom w:val="single" w:sz="8" w:color="0000EE"/>
            </w:tcBorders>
            <w:gridSpan w:val="40"/>
          </w:tcPr>
          <w:p>
            <w:pPr>
              <w:spacing w:after="0"/>
              <w:rPr>
                <w:rFonts w:ascii="Arial" w:cs="Arial" w:eastAsia="Arial" w:hAnsi="Arial"/>
                <w:sz w:val="18"/>
                <w:szCs w:val="18"/>
                <w:color w:val="0000EE"/>
                <w:w w:val="95"/>
              </w:rPr>
            </w:pPr>
            <w:hyperlink w:anchor="page84">
              <w:r>
                <w:rPr>
                  <w:rFonts w:ascii="Arial" w:cs="Arial" w:eastAsia="Arial" w:hAnsi="Arial"/>
                  <w:sz w:val="18"/>
                  <w:szCs w:val="18"/>
                  <w:color w:val="0000EE"/>
                  <w:w w:val="95"/>
                </w:rPr>
                <w:t>COMPARISON OF RIGHTS OF ISRAEL SHAREHOLDERS AND DELAWARE STOCKHOLDERS</w:t>
              </w:r>
            </w:hyperlink>
          </w:p>
        </w:tc>
        <w:tc>
          <w:tcPr>
            <w:tcW w:w="16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04"/>
        </w:trPr>
        <w:tc>
          <w:tcPr>
            <w:tcW w:w="9160" w:type="dxa"/>
            <w:vAlign w:val="bottom"/>
            <w:gridSpan w:val="41"/>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THE SPECIAL MEETING</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04"/>
        </w:trPr>
        <w:tc>
          <w:tcPr>
            <w:tcW w:w="380" w:type="dxa"/>
            <w:vAlign w:val="bottom"/>
            <w:tcBorders>
              <w:top w:val="single" w:sz="8" w:color="0000EE"/>
            </w:tcBorders>
          </w:tcPr>
          <w:p>
            <w:pPr>
              <w:spacing w:after="0"/>
              <w:rPr>
                <w:sz w:val="24"/>
                <w:szCs w:val="24"/>
                <w:color w:val="auto"/>
              </w:rPr>
            </w:pPr>
          </w:p>
        </w:tc>
        <w:tc>
          <w:tcPr>
            <w:tcW w:w="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4"/>
              </w:rPr>
            </w:pPr>
            <w:hyperlink w:anchor="page102">
              <w:r>
                <w:rPr>
                  <w:rFonts w:ascii="Arial" w:cs="Arial" w:eastAsia="Arial" w:hAnsi="Arial"/>
                  <w:sz w:val="18"/>
                  <w:szCs w:val="18"/>
                  <w:color w:val="0000EE"/>
                  <w:w w:val="84"/>
                </w:rPr>
                <w:t>General</w:t>
              </w:r>
            </w:hyperlink>
          </w:p>
        </w:tc>
        <w:tc>
          <w:tcPr>
            <w:tcW w:w="1040" w:type="dxa"/>
            <w:vAlign w:val="bottom"/>
            <w:tcBorders>
              <w:top w:val="single" w:sz="8" w:color="0000EE"/>
            </w:tcBorders>
            <w:gridSpan w:val="6"/>
          </w:tcPr>
          <w:p>
            <w:pPr>
              <w:spacing w:after="0"/>
              <w:rPr>
                <w:sz w:val="24"/>
                <w:szCs w:val="24"/>
                <w:color w:val="auto"/>
              </w:rPr>
            </w:pPr>
          </w:p>
        </w:tc>
        <w:tc>
          <w:tcPr>
            <w:tcW w:w="7180" w:type="dxa"/>
            <w:vAlign w:val="bottom"/>
            <w:gridSpan w:val="31"/>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Time, Place and Date</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Purpose of the Special Meeting</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160" w:type="dxa"/>
            <w:vAlign w:val="bottom"/>
            <w:tcBorders>
              <w:bottom w:val="single" w:sz="8" w:color="0000EE"/>
            </w:tcBorders>
            <w:gridSpan w:val="36"/>
          </w:tcPr>
          <w:p>
            <w:pPr>
              <w:spacing w:after="0" w:line="196" w:lineRule="exact"/>
              <w:rPr>
                <w:rFonts w:ascii="Arial" w:cs="Arial" w:eastAsia="Arial" w:hAnsi="Arial"/>
                <w:sz w:val="18"/>
                <w:szCs w:val="18"/>
                <w:color w:val="0000EE"/>
                <w:w w:val="91"/>
              </w:rPr>
            </w:pPr>
            <w:hyperlink w:anchor="page102">
              <w:r>
                <w:rPr>
                  <w:rFonts w:ascii="Arial" w:cs="Arial" w:eastAsia="Arial" w:hAnsi="Arial"/>
                  <w:sz w:val="18"/>
                  <w:szCs w:val="18"/>
                  <w:color w:val="0000EE"/>
                  <w:w w:val="91"/>
                </w:rPr>
                <w:t>Record Date; Voting Rights; Votes Required for Approval</w:t>
              </w:r>
            </w:hyperlink>
          </w:p>
        </w:tc>
        <w:tc>
          <w:tcPr>
            <w:tcW w:w="4620" w:type="dxa"/>
            <w:vAlign w:val="bottom"/>
            <w:gridSpan w:val="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Proxies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3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04">
              <w:r>
                <w:rPr>
                  <w:rFonts w:ascii="Arial" w:cs="Arial" w:eastAsia="Arial" w:hAnsi="Arial"/>
                  <w:sz w:val="18"/>
                  <w:szCs w:val="18"/>
                  <w:color w:val="0000EE"/>
                  <w:w w:val="88"/>
                </w:rPr>
                <w:t>How You Can Vote</w:t>
              </w:r>
            </w:hyperlink>
          </w:p>
        </w:tc>
        <w:tc>
          <w:tcPr>
            <w:tcW w:w="7400" w:type="dxa"/>
            <w:vAlign w:val="bottom"/>
            <w:gridSpan w:val="3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Validity</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0"/>
        </w:trPr>
        <w:tc>
          <w:tcPr>
            <w:tcW w:w="3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9160" w:type="dxa"/>
            <w:vAlign w:val="bottom"/>
            <w:gridSpan w:val="41"/>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THE BUSINESS OF ARCTURUS THERAPEUTICS LTD.</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04"/>
        </w:trPr>
        <w:tc>
          <w:tcPr>
            <w:tcW w:w="380" w:type="dxa"/>
            <w:vAlign w:val="bottom"/>
            <w:tcBorders>
              <w:top w:val="single" w:sz="8" w:color="0000EE"/>
            </w:tcBorders>
          </w:tcPr>
          <w:p>
            <w:pPr>
              <w:spacing w:after="0"/>
              <w:rPr>
                <w:sz w:val="24"/>
                <w:szCs w:val="24"/>
                <w:color w:val="auto"/>
              </w:rPr>
            </w:pPr>
          </w:p>
        </w:tc>
        <w:tc>
          <w:tcPr>
            <w:tcW w:w="8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107">
              <w:r>
                <w:rPr>
                  <w:rFonts w:ascii="Arial" w:cs="Arial" w:eastAsia="Arial" w:hAnsi="Arial"/>
                  <w:sz w:val="18"/>
                  <w:szCs w:val="18"/>
                  <w:color w:val="0000EE"/>
                  <w:w w:val="89"/>
                </w:rPr>
                <w:t>Introduction</w:t>
              </w:r>
            </w:hyperlink>
          </w:p>
        </w:tc>
        <w:tc>
          <w:tcPr>
            <w:tcW w:w="3060" w:type="dxa"/>
            <w:vAlign w:val="bottom"/>
            <w:tcBorders>
              <w:top w:val="single" w:sz="8" w:color="0000EE"/>
            </w:tcBorders>
            <w:gridSpan w:val="28"/>
          </w:tcPr>
          <w:p>
            <w:pPr>
              <w:spacing w:after="0"/>
              <w:rPr>
                <w:sz w:val="24"/>
                <w:szCs w:val="24"/>
                <w:color w:val="auto"/>
              </w:rPr>
            </w:pPr>
          </w:p>
        </w:tc>
        <w:tc>
          <w:tcPr>
            <w:tcW w:w="4840" w:type="dxa"/>
            <w:vAlign w:val="bottom"/>
            <w:gridSpan w:val="8"/>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196"/>
        </w:trPr>
        <w:tc>
          <w:tcPr>
            <w:tcW w:w="380" w:type="dxa"/>
            <w:vAlign w:val="bottom"/>
          </w:tcPr>
          <w:p>
            <w:pPr>
              <w:spacing w:after="0"/>
              <w:rPr>
                <w:sz w:val="17"/>
                <w:szCs w:val="17"/>
                <w:color w:val="auto"/>
              </w:rPr>
            </w:pPr>
          </w:p>
        </w:tc>
        <w:tc>
          <w:tcPr>
            <w:tcW w:w="292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107">
              <w:r>
                <w:rPr>
                  <w:rFonts w:ascii="Arial" w:cs="Arial" w:eastAsia="Arial" w:hAnsi="Arial"/>
                  <w:sz w:val="18"/>
                  <w:szCs w:val="18"/>
                  <w:color w:val="0000EE"/>
                  <w:w w:val="91"/>
                </w:rPr>
                <w:t>Recent Developments—Redomiciliation</w:t>
              </w:r>
            </w:hyperlink>
          </w:p>
        </w:tc>
        <w:tc>
          <w:tcPr>
            <w:tcW w:w="5860" w:type="dxa"/>
            <w:vAlign w:val="bottom"/>
            <w:gridSpan w:val="1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OTC</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7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08">
              <w:r>
                <w:rPr>
                  <w:rFonts w:ascii="Arial" w:cs="Arial" w:eastAsia="Arial" w:hAnsi="Arial"/>
                  <w:sz w:val="18"/>
                  <w:szCs w:val="18"/>
                  <w:color w:val="0000EE"/>
                  <w:w w:val="90"/>
                </w:rPr>
                <w:t>Current Technologies and Limitations</w:t>
              </w:r>
            </w:hyperlink>
          </w:p>
        </w:tc>
        <w:tc>
          <w:tcPr>
            <w:tcW w:w="6060" w:type="dxa"/>
            <w:vAlign w:val="bottom"/>
            <w:gridSpan w:val="1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380" w:type="dxa"/>
            <w:vAlign w:val="bottom"/>
          </w:tcPr>
          <w:p>
            <w:pPr>
              <w:spacing w:after="0"/>
              <w:rPr>
                <w:sz w:val="17"/>
                <w:szCs w:val="17"/>
                <w:color w:val="auto"/>
              </w:rPr>
            </w:pPr>
          </w:p>
        </w:tc>
        <w:tc>
          <w:tcPr>
            <w:tcW w:w="378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w:anchor="page109">
              <w:r>
                <w:rPr>
                  <w:rFonts w:ascii="Arial" w:cs="Arial" w:eastAsia="Arial" w:hAnsi="Arial"/>
                  <w:sz w:val="18"/>
                  <w:szCs w:val="18"/>
                  <w:color w:val="0000EE"/>
                  <w:w w:val="92"/>
                </w:rPr>
                <w:t>RNA Medicines, Markets and Arcturus’ Technology</w:t>
              </w:r>
            </w:hyperlink>
          </w:p>
        </w:tc>
        <w:tc>
          <w:tcPr>
            <w:tcW w:w="5000" w:type="dxa"/>
            <w:vAlign w:val="bottom"/>
            <w:gridSpan w:val="9"/>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380" w:type="dxa"/>
            <w:vAlign w:val="bottom"/>
          </w:tcPr>
          <w:p>
            <w:pPr>
              <w:spacing w:after="0"/>
              <w:rPr>
                <w:sz w:val="17"/>
                <w:szCs w:val="17"/>
                <w:color w:val="auto"/>
              </w:rPr>
            </w:pPr>
          </w:p>
        </w:tc>
        <w:tc>
          <w:tcPr>
            <w:tcW w:w="264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w:anchor="page110">
              <w:r>
                <w:rPr>
                  <w:rFonts w:ascii="Arial" w:cs="Arial" w:eastAsia="Arial" w:hAnsi="Arial"/>
                  <w:sz w:val="18"/>
                  <w:szCs w:val="18"/>
                  <w:color w:val="0000EE"/>
                  <w:w w:val="93"/>
                </w:rPr>
                <w:t>Our Platform Technology—LUNAR</w:t>
              </w:r>
            </w:hyperlink>
          </w:p>
        </w:tc>
        <w:tc>
          <w:tcPr>
            <w:tcW w:w="6140" w:type="dxa"/>
            <w:vAlign w:val="bottom"/>
            <w:gridSpan w:val="1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4"/>
          </w:tcPr>
          <w:p>
            <w:pPr>
              <w:spacing w:after="0" w:line="196" w:lineRule="exact"/>
              <w:rPr>
                <w:rFonts w:ascii="Arial" w:cs="Arial" w:eastAsia="Arial" w:hAnsi="Arial"/>
                <w:sz w:val="18"/>
                <w:szCs w:val="18"/>
                <w:color w:val="0000EE"/>
                <w:w w:val="84"/>
              </w:rPr>
            </w:pPr>
            <w:hyperlink w:anchor="page111">
              <w:r>
                <w:rPr>
                  <w:rFonts w:ascii="Arial" w:cs="Arial" w:eastAsia="Arial" w:hAnsi="Arial"/>
                  <w:sz w:val="18"/>
                  <w:szCs w:val="18"/>
                  <w:color w:val="0000EE"/>
                  <w:w w:val="84"/>
                </w:rPr>
                <w:t>Our Pipeline</w:t>
              </w:r>
            </w:hyperlink>
          </w:p>
        </w:tc>
        <w:tc>
          <w:tcPr>
            <w:tcW w:w="7900" w:type="dxa"/>
            <w:vAlign w:val="bottom"/>
            <w:gridSpan w:val="3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Our Strategy</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640" w:type="dxa"/>
            <w:vAlign w:val="bottom"/>
            <w:tcBorders>
              <w:left w:val="single" w:sz="8" w:color="0000EE"/>
            </w:tcBorders>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9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Our Competitive Strengths</w:t>
              </w:r>
            </w:hyperlink>
          </w:p>
        </w:tc>
        <w:tc>
          <w:tcPr>
            <w:tcW w:w="6840" w:type="dxa"/>
            <w:vAlign w:val="bottom"/>
            <w:gridSpan w:val="2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380" w:type="dxa"/>
            <w:vAlign w:val="bottom"/>
          </w:tcPr>
          <w:p>
            <w:pPr>
              <w:spacing w:after="0"/>
              <w:rPr>
                <w:sz w:val="17"/>
                <w:szCs w:val="17"/>
                <w:color w:val="auto"/>
              </w:rPr>
            </w:pPr>
          </w:p>
        </w:tc>
        <w:tc>
          <w:tcPr>
            <w:tcW w:w="4940" w:type="dxa"/>
            <w:vAlign w:val="bottom"/>
            <w:tcBorders>
              <w:bottom w:val="single" w:sz="8" w:color="0000EE"/>
            </w:tcBorders>
            <w:gridSpan w:val="38"/>
          </w:tcPr>
          <w:p>
            <w:pPr>
              <w:spacing w:after="0" w:line="196" w:lineRule="exact"/>
              <w:rPr>
                <w:rFonts w:ascii="Arial" w:cs="Arial" w:eastAsia="Arial" w:hAnsi="Arial"/>
                <w:sz w:val="18"/>
                <w:szCs w:val="18"/>
                <w:color w:val="0000EE"/>
                <w:w w:val="94"/>
              </w:rPr>
            </w:pPr>
            <w:hyperlink w:anchor="page114">
              <w:r>
                <w:rPr>
                  <w:rFonts w:ascii="Arial" w:cs="Arial" w:eastAsia="Arial" w:hAnsi="Arial"/>
                  <w:sz w:val="18"/>
                  <w:szCs w:val="18"/>
                  <w:color w:val="0000EE"/>
                  <w:w w:val="94"/>
                </w:rPr>
                <w:t>Key Attributes of our LUNAR Lipid-Mediated Delivery Technology</w:t>
              </w:r>
            </w:hyperlink>
          </w:p>
        </w:tc>
        <w:tc>
          <w:tcPr>
            <w:tcW w:w="3840" w:type="dxa"/>
            <w:vAlign w:val="bottom"/>
            <w:gridSpan w:val="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380" w:type="dxa"/>
            <w:vAlign w:val="bottom"/>
          </w:tcPr>
          <w:p>
            <w:pPr>
              <w:spacing w:after="0"/>
              <w:rPr>
                <w:sz w:val="17"/>
                <w:szCs w:val="17"/>
                <w:color w:val="auto"/>
              </w:rPr>
            </w:pPr>
          </w:p>
        </w:tc>
        <w:tc>
          <w:tcPr>
            <w:tcW w:w="290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118">
              <w:r>
                <w:rPr>
                  <w:rFonts w:ascii="Arial" w:cs="Arial" w:eastAsia="Arial" w:hAnsi="Arial"/>
                  <w:sz w:val="18"/>
                  <w:szCs w:val="18"/>
                  <w:color w:val="0000EE"/>
                  <w:w w:val="94"/>
                </w:rPr>
                <w:t>LUNAR In Vivo Proof-of-Concept Data</w:t>
              </w:r>
            </w:hyperlink>
          </w:p>
        </w:tc>
        <w:tc>
          <w:tcPr>
            <w:tcW w:w="5880" w:type="dxa"/>
            <w:vAlign w:val="bottom"/>
            <w:gridSpan w:val="1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380" w:type="dxa"/>
            <w:vAlign w:val="bottom"/>
          </w:tcPr>
          <w:p>
            <w:pPr>
              <w:spacing w:after="0"/>
              <w:rPr>
                <w:sz w:val="17"/>
                <w:szCs w:val="17"/>
                <w:color w:val="auto"/>
              </w:rPr>
            </w:pPr>
          </w:p>
        </w:tc>
        <w:tc>
          <w:tcPr>
            <w:tcW w:w="4100" w:type="dxa"/>
            <w:vAlign w:val="bottom"/>
            <w:tcBorders>
              <w:bottom w:val="single" w:sz="8" w:color="0000EE"/>
            </w:tcBorders>
            <w:gridSpan w:val="35"/>
          </w:tcPr>
          <w:p>
            <w:pPr>
              <w:spacing w:after="0" w:line="196" w:lineRule="exact"/>
              <w:rPr>
                <w:rFonts w:ascii="Arial" w:cs="Arial" w:eastAsia="Arial" w:hAnsi="Arial"/>
                <w:sz w:val="18"/>
                <w:szCs w:val="18"/>
                <w:color w:val="0000EE"/>
                <w:w w:val="94"/>
              </w:rPr>
            </w:pPr>
            <w:hyperlink w:anchor="page119">
              <w:r>
                <w:rPr>
                  <w:rFonts w:ascii="Arial" w:cs="Arial" w:eastAsia="Arial" w:hAnsi="Arial"/>
                  <w:sz w:val="18"/>
                  <w:szCs w:val="18"/>
                  <w:color w:val="0000EE"/>
                  <w:w w:val="94"/>
                </w:rPr>
                <w:t>Our Unlocked Nucleic Acid (UNA) Oligomer Chemistry</w:t>
              </w:r>
            </w:hyperlink>
          </w:p>
        </w:tc>
        <w:tc>
          <w:tcPr>
            <w:tcW w:w="4680" w:type="dxa"/>
            <w:vAlign w:val="bottom"/>
            <w:gridSpan w:val="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380" w:type="dxa"/>
            <w:vAlign w:val="bottom"/>
          </w:tcPr>
          <w:p>
            <w:pPr>
              <w:spacing w:after="0"/>
              <w:rPr>
                <w:sz w:val="17"/>
                <w:szCs w:val="17"/>
                <w:color w:val="auto"/>
              </w:rPr>
            </w:pPr>
          </w:p>
        </w:tc>
        <w:tc>
          <w:tcPr>
            <w:tcW w:w="23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20">
              <w:r>
                <w:rPr>
                  <w:rFonts w:ascii="Arial" w:cs="Arial" w:eastAsia="Arial" w:hAnsi="Arial"/>
                  <w:sz w:val="18"/>
                  <w:szCs w:val="18"/>
                  <w:color w:val="0000EE"/>
                  <w:w w:val="89"/>
                </w:rPr>
                <w:t>Internal Development Programs</w:t>
              </w:r>
            </w:hyperlink>
          </w:p>
        </w:tc>
        <w:tc>
          <w:tcPr>
            <w:tcW w:w="6480" w:type="dxa"/>
            <w:vAlign w:val="bottom"/>
            <w:gridSpan w:val="21"/>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Collaboration Agreements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Other Material Agreements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196"/>
        </w:trPr>
        <w:tc>
          <w:tcPr>
            <w:tcW w:w="38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w:anchor="page131">
              <w:r>
                <w:rPr>
                  <w:rFonts w:ascii="Arial" w:cs="Arial" w:eastAsia="Arial" w:hAnsi="Arial"/>
                  <w:sz w:val="18"/>
                  <w:szCs w:val="18"/>
                  <w:color w:val="0000EE"/>
                  <w:w w:val="93"/>
                </w:rPr>
                <w:t>Intellectual Property</w:t>
              </w:r>
            </w:hyperlink>
          </w:p>
        </w:tc>
        <w:tc>
          <w:tcPr>
            <w:tcW w:w="440" w:type="dxa"/>
            <w:vAlign w:val="bottom"/>
            <w:tcBorders>
              <w:top w:val="single" w:sz="8" w:color="0000EE"/>
            </w:tcBorders>
            <w:gridSpan w:val="7"/>
          </w:tcPr>
          <w:p>
            <w:pPr>
              <w:spacing w:after="0"/>
              <w:rPr>
                <w:sz w:val="17"/>
                <w:szCs w:val="17"/>
                <w:color w:val="auto"/>
              </w:rPr>
            </w:pPr>
          </w:p>
        </w:tc>
        <w:tc>
          <w:tcPr>
            <w:tcW w:w="6820" w:type="dxa"/>
            <w:vAlign w:val="bottom"/>
            <w:gridSpan w:val="2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Competition</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9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34">
              <w:r>
                <w:rPr>
                  <w:rFonts w:ascii="Arial" w:cs="Arial" w:eastAsia="Arial" w:hAnsi="Arial"/>
                  <w:sz w:val="18"/>
                  <w:szCs w:val="18"/>
                  <w:color w:val="0000EE"/>
                  <w:w w:val="90"/>
                </w:rPr>
                <w:t>Manufacturing and Supply</w:t>
              </w:r>
            </w:hyperlink>
          </w:p>
        </w:tc>
        <w:tc>
          <w:tcPr>
            <w:tcW w:w="6860" w:type="dxa"/>
            <w:vAlign w:val="bottom"/>
            <w:gridSpan w:val="2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304"/>
        </w:trPr>
        <w:tc>
          <w:tcPr>
            <w:tcW w:w="9160" w:type="dxa"/>
            <w:vAlign w:val="bottom"/>
            <w:gridSpan w:val="41"/>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PRODUCT APPROVAL AND GOVERNMENT REGULATION</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04"/>
        </w:trPr>
        <w:tc>
          <w:tcPr>
            <w:tcW w:w="380" w:type="dxa"/>
            <w:vAlign w:val="bottom"/>
            <w:tcBorders>
              <w:top w:val="single" w:sz="8" w:color="0000EE"/>
            </w:tcBorders>
          </w:tcPr>
          <w:p>
            <w:pPr>
              <w:spacing w:after="0"/>
              <w:rPr>
                <w:sz w:val="24"/>
                <w:szCs w:val="24"/>
                <w:color w:val="auto"/>
              </w:rPr>
            </w:pPr>
          </w:p>
        </w:tc>
        <w:tc>
          <w:tcPr>
            <w:tcW w:w="4360" w:type="dxa"/>
            <w:vAlign w:val="bottom"/>
            <w:tcBorders>
              <w:top w:val="single" w:sz="8" w:color="0000EE"/>
            </w:tcBorders>
            <w:gridSpan w:val="37"/>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U.S. Drug Development Process</w:t>
              </w:r>
            </w:hyperlink>
          </w:p>
        </w:tc>
        <w:tc>
          <w:tcPr>
            <w:tcW w:w="4420" w:type="dxa"/>
            <w:vAlign w:val="bottom"/>
            <w:gridSpan w:val="3"/>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U.S. Review and Approval Process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38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138">
              <w:r>
                <w:rPr>
                  <w:rFonts w:ascii="Arial" w:cs="Arial" w:eastAsia="Arial" w:hAnsi="Arial"/>
                  <w:sz w:val="18"/>
                  <w:szCs w:val="18"/>
                  <w:color w:val="0000EE"/>
                  <w:w w:val="90"/>
                </w:rPr>
                <w:t>Orphan Drug Designation</w:t>
              </w:r>
            </w:hyperlink>
          </w:p>
        </w:tc>
        <w:tc>
          <w:tcPr>
            <w:tcW w:w="640" w:type="dxa"/>
            <w:vAlign w:val="bottom"/>
            <w:tcBorders>
              <w:top w:val="single" w:sz="8" w:color="0000EE"/>
            </w:tcBorders>
            <w:gridSpan w:val="9"/>
          </w:tcPr>
          <w:p>
            <w:pPr>
              <w:spacing w:after="0"/>
              <w:rPr>
                <w:sz w:val="17"/>
                <w:szCs w:val="17"/>
                <w:color w:val="auto"/>
              </w:rPr>
            </w:pPr>
          </w:p>
        </w:tc>
        <w:tc>
          <w:tcPr>
            <w:tcW w:w="6260" w:type="dxa"/>
            <w:vAlign w:val="bottom"/>
            <w:gridSpan w:val="19"/>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Expedited Development and Review Programs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380" w:type="dxa"/>
            <w:vAlign w:val="bottom"/>
          </w:tcPr>
          <w:p>
            <w:pPr>
              <w:spacing w:after="0"/>
              <w:rPr>
                <w:sz w:val="17"/>
                <w:szCs w:val="17"/>
                <w:color w:val="auto"/>
              </w:rPr>
            </w:pPr>
          </w:p>
        </w:tc>
        <w:tc>
          <w:tcPr>
            <w:tcW w:w="33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Post-approval Requirements</w:t>
              </w:r>
            </w:hyperlink>
          </w:p>
        </w:tc>
        <w:tc>
          <w:tcPr>
            <w:tcW w:w="5420" w:type="dxa"/>
            <w:vAlign w:val="bottom"/>
            <w:gridSpan w:val="1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U.S. Patent Term Restoration and Marketing Exclusivity</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380" w:type="dxa"/>
            <w:vAlign w:val="bottom"/>
          </w:tcPr>
          <w:p>
            <w:pPr>
              <w:spacing w:after="0"/>
              <w:rPr>
                <w:sz w:val="17"/>
                <w:szCs w:val="17"/>
                <w:color w:val="auto"/>
              </w:rPr>
            </w:pPr>
          </w:p>
        </w:tc>
        <w:tc>
          <w:tcPr>
            <w:tcW w:w="406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U.S. Foreign Corrupt Purchases Act</w:t>
              </w:r>
            </w:hyperlink>
          </w:p>
        </w:tc>
        <w:tc>
          <w:tcPr>
            <w:tcW w:w="4720" w:type="dxa"/>
            <w:vAlign w:val="bottom"/>
            <w:gridSpan w:val="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820" w:type="dxa"/>
            <w:vAlign w:val="bottom"/>
            <w:gridSpan w:val="11"/>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64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141">
              <w:r>
                <w:rPr>
                  <w:rFonts w:ascii="Arial" w:cs="Arial" w:eastAsia="Arial" w:hAnsi="Arial"/>
                  <w:sz w:val="18"/>
                  <w:szCs w:val="18"/>
                  <w:color w:val="0000EE"/>
                  <w:w w:val="88"/>
                </w:rPr>
                <w:t>Federal and State Healthcare Law and Regulations</w:t>
              </w:r>
            </w:hyperlink>
          </w:p>
        </w:tc>
        <w:tc>
          <w:tcPr>
            <w:tcW w:w="5140" w:type="dxa"/>
            <w:vAlign w:val="bottom"/>
            <w:gridSpan w:val="11"/>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196"/>
        </w:trPr>
        <w:tc>
          <w:tcPr>
            <w:tcW w:w="380" w:type="dxa"/>
            <w:vAlign w:val="bottom"/>
          </w:tcPr>
          <w:p>
            <w:pPr>
              <w:spacing w:after="0"/>
              <w:rPr>
                <w:sz w:val="17"/>
                <w:szCs w:val="17"/>
                <w:color w:val="auto"/>
              </w:rPr>
            </w:pPr>
          </w:p>
        </w:tc>
        <w:tc>
          <w:tcPr>
            <w:tcW w:w="398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w:anchor="page144">
              <w:r>
                <w:rPr>
                  <w:rFonts w:ascii="Arial" w:cs="Arial" w:eastAsia="Arial" w:hAnsi="Arial"/>
                  <w:sz w:val="18"/>
                  <w:szCs w:val="18"/>
                  <w:color w:val="0000EE"/>
                  <w:w w:val="89"/>
                </w:rPr>
                <w:t>Pharmaceutical Coverage, Pricing, and Reimbursement</w:t>
              </w:r>
            </w:hyperlink>
          </w:p>
        </w:tc>
        <w:tc>
          <w:tcPr>
            <w:tcW w:w="4800" w:type="dxa"/>
            <w:vAlign w:val="bottom"/>
            <w:gridSpan w:val="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Europe/Rest of World Government Regulations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38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Organizational Structure</w:t>
              </w:r>
            </w:hyperlink>
          </w:p>
        </w:tc>
        <w:tc>
          <w:tcPr>
            <w:tcW w:w="1640" w:type="dxa"/>
            <w:vAlign w:val="bottom"/>
            <w:tcBorders>
              <w:top w:val="single" w:sz="8" w:color="0000EE"/>
            </w:tcBorders>
            <w:gridSpan w:val="17"/>
          </w:tcPr>
          <w:p>
            <w:pPr>
              <w:spacing w:after="0"/>
              <w:rPr>
                <w:sz w:val="17"/>
                <w:szCs w:val="17"/>
                <w:color w:val="auto"/>
              </w:rPr>
            </w:pPr>
          </w:p>
        </w:tc>
        <w:tc>
          <w:tcPr>
            <w:tcW w:w="5380" w:type="dxa"/>
            <w:vAlign w:val="bottom"/>
            <w:gridSpan w:val="1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80"/>
          </w:cols>
          <w:pgMar w:left="24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360" w:type="dxa"/>
            <w:vAlign w:val="bottom"/>
          </w:tcPr>
          <w:p>
            <w:pPr>
              <w:spacing w:after="0"/>
              <w:rPr>
                <w:sz w:val="16"/>
                <w:szCs w:val="16"/>
                <w:color w:val="auto"/>
              </w:rPr>
            </w:pPr>
          </w:p>
        </w:tc>
        <w:tc>
          <w:tcPr>
            <w:tcW w:w="8340" w:type="dxa"/>
            <w:vAlign w:val="bottom"/>
            <w:gridSpan w:val="30"/>
          </w:tcPr>
          <w:p>
            <w:pPr>
              <w:spacing w:after="0" w:line="190" w:lineRule="exact"/>
              <w:rPr>
                <w:rFonts w:ascii="Arial" w:cs="Arial" w:eastAsia="Arial" w:hAnsi="Arial"/>
                <w:sz w:val="18"/>
                <w:szCs w:val="18"/>
                <w:color w:val="0000EE"/>
              </w:rPr>
            </w:pPr>
            <w:hyperlink w:anchor="page145">
              <w:r>
                <w:rPr>
                  <w:rFonts w:ascii="Arial" w:cs="Arial" w:eastAsia="Arial" w:hAnsi="Arial"/>
                  <w:sz w:val="18"/>
                  <w:szCs w:val="18"/>
                  <w:color w:val="0000EE"/>
                </w:rPr>
                <w:t>Property, Plants and Equipment</w:t>
              </w:r>
            </w:hyperlink>
          </w:p>
        </w:tc>
        <w:tc>
          <w:tcPr>
            <w:tcW w:w="2280" w:type="dxa"/>
            <w:vAlign w:val="bottom"/>
          </w:tcPr>
          <w:p>
            <w:pPr>
              <w:jc w:val="right"/>
              <w:spacing w:after="0" w:line="190" w:lineRule="exact"/>
              <w:rPr>
                <w:sz w:val="20"/>
                <w:szCs w:val="20"/>
                <w:color w:val="auto"/>
              </w:rPr>
            </w:pPr>
            <w:r>
              <w:rPr>
                <w:rFonts w:ascii="Arial" w:cs="Arial" w:eastAsia="Arial" w:hAnsi="Arial"/>
                <w:sz w:val="18"/>
                <w:szCs w:val="18"/>
                <w:color w:val="auto"/>
              </w:rPr>
              <w:t>137</w:t>
            </w:r>
          </w:p>
        </w:tc>
      </w:tr>
      <w:tr>
        <w:trPr>
          <w:trHeight w:val="196"/>
        </w:trPr>
        <w:tc>
          <w:tcPr>
            <w:tcW w:w="36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146">
              <w:r>
                <w:rPr>
                  <w:rFonts w:ascii="Arial" w:cs="Arial" w:eastAsia="Arial" w:hAnsi="Arial"/>
                  <w:sz w:val="18"/>
                  <w:szCs w:val="18"/>
                  <w:color w:val="0000EE"/>
                  <w:w w:val="88"/>
                </w:rPr>
                <w:t>Legal Proceedings</w:t>
              </w:r>
            </w:hyperlink>
          </w:p>
        </w:tc>
        <w:tc>
          <w:tcPr>
            <w:tcW w:w="940" w:type="dxa"/>
            <w:vAlign w:val="bottom"/>
            <w:tcBorders>
              <w:top w:val="single" w:sz="8" w:color="0000EE"/>
            </w:tcBorders>
            <w:gridSpan w:val="6"/>
          </w:tcPr>
          <w:p>
            <w:pPr>
              <w:spacing w:after="0"/>
              <w:rPr>
                <w:sz w:val="17"/>
                <w:szCs w:val="17"/>
                <w:color w:val="auto"/>
              </w:rPr>
            </w:pPr>
          </w:p>
        </w:tc>
        <w:tc>
          <w:tcPr>
            <w:tcW w:w="6060" w:type="dxa"/>
            <w:vAlign w:val="bottom"/>
            <w:gridSpan w:val="18"/>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304"/>
        </w:trPr>
        <w:tc>
          <w:tcPr>
            <w:tcW w:w="8700" w:type="dxa"/>
            <w:vAlign w:val="bottom"/>
            <w:gridSpan w:val="31"/>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MANAGEMENT’S DISCUSSION AND ANALYSIS AND RESULTS OF OPERATIONS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04"/>
        </w:trPr>
        <w:tc>
          <w:tcPr>
            <w:tcW w:w="360" w:type="dxa"/>
            <w:vAlign w:val="bottom"/>
            <w:tcBorders>
              <w:top w:val="single" w:sz="8" w:color="0000EE"/>
            </w:tcBorders>
          </w:tcPr>
          <w:p>
            <w:pPr>
              <w:spacing w:after="0"/>
              <w:rPr>
                <w:sz w:val="24"/>
                <w:szCs w:val="24"/>
                <w:color w:val="auto"/>
              </w:rPr>
            </w:pPr>
          </w:p>
        </w:tc>
        <w:tc>
          <w:tcPr>
            <w:tcW w:w="6220" w:type="dxa"/>
            <w:vAlign w:val="bottom"/>
            <w:tcBorders>
              <w:top w:val="single" w:sz="8" w:color="0000EE"/>
            </w:tcBorders>
            <w:gridSpan w:val="28"/>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Liquidity and Capital Resources</w:t>
              </w:r>
            </w:hyperlink>
          </w:p>
        </w:tc>
        <w:tc>
          <w:tcPr>
            <w:tcW w:w="2120" w:type="dxa"/>
            <w:vAlign w:val="bottom"/>
            <w:gridSpan w:val="2"/>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196"/>
        </w:trPr>
        <w:tc>
          <w:tcPr>
            <w:tcW w:w="360" w:type="dxa"/>
            <w:vAlign w:val="bottom"/>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147">
              <w:r>
                <w:rPr>
                  <w:rFonts w:ascii="Arial" w:cs="Arial" w:eastAsia="Arial" w:hAnsi="Arial"/>
                  <w:sz w:val="18"/>
                  <w:szCs w:val="18"/>
                  <w:color w:val="0000EE"/>
                  <w:w w:val="93"/>
                </w:rPr>
                <w:t>Overview</w:t>
              </w:r>
            </w:hyperlink>
          </w:p>
        </w:tc>
        <w:tc>
          <w:tcPr>
            <w:tcW w:w="1600" w:type="dxa"/>
            <w:vAlign w:val="bottom"/>
            <w:tcBorders>
              <w:top w:val="single" w:sz="8" w:color="0000EE"/>
            </w:tcBorders>
            <w:gridSpan w:val="10"/>
          </w:tcPr>
          <w:p>
            <w:pPr>
              <w:spacing w:after="0"/>
              <w:rPr>
                <w:sz w:val="17"/>
                <w:szCs w:val="17"/>
                <w:color w:val="auto"/>
              </w:rPr>
            </w:pPr>
          </w:p>
        </w:tc>
        <w:tc>
          <w:tcPr>
            <w:tcW w:w="6020" w:type="dxa"/>
            <w:vAlign w:val="bottom"/>
            <w:gridSpan w:val="17"/>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r>
      <w:tr>
        <w:trPr>
          <w:trHeight w:val="196"/>
        </w:trPr>
        <w:tc>
          <w:tcPr>
            <w:tcW w:w="360" w:type="dxa"/>
            <w:vAlign w:val="bottom"/>
          </w:tcPr>
          <w:p>
            <w:pPr>
              <w:spacing w:after="0"/>
              <w:rPr>
                <w:sz w:val="17"/>
                <w:szCs w:val="17"/>
                <w:color w:val="auto"/>
              </w:rPr>
            </w:pPr>
          </w:p>
        </w:tc>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50">
              <w:r>
                <w:rPr>
                  <w:rFonts w:ascii="Arial" w:cs="Arial" w:eastAsia="Arial" w:hAnsi="Arial"/>
                  <w:sz w:val="18"/>
                  <w:szCs w:val="18"/>
                  <w:color w:val="0000EE"/>
                  <w:w w:val="90"/>
                </w:rPr>
                <w:t>Results of Operations</w:t>
              </w:r>
            </w:hyperlink>
          </w:p>
        </w:tc>
        <w:tc>
          <w:tcPr>
            <w:tcW w:w="6760" w:type="dxa"/>
            <w:vAlign w:val="bottom"/>
            <w:gridSpan w:val="21"/>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196"/>
        </w:trPr>
        <w:tc>
          <w:tcPr>
            <w:tcW w:w="36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Revenues</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20"/>
        </w:trPr>
        <w:tc>
          <w:tcPr>
            <w:tcW w:w="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Operating Expenses</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20"/>
        </w:trPr>
        <w:tc>
          <w:tcPr>
            <w:tcW w:w="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1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152">
              <w:r>
                <w:rPr>
                  <w:rFonts w:ascii="Arial" w:cs="Arial" w:eastAsia="Arial" w:hAnsi="Arial"/>
                  <w:sz w:val="18"/>
                  <w:szCs w:val="18"/>
                  <w:color w:val="0000EE"/>
                  <w:w w:val="91"/>
                </w:rPr>
                <w:t>Critical Accounting Policies and Estimates</w:t>
              </w:r>
            </w:hyperlink>
          </w:p>
        </w:tc>
        <w:tc>
          <w:tcPr>
            <w:tcW w:w="5240" w:type="dxa"/>
            <w:vAlign w:val="bottom"/>
            <w:gridSpan w:val="1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196"/>
        </w:trPr>
        <w:tc>
          <w:tcPr>
            <w:tcW w:w="360" w:type="dxa"/>
            <w:vAlign w:val="bottom"/>
          </w:tcPr>
          <w:p>
            <w:pPr>
              <w:spacing w:after="0"/>
              <w:rPr>
                <w:sz w:val="17"/>
                <w:szCs w:val="17"/>
                <w:color w:val="auto"/>
              </w:rPr>
            </w:pPr>
          </w:p>
        </w:tc>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53">
              <w:r>
                <w:rPr>
                  <w:rFonts w:ascii="Arial" w:cs="Arial" w:eastAsia="Arial" w:hAnsi="Arial"/>
                  <w:sz w:val="18"/>
                  <w:szCs w:val="18"/>
                  <w:color w:val="0000EE"/>
                  <w:w w:val="89"/>
                </w:rPr>
                <w:t>Revenue Recognition</w:t>
              </w:r>
            </w:hyperlink>
          </w:p>
        </w:tc>
        <w:tc>
          <w:tcPr>
            <w:tcW w:w="6780" w:type="dxa"/>
            <w:vAlign w:val="bottom"/>
            <w:gridSpan w:val="2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196"/>
        </w:trPr>
        <w:tc>
          <w:tcPr>
            <w:tcW w:w="36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Emerging Growth</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20"/>
        </w:trPr>
        <w:tc>
          <w:tcPr>
            <w:tcW w:w="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54">
              <w:r>
                <w:rPr>
                  <w:rFonts w:ascii="Arial" w:cs="Arial" w:eastAsia="Arial" w:hAnsi="Arial"/>
                  <w:sz w:val="18"/>
                  <w:szCs w:val="18"/>
                  <w:color w:val="0000EE"/>
                  <w:w w:val="89"/>
                </w:rPr>
                <w:t>Off-Balance Sheet Arrangements</w:t>
              </w:r>
            </w:hyperlink>
          </w:p>
        </w:tc>
        <w:tc>
          <w:tcPr>
            <w:tcW w:w="5940" w:type="dxa"/>
            <w:vAlign w:val="bottom"/>
            <w:gridSpan w:val="1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304"/>
        </w:trPr>
        <w:tc>
          <w:tcPr>
            <w:tcW w:w="8700" w:type="dxa"/>
            <w:vAlign w:val="bottom"/>
            <w:gridSpan w:val="31"/>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DIRECTORS, EXECUTIVE OFFICERS, PROMOTERS AND CONTROL PERSONS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304"/>
        </w:trPr>
        <w:tc>
          <w:tcPr>
            <w:tcW w:w="360" w:type="dxa"/>
            <w:vAlign w:val="bottom"/>
            <w:tcBorders>
              <w:top w:val="single" w:sz="8" w:color="0000EE"/>
            </w:tcBorders>
          </w:tcPr>
          <w:p>
            <w:pPr>
              <w:spacing w:after="0"/>
              <w:rPr>
                <w:sz w:val="24"/>
                <w:szCs w:val="24"/>
                <w:color w:val="auto"/>
              </w:rPr>
            </w:pPr>
          </w:p>
        </w:tc>
        <w:tc>
          <w:tcPr>
            <w:tcW w:w="2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1"/>
              </w:rPr>
            </w:pPr>
            <w:hyperlink w:anchor="page155">
              <w:r>
                <w:rPr>
                  <w:rFonts w:ascii="Arial" w:cs="Arial" w:eastAsia="Arial" w:hAnsi="Arial"/>
                  <w:sz w:val="18"/>
                  <w:szCs w:val="18"/>
                  <w:color w:val="0000EE"/>
                  <w:w w:val="91"/>
                </w:rPr>
                <w:t>Executive Officers and Directors</w:t>
              </w:r>
            </w:hyperlink>
          </w:p>
        </w:tc>
        <w:tc>
          <w:tcPr>
            <w:tcW w:w="3580" w:type="dxa"/>
            <w:vAlign w:val="bottom"/>
            <w:tcBorders>
              <w:top w:val="single" w:sz="8" w:color="0000EE"/>
            </w:tcBorders>
            <w:gridSpan w:val="12"/>
          </w:tcPr>
          <w:p>
            <w:pPr>
              <w:spacing w:after="0"/>
              <w:rPr>
                <w:sz w:val="24"/>
                <w:szCs w:val="24"/>
                <w:color w:val="auto"/>
              </w:rPr>
            </w:pPr>
          </w:p>
        </w:tc>
        <w:tc>
          <w:tcPr>
            <w:tcW w:w="2380" w:type="dxa"/>
            <w:vAlign w:val="bottom"/>
            <w:gridSpan w:val="3"/>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196"/>
        </w:trPr>
        <w:tc>
          <w:tcPr>
            <w:tcW w:w="360" w:type="dxa"/>
            <w:vAlign w:val="bottom"/>
          </w:tcPr>
          <w:p>
            <w:pPr>
              <w:spacing w:after="0"/>
              <w:rPr>
                <w:sz w:val="17"/>
                <w:szCs w:val="17"/>
                <w:color w:val="auto"/>
              </w:rPr>
            </w:pPr>
          </w:p>
        </w:tc>
        <w:tc>
          <w:tcPr>
            <w:tcW w:w="410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57">
              <w:r>
                <w:rPr>
                  <w:rFonts w:ascii="Arial" w:cs="Arial" w:eastAsia="Arial" w:hAnsi="Arial"/>
                  <w:sz w:val="18"/>
                  <w:szCs w:val="18"/>
                  <w:color w:val="0000EE"/>
                  <w:w w:val="90"/>
                </w:rPr>
                <w:t>Board of Directors and Executives—Term and Contracts</w:t>
              </w:r>
            </w:hyperlink>
          </w:p>
        </w:tc>
        <w:tc>
          <w:tcPr>
            <w:tcW w:w="4240" w:type="dxa"/>
            <w:vAlign w:val="bottom"/>
            <w:gridSpan w:val="6"/>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36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Board of Directors—Israeli Law</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36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159">
              <w:r>
                <w:rPr>
                  <w:rFonts w:ascii="Arial" w:cs="Arial" w:eastAsia="Arial" w:hAnsi="Arial"/>
                  <w:sz w:val="18"/>
                  <w:szCs w:val="18"/>
                  <w:color w:val="0000EE"/>
                  <w:w w:val="94"/>
                </w:rPr>
                <w:t>Audit Committee</w:t>
              </w:r>
            </w:hyperlink>
          </w:p>
        </w:tc>
        <w:tc>
          <w:tcPr>
            <w:tcW w:w="1040" w:type="dxa"/>
            <w:vAlign w:val="bottom"/>
            <w:tcBorders>
              <w:top w:val="single" w:sz="8" w:color="0000EE"/>
            </w:tcBorders>
            <w:gridSpan w:val="9"/>
          </w:tcPr>
          <w:p>
            <w:pPr>
              <w:spacing w:after="0"/>
              <w:rPr>
                <w:sz w:val="17"/>
                <w:szCs w:val="17"/>
                <w:color w:val="auto"/>
              </w:rPr>
            </w:pPr>
          </w:p>
        </w:tc>
        <w:tc>
          <w:tcPr>
            <w:tcW w:w="6000" w:type="dxa"/>
            <w:vAlign w:val="bottom"/>
            <w:gridSpan w:val="16"/>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196"/>
        </w:trPr>
        <w:tc>
          <w:tcPr>
            <w:tcW w:w="36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Compensation Committee and Compensation Policy</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196"/>
        </w:trPr>
        <w:tc>
          <w:tcPr>
            <w:tcW w:w="36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0"/>
              </w:rPr>
            </w:pPr>
            <w:hyperlink w:anchor="page162">
              <w:r>
                <w:rPr>
                  <w:rFonts w:ascii="Arial" w:cs="Arial" w:eastAsia="Arial" w:hAnsi="Arial"/>
                  <w:sz w:val="18"/>
                  <w:szCs w:val="18"/>
                  <w:color w:val="0000EE"/>
                  <w:w w:val="90"/>
                </w:rPr>
                <w:t>Nominating and Corporate Governance Committee</w:t>
              </w:r>
            </w:hyperlink>
          </w:p>
        </w:tc>
        <w:tc>
          <w:tcPr>
            <w:tcW w:w="80" w:type="dxa"/>
            <w:vAlign w:val="bottom"/>
            <w:tcBorders>
              <w:top w:val="single" w:sz="8" w:color="0000EE"/>
            </w:tcBorders>
          </w:tcPr>
          <w:p>
            <w:pPr>
              <w:spacing w:after="0"/>
              <w:rPr>
                <w:sz w:val="17"/>
                <w:szCs w:val="17"/>
                <w:color w:val="auto"/>
              </w:rPr>
            </w:pPr>
          </w:p>
        </w:tc>
        <w:tc>
          <w:tcPr>
            <w:tcW w:w="4560" w:type="dxa"/>
            <w:vAlign w:val="bottom"/>
            <w:gridSpan w:val="7"/>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r>
      <w:tr>
        <w:trPr>
          <w:trHeight w:val="304"/>
        </w:trPr>
        <w:tc>
          <w:tcPr>
            <w:tcW w:w="8700" w:type="dxa"/>
            <w:vAlign w:val="bottom"/>
            <w:gridSpan w:val="31"/>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EXECUTIVE COMPENSATION</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04"/>
        </w:trPr>
        <w:tc>
          <w:tcPr>
            <w:tcW w:w="6740" w:type="dxa"/>
            <w:vAlign w:val="bottom"/>
            <w:tcBorders>
              <w:bottom w:val="single" w:sz="8" w:color="0000EE"/>
            </w:tcBorders>
            <w:gridSpan w:val="30"/>
          </w:tcPr>
          <w:p>
            <w:pPr>
              <w:spacing w:after="0"/>
              <w:rPr>
                <w:rFonts w:ascii="Arial" w:cs="Arial" w:eastAsia="Arial" w:hAnsi="Arial"/>
                <w:sz w:val="18"/>
                <w:szCs w:val="18"/>
                <w:color w:val="0000EE"/>
                <w:w w:val="96"/>
              </w:rPr>
            </w:pPr>
            <w:hyperlink w:anchor="page170">
              <w:r>
                <w:rPr>
                  <w:rFonts w:ascii="Arial" w:cs="Arial" w:eastAsia="Arial" w:hAnsi="Arial"/>
                  <w:sz w:val="18"/>
                  <w:szCs w:val="18"/>
                  <w:color w:val="0000EE"/>
                  <w:w w:val="96"/>
                </w:rPr>
                <w:t>SECURITY OWNERSHIP OF CERTAIN BENEFICIAL OWNERS AND MANAGEMENT</w:t>
              </w:r>
            </w:hyperlink>
          </w:p>
        </w:tc>
        <w:tc>
          <w:tcPr>
            <w:tcW w:w="196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304"/>
        </w:trPr>
        <w:tc>
          <w:tcPr>
            <w:tcW w:w="5480" w:type="dxa"/>
            <w:vAlign w:val="bottom"/>
            <w:tcBorders>
              <w:bottom w:val="single" w:sz="8" w:color="0000EE"/>
            </w:tcBorders>
            <w:gridSpan w:val="27"/>
          </w:tcPr>
          <w:p>
            <w:pPr>
              <w:spacing w:after="0"/>
              <w:rPr>
                <w:rFonts w:ascii="Arial" w:cs="Arial" w:eastAsia="Arial" w:hAnsi="Arial"/>
                <w:sz w:val="18"/>
                <w:szCs w:val="18"/>
                <w:color w:val="0000EE"/>
                <w:w w:val="95"/>
              </w:rPr>
            </w:pPr>
            <w:hyperlink w:anchor="page173">
              <w:r>
                <w:rPr>
                  <w:rFonts w:ascii="Arial" w:cs="Arial" w:eastAsia="Arial" w:hAnsi="Arial"/>
                  <w:sz w:val="18"/>
                  <w:szCs w:val="18"/>
                  <w:color w:val="0000EE"/>
                  <w:w w:val="95"/>
                </w:rPr>
                <w:t>CERTAIN RELATIONSHIPS AND RELATED PARTY TRANSACTIONS</w:t>
              </w:r>
            </w:hyperlink>
          </w:p>
        </w:tc>
        <w:tc>
          <w:tcPr>
            <w:tcW w:w="3220" w:type="dxa"/>
            <w:vAlign w:val="bottom"/>
            <w:gridSpan w:val="4"/>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304"/>
        </w:trPr>
        <w:tc>
          <w:tcPr>
            <w:tcW w:w="8700" w:type="dxa"/>
            <w:vAlign w:val="bottom"/>
            <w:gridSpan w:val="31"/>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MARKET PRICE AND DIVIDEND INFORMATION</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304"/>
        </w:trPr>
        <w:tc>
          <w:tcPr>
            <w:tcW w:w="1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6"/>
              </w:rPr>
            </w:pPr>
            <w:hyperlink w:anchor="page175">
              <w:r>
                <w:rPr>
                  <w:rFonts w:ascii="Arial" w:cs="Arial" w:eastAsia="Arial" w:hAnsi="Arial"/>
                  <w:sz w:val="18"/>
                  <w:szCs w:val="18"/>
                  <w:color w:val="0000EE"/>
                  <w:w w:val="96"/>
                </w:rPr>
                <w:t>LEGAL MATTERS</w:t>
              </w:r>
            </w:hyperlink>
          </w:p>
        </w:tc>
        <w:tc>
          <w:tcPr>
            <w:tcW w:w="2500" w:type="dxa"/>
            <w:vAlign w:val="bottom"/>
            <w:tcBorders>
              <w:top w:val="single" w:sz="8" w:color="0000EE"/>
            </w:tcBorders>
            <w:gridSpan w:val="17"/>
          </w:tcPr>
          <w:p>
            <w:pPr>
              <w:spacing w:after="0"/>
              <w:rPr>
                <w:sz w:val="24"/>
                <w:szCs w:val="24"/>
                <w:color w:val="auto"/>
              </w:rPr>
            </w:pPr>
          </w:p>
        </w:tc>
        <w:tc>
          <w:tcPr>
            <w:tcW w:w="4740" w:type="dxa"/>
            <w:vAlign w:val="bottom"/>
            <w:gridSpan w:val="9"/>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304"/>
        </w:trPr>
        <w:tc>
          <w:tcPr>
            <w:tcW w:w="7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76">
              <w:r>
                <w:rPr>
                  <w:rFonts w:ascii="Arial" w:cs="Arial" w:eastAsia="Arial" w:hAnsi="Arial"/>
                  <w:sz w:val="18"/>
                  <w:szCs w:val="18"/>
                  <w:color w:val="0000EE"/>
                  <w:w w:val="90"/>
                </w:rPr>
                <w:t>EXPERTS</w:t>
              </w:r>
            </w:hyperlink>
          </w:p>
        </w:tc>
        <w:tc>
          <w:tcPr>
            <w:tcW w:w="7920" w:type="dxa"/>
            <w:vAlign w:val="bottom"/>
            <w:gridSpan w:val="29"/>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304"/>
        </w:trPr>
        <w:tc>
          <w:tcPr>
            <w:tcW w:w="8700" w:type="dxa"/>
            <w:vAlign w:val="bottom"/>
            <w:gridSpan w:val="31"/>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SELECTED FINANCIAL DATA</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0"/>
        </w:trPr>
        <w:tc>
          <w:tcPr>
            <w:tcW w:w="2300" w:type="dxa"/>
            <w:vAlign w:val="bottom"/>
            <w:gridSpan w:val="11"/>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04"/>
        </w:trPr>
        <w:tc>
          <w:tcPr>
            <w:tcW w:w="382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176">
              <w:r>
                <w:rPr>
                  <w:rFonts w:ascii="Arial" w:cs="Arial" w:eastAsia="Arial" w:hAnsi="Arial"/>
                  <w:sz w:val="18"/>
                  <w:szCs w:val="18"/>
                  <w:color w:val="0000EE"/>
                  <w:w w:val="97"/>
                </w:rPr>
                <w:t>WHERE YOU CAN FIND MORE INFORMATION</w:t>
              </w:r>
            </w:hyperlink>
          </w:p>
        </w:tc>
        <w:tc>
          <w:tcPr>
            <w:tcW w:w="4880" w:type="dxa"/>
            <w:vAlign w:val="bottom"/>
            <w:gridSpan w:val="10"/>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304"/>
        </w:trPr>
        <w:tc>
          <w:tcPr>
            <w:tcW w:w="8700" w:type="dxa"/>
            <w:vAlign w:val="bottom"/>
            <w:gridSpan w:val="31"/>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INDEX TO FINANCIAL STATEMENTS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412"/>
        </w:trPr>
        <w:tc>
          <w:tcPr>
            <w:tcW w:w="3040" w:type="dxa"/>
            <w:vAlign w:val="bottom"/>
            <w:tcBorders>
              <w:top w:val="single" w:sz="8" w:color="0000EE"/>
            </w:tcBorders>
            <w:gridSpan w:val="18"/>
          </w:tcPr>
          <w:p>
            <w:pPr>
              <w:spacing w:after="0"/>
              <w:rPr>
                <w:rFonts w:ascii="Arial" w:cs="Arial" w:eastAsia="Arial" w:hAnsi="Arial"/>
                <w:sz w:val="18"/>
                <w:szCs w:val="18"/>
                <w:color w:val="0000EE"/>
              </w:rPr>
            </w:pPr>
            <w:hyperlink w:anchor="page212">
              <w:r>
                <w:rPr>
                  <w:rFonts w:ascii="Arial" w:cs="Arial" w:eastAsia="Arial" w:hAnsi="Arial"/>
                  <w:sz w:val="18"/>
                  <w:szCs w:val="18"/>
                  <w:color w:val="0000EE"/>
                </w:rPr>
                <w:t>Annex A: Exchange Agreement</w:t>
              </w:r>
            </w:hyperlink>
          </w:p>
        </w:tc>
        <w:tc>
          <w:tcPr>
            <w:tcW w:w="5660" w:type="dxa"/>
            <w:vAlign w:val="bottom"/>
            <w:gridSpan w:val="13"/>
          </w:tcPr>
          <w:p>
            <w:pPr>
              <w:spacing w:after="0"/>
              <w:rPr>
                <w:sz w:val="24"/>
                <w:szCs w:val="24"/>
                <w:color w:val="auto"/>
              </w:rPr>
            </w:pPr>
          </w:p>
        </w:tc>
        <w:tc>
          <w:tcPr>
            <w:tcW w:w="2280" w:type="dxa"/>
            <w:vAlign w:val="bottom"/>
          </w:tcPr>
          <w:p>
            <w:pPr>
              <w:spacing w:after="0"/>
              <w:rPr>
                <w:sz w:val="24"/>
                <w:szCs w:val="24"/>
                <w:color w:val="auto"/>
              </w:rPr>
            </w:pPr>
          </w:p>
        </w:tc>
      </w:tr>
      <w:tr>
        <w:trPr>
          <w:trHeight w:val="20"/>
        </w:trPr>
        <w:tc>
          <w:tcPr>
            <w:tcW w:w="2300" w:type="dxa"/>
            <w:vAlign w:val="bottom"/>
            <w:gridSpan w:val="11"/>
            <w:shd w:val="clear" w:color="auto" w:fill="0000EE"/>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220">
              <w:r>
                <w:rPr>
                  <w:rFonts w:ascii="Arial" w:cs="Arial" w:eastAsia="Arial" w:hAnsi="Arial"/>
                  <w:sz w:val="18"/>
                  <w:szCs w:val="18"/>
                  <w:color w:val="0000EE"/>
                  <w:w w:val="93"/>
                </w:rPr>
                <w:t>Annex B: Form of Certificate of Incorporation of Arcturus-Delaware</w:t>
              </w:r>
            </w:hyperlink>
          </w:p>
        </w:tc>
        <w:tc>
          <w:tcPr>
            <w:tcW w:w="3720" w:type="dxa"/>
            <w:vAlign w:val="bottom"/>
            <w:gridSpan w:val="5"/>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354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224">
              <w:r>
                <w:rPr>
                  <w:rFonts w:ascii="Arial" w:cs="Arial" w:eastAsia="Arial" w:hAnsi="Arial"/>
                  <w:sz w:val="18"/>
                  <w:szCs w:val="18"/>
                  <w:color w:val="0000EE"/>
                  <w:w w:val="93"/>
                </w:rPr>
                <w:t>Annex C: Form of Bylaws of Arcturus-Delaware</w:t>
              </w:r>
            </w:hyperlink>
          </w:p>
        </w:tc>
        <w:tc>
          <w:tcPr>
            <w:tcW w:w="5160" w:type="dxa"/>
            <w:vAlign w:val="bottom"/>
            <w:gridSpan w:val="11"/>
          </w:tcPr>
          <w:p>
            <w:pPr>
              <w:spacing w:after="0"/>
              <w:rPr>
                <w:sz w:val="17"/>
                <w:szCs w:val="17"/>
                <w:color w:val="auto"/>
              </w:rPr>
            </w:pPr>
          </w:p>
        </w:tc>
        <w:tc>
          <w:tcPr>
            <w:tcW w:w="2280" w:type="dxa"/>
            <w:vAlign w:val="bottom"/>
          </w:tcPr>
          <w:p>
            <w:pPr>
              <w:spacing w:after="0"/>
              <w:rPr>
                <w:sz w:val="17"/>
                <w:szCs w:val="17"/>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80"/>
          </w:cols>
          <w:pgMar w:left="24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Some of the statements included in this proxy statement/prospectus and the documents incorporated by reference may include forward-looking statements (including within the meaning of Section 21E of the United States Securities Exchange Act of 1934, as amended, and Section 27A of the United States Securities Act of 1933, as amended), in particular, statements about Arcturus-Israel’s expectations regarding the change of the parent company of the group from a Israel company to a Delaware corporation. These statements include, but are not limited to, statements that address Arcturus-Israel’s expected future business and financial performance and statements about the proposed redomiciliation and other statements identified by words such as “will”, “expect”, “believe”, “anticipate”, “estimate”, “should”, “intend”, “plan”, “potential”, “predict”, “project”, “aim”, “assesses” and similar words, phrases or expressions. These forward-looking statements are based on current expectations and beliefs of the management of Arcturus-Israel, as well as assumptions made by, and information currently available to, such management, current market trends and market conditions and involve risks and uncertainties, many of which are outside Arcturus-Israel’s and management’s control, and which may cause actual results to differ materially from those contained in forward-looking statements. Accordingly, you should not place undue reliance on such statements. Unless the context otherwise requires, references in this proxy statement/prospectus to “the Company”, “our Company”, “we”, “our”, “us” and similar terms are to Arcturus-Delaware, whereas references to “Arcturus” are to Arcturus-Israel.</w:t>
      </w:r>
    </w:p>
    <w:p>
      <w:pPr>
        <w:spacing w:after="0" w:line="18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Particular uncertainties that could materially affect future results include risks associated with Arcturus’ proposed redomiciliation, including the timing of the proposed redomiciliation and its ability to obtain shareholder and Israel court approvals and satisfy other closing conditions to the completion of the proposed redomiciliation</w:t>
      </w:r>
    </w:p>
    <w:p>
      <w:pPr>
        <w:spacing w:after="0" w:line="181"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The foregoing review of important factors should not be construed as exhaustive and should be read in conjunction with the other cautionary statements that are set forth in this proxy statement/prospectus, in particular in the section entitled “Risk Factors” and the documents that we file with the SEC. You may obtain copies of these documents as described under the heading “Where You Can Find More Information.”</w:t>
      </w:r>
    </w:p>
    <w:p>
      <w:pPr>
        <w:spacing w:after="0" w:line="14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Except as required under U.S. federal securities laws and the rules and regulations of the SEC, we do not have any intention or obligation to update publicly any forward-looking statements after the distribution of this proxy statement/prospectus, whether as a result of new information, future events, changes in assumptions or otherwise.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STRUCTURE OF THE TRANSACTION</w:t>
      </w:r>
    </w:p>
    <w:p>
      <w:pPr>
        <w:spacing w:after="0" w:line="225" w:lineRule="exact"/>
        <w:rPr>
          <w:sz w:val="20"/>
          <w:szCs w:val="20"/>
          <w:color w:val="auto"/>
        </w:rPr>
      </w:pPr>
    </w:p>
    <w:p>
      <w:pPr>
        <w:ind w:left="200" w:right="240" w:firstLine="441"/>
        <w:spacing w:after="0" w:line="298" w:lineRule="auto"/>
        <w:rPr>
          <w:sz w:val="20"/>
          <w:szCs w:val="20"/>
          <w:color w:val="auto"/>
        </w:rPr>
      </w:pPr>
      <w:r>
        <w:rPr>
          <w:rFonts w:ascii="Arial" w:cs="Arial" w:eastAsia="Arial" w:hAnsi="Arial"/>
          <w:sz w:val="16"/>
          <w:szCs w:val="16"/>
          <w:color w:val="auto"/>
        </w:rPr>
        <w:t>We are seeking your approval of the scheme of arrangement under sections 350-351 of the Israeli Companies Law, 5759-1999 (the “</w:t>
      </w:r>
      <w:r>
        <w:rPr>
          <w:rFonts w:ascii="Arial" w:cs="Arial" w:eastAsia="Arial" w:hAnsi="Arial"/>
          <w:sz w:val="16"/>
          <w:szCs w:val="16"/>
          <w:b w:val="1"/>
          <w:bCs w:val="1"/>
          <w:color w:val="auto"/>
        </w:rPr>
        <w:t>Scheme of</w:t>
      </w:r>
      <w:r>
        <w:rPr>
          <w:rFonts w:ascii="Arial" w:cs="Arial" w:eastAsia="Arial" w:hAnsi="Arial"/>
          <w:sz w:val="16"/>
          <w:szCs w:val="16"/>
          <w:color w:val="auto"/>
        </w:rPr>
        <w:t xml:space="preserve"> </w:t>
      </w:r>
      <w:r>
        <w:rPr>
          <w:rFonts w:ascii="Arial" w:cs="Arial" w:eastAsia="Arial" w:hAnsi="Arial"/>
          <w:sz w:val="16"/>
          <w:szCs w:val="16"/>
          <w:b w:val="1"/>
          <w:bCs w:val="1"/>
          <w:color w:val="auto"/>
        </w:rPr>
        <w:t>Arrangement</w:t>
      </w:r>
      <w:r>
        <w:rPr>
          <w:rFonts w:ascii="Arial" w:cs="Arial" w:eastAsia="Arial" w:hAnsi="Arial"/>
          <w:sz w:val="16"/>
          <w:szCs w:val="16"/>
          <w:color w:val="auto"/>
        </w:rPr>
        <w:t>”), pursuant to which, upon effectiveness, a newly formed Delaware corporation will become the publicly traded parent of the Arcturus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group (the “</w:t>
      </w:r>
      <w:r>
        <w:rPr>
          <w:rFonts w:ascii="Arial" w:cs="Arial" w:eastAsia="Arial" w:hAnsi="Arial"/>
          <w:sz w:val="16"/>
          <w:szCs w:val="16"/>
          <w:b w:val="1"/>
          <w:bCs w:val="1"/>
          <w:color w:val="auto"/>
        </w:rPr>
        <w:t>Arcturus group</w:t>
      </w:r>
      <w:r>
        <w:rPr>
          <w:rFonts w:ascii="Arial" w:cs="Arial" w:eastAsia="Arial" w:hAnsi="Arial"/>
          <w:sz w:val="16"/>
          <w:szCs w:val="16"/>
          <w:color w:val="auto"/>
        </w:rPr>
        <w:t>”). In this proxy statement/prospectus, we refer to the transactions to be effected pursuant to the Scheme of Arrangement as the “</w:t>
      </w:r>
      <w:r>
        <w:rPr>
          <w:rFonts w:ascii="Arial" w:cs="Arial" w:eastAsia="Arial" w:hAnsi="Arial"/>
          <w:sz w:val="16"/>
          <w:szCs w:val="16"/>
          <w:b w:val="1"/>
          <w:bCs w:val="1"/>
          <w:color w:val="auto"/>
        </w:rPr>
        <w:t>Transaction</w:t>
      </w:r>
      <w:r>
        <w:rPr>
          <w:rFonts w:ascii="Arial" w:cs="Arial" w:eastAsia="Arial" w:hAnsi="Arial"/>
          <w:sz w:val="16"/>
          <w:szCs w:val="16"/>
          <w:color w:val="auto"/>
        </w:rPr>
        <w:t>.” The Transaction will create a new publicly traded parent company of the Arcturus group that is incorporated in Delaware and will result in you holding shares of common stock of a Delaware corporation instead of ordinary shares of a Israel company.</w:t>
      </w:r>
    </w:p>
    <w:p>
      <w:pPr>
        <w:spacing w:after="0" w:line="15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Arcturus Therapeutics Ltd., a public company limited by shares incorporated under the laws of the State of Israel, whose shares you currently own (“</w:t>
      </w:r>
      <w:r>
        <w:rPr>
          <w:rFonts w:ascii="Arial" w:cs="Arial" w:eastAsia="Arial" w:hAnsi="Arial"/>
          <w:sz w:val="18"/>
          <w:szCs w:val="18"/>
          <w:b w:val="1"/>
          <w:bCs w:val="1"/>
          <w:color w:val="auto"/>
        </w:rPr>
        <w:t>Arcturus-Israel</w:t>
      </w:r>
      <w:r>
        <w:rPr>
          <w:rFonts w:ascii="Arial" w:cs="Arial" w:eastAsia="Arial" w:hAnsi="Arial"/>
          <w:sz w:val="18"/>
          <w:szCs w:val="18"/>
          <w:color w:val="auto"/>
        </w:rPr>
        <w:t>”), has formed a new Delaware corporation named Arcturus Therapeutics Holdings Inc. and referred to herein “</w:t>
      </w:r>
      <w:r>
        <w:rPr>
          <w:rFonts w:ascii="Arial" w:cs="Arial" w:eastAsia="Arial" w:hAnsi="Arial"/>
          <w:sz w:val="18"/>
          <w:szCs w:val="18"/>
          <w:b w:val="1"/>
          <w:bCs w:val="1"/>
          <w:color w:val="auto"/>
        </w:rPr>
        <w:t>Arcturus-Delaware</w:t>
      </w:r>
      <w:r>
        <w:rPr>
          <w:rFonts w:ascii="Arial" w:cs="Arial" w:eastAsia="Arial" w:hAnsi="Arial"/>
          <w:sz w:val="18"/>
          <w:szCs w:val="18"/>
          <w:color w:val="auto"/>
        </w:rPr>
        <w:t>”). Arcturus-Delaware has only nominal assets and capitalization and has not engaged in any business or other activities other than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its formation and the Transaction.</w:t>
      </w:r>
    </w:p>
    <w:p>
      <w:pPr>
        <w:spacing w:after="0" w:line="18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Scheme of Arrangement will be effected pursuant to an agreement between Arcturus-Israel and Arcturus-Delaware, dated as of February 8, 2019, a copy of which is attached to this proxy statement/prospectus as Annex A (the “</w:t>
      </w:r>
      <w:r>
        <w:rPr>
          <w:rFonts w:ascii="Arial" w:cs="Arial" w:eastAsia="Arial" w:hAnsi="Arial"/>
          <w:sz w:val="16"/>
          <w:szCs w:val="16"/>
          <w:b w:val="1"/>
          <w:bCs w:val="1"/>
          <w:color w:val="auto"/>
        </w:rPr>
        <w:t>Exchange Agreement</w:t>
      </w:r>
      <w:r>
        <w:rPr>
          <w:rFonts w:ascii="Arial" w:cs="Arial" w:eastAsia="Arial" w:hAnsi="Arial"/>
          <w:sz w:val="16"/>
          <w:szCs w:val="16"/>
          <w:color w:val="auto"/>
        </w:rPr>
        <w:t>”). The Scheme of Arrangement provides for the exchange by Arcturus-Delaware of (i) your ordinary shares in the capital of Arcturus-Israel in exchange for shares of common stock of Arcturus-Delaware and (ii) your options to purchase ordinary shares in the capital of Arcturus-Israel in exchange for options to purchase common stock of Arcturus-Delaware, in each case on a one-for-one basis. As a result of the Transaction, the ordinary shareholders of Arcturus-Israel will become common stockholders of Arcturus-Delaware and such stockholders’ rights will be governed by Delaware law and by Arcturus-Delaware’s certificate of incorporation and bylaws, in substantially the forms attached hereto as Annex B and Annex C, respectively. In addition, under the Transaction, Arcturus-Israel intends to transfer, and no later than December 31, 2019 to Arcturus-Delaware by way of a dividend distribution in kind, all of the shares in Private Arcturus so that Private Arcturus will become a wholly-owned subsidiary of Arcturus-Delaware. The Company may decide to proceed with this second step distribution in kind, or not to proceed with such distribution, at any time after the effective time of the Scheme of Arrangement, but no later than December 31, 2019. The Company will decide, in its sole discretion, if it is in the best interests of the Company to effect the second step distribution in kind and will consider all relevant factors, including potential tax consequences to the Company that may result from this distribution.</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The Company’s position, based on its tax advisors, is that such distribution should be classified as capital redemption for Israeli tax purposes. In that case foreign residents will not be subject to any Israeli tax liability. Israeli residents will be subject to capital gains tax.</w:t>
      </w:r>
    </w:p>
    <w:p>
      <w:pPr>
        <w:spacing w:after="0" w:line="14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In addition, the Company’s position, based on its tax advisors, is that the such distribution is not in breach of the Tax Ruling. The Company, based on its tax advisors, assesses, that its position will be accepted with more likely than not.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diagrams describe the stages of the Transaction and depict Arcturus’ organizational structure after the Transaction.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u w:val="single" w:color="auto"/>
          <w:color w:val="auto"/>
        </w:rPr>
        <w:t>Stage One – transfer of ordinary shares and option to purchase ordinary shares of Arcturus-Israel from Arcturus-Israel to the Arcturus-Delaware in exchange for common stock and options to purchase common stock of the Arcturus-Delaware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134620</wp:posOffset>
            </wp:positionV>
            <wp:extent cx="4862195" cy="1500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6219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Stage Two – transfer of the Arcturus Therapeutic Inc.’s (a subsidiary of Arcturus-Israel incorporated in Delaware) shares from Arcturus-Israel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Arcturus-Delaware: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83185</wp:posOffset>
            </wp:positionV>
            <wp:extent cx="3198495" cy="258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98495"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The holding structure of the Arcturus-Delaware subsequent to the completion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184150</wp:posOffset>
            </wp:positionV>
            <wp:extent cx="3936365" cy="19723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3636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5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QUESTIONS AND ANSWERS ABOUT THE TRANSACTION AND THE SPECIAL MEETING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am I being asked to vote on at the Special Meeting?</w:t>
      </w:r>
    </w:p>
    <w:p>
      <w:pPr>
        <w:spacing w:after="0" w:line="135" w:lineRule="exact"/>
        <w:rPr>
          <w:sz w:val="20"/>
          <w:szCs w:val="20"/>
          <w:color w:val="auto"/>
        </w:rPr>
      </w:pPr>
    </w:p>
    <w:p>
      <w:pPr>
        <w:ind w:left="640" w:right="80" w:hanging="436"/>
        <w:spacing w:after="0" w:line="268"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Holders of ordinary shares of Arcturus-Israel are being asked to vote at a court-convened meeting of holders of ordinary shares of Arcturus-Israel (the “</w:t>
      </w:r>
      <w:r>
        <w:rPr>
          <w:rFonts w:ascii="Arial" w:cs="Arial" w:eastAsia="Arial" w:hAnsi="Arial"/>
          <w:sz w:val="17"/>
          <w:szCs w:val="17"/>
          <w:b w:val="1"/>
          <w:bCs w:val="1"/>
          <w:color w:val="auto"/>
        </w:rPr>
        <w:t>Special Meeting</w:t>
      </w:r>
      <w:r>
        <w:rPr>
          <w:rFonts w:ascii="Arial" w:cs="Arial" w:eastAsia="Arial" w:hAnsi="Arial"/>
          <w:sz w:val="17"/>
          <w:szCs w:val="17"/>
          <w:color w:val="auto"/>
        </w:rPr>
        <w:t>”) on a proposal to approve the Scheme of Arrangement (the “</w:t>
      </w:r>
      <w:r>
        <w:rPr>
          <w:rFonts w:ascii="Arial" w:cs="Arial" w:eastAsia="Arial" w:hAnsi="Arial"/>
          <w:sz w:val="17"/>
          <w:szCs w:val="17"/>
          <w:b w:val="1"/>
          <w:bCs w:val="1"/>
          <w:color w:val="auto"/>
        </w:rPr>
        <w:t>Arcturus Redomiciliation Proposal</w:t>
      </w:r>
      <w:r>
        <w:rPr>
          <w:rFonts w:ascii="Arial" w:cs="Arial" w:eastAsia="Arial" w:hAnsi="Arial"/>
          <w:sz w:val="17"/>
          <w:szCs w:val="17"/>
          <w:color w:val="auto"/>
        </w:rPr>
        <w:t>”). If the Scheme of Arrangement becomes effective, the ordinary shares of Arcturus-Israel will be transferred to Arcturus-Delaware, which will issue one share of common stock of Arcturus-Delaware to the holders of Arcturus-Israel ordinary shares in exchange for each ordinary share of Arcturus-Israel that has been transferred. In addition, holders of options to purchase ordinary shares of Arcturus-Israel will receive new options to purchase the same amount of shares of common stock in Arcturus-Delaware, which will have substantially the same terms as the options to purchase ordinary shares of Arcturus-Israel, and the options to purchase ordinary shares in Arcturus-Israel will be cancelled. As a result, Arcturus-Delaware will become the parent company of Arcturus-Israel. In addition, as part of the Transaction, Arcturus-Israel will transfer to Arcturus-Delaware by way of a dividend in kind, all of its holdings of shares of Private Arcturus, so that Private Arcturus will become a wholly-owned subsidiary of Arcturus-Delaware. The Company may decide to proceed with this second step distribution in kind, or not to proceed with such distribution, at any time after the effective time of the Scheme of Arrangement, but no later than December 31, 2019. The Company will decide, in its sole discretion, if it is in the best interests of the Company to effect the second step distribution in kind and will consider all relevant factors, including potential tax consequences to the Company that may result from this distribution.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Who can vote?</w:t>
      </w:r>
    </w:p>
    <w:p>
      <w:pPr>
        <w:spacing w:after="0" w:line="131" w:lineRule="exact"/>
        <w:rPr>
          <w:sz w:val="20"/>
          <w:szCs w:val="20"/>
          <w:color w:val="auto"/>
        </w:rPr>
      </w:pPr>
    </w:p>
    <w:p>
      <w:pPr>
        <w:ind w:left="640" w:right="60" w:hanging="436"/>
        <w:spacing w:after="0" w:line="25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confirmed by the Israel Court, holders of record of Arcturus-Israel ordinary shares on April 8, 2019 (the “</w:t>
      </w:r>
      <w:r>
        <w:rPr>
          <w:rFonts w:ascii="Arial" w:cs="Arial" w:eastAsia="Arial" w:hAnsi="Arial"/>
          <w:sz w:val="18"/>
          <w:szCs w:val="18"/>
          <w:b w:val="1"/>
          <w:bCs w:val="1"/>
          <w:color w:val="auto"/>
        </w:rPr>
        <w:t>Record Date</w:t>
      </w:r>
      <w:r>
        <w:rPr>
          <w:rFonts w:ascii="Arial" w:cs="Arial" w:eastAsia="Arial" w:hAnsi="Arial"/>
          <w:sz w:val="18"/>
          <w:szCs w:val="18"/>
          <w:color w:val="auto"/>
        </w:rPr>
        <w:t>”), the record date for the Special Meeting, are entitled to vote. Our register of members will be available for inspection at least 10 days prior to the Special Meeting at 10628 Science Center Drive, Suite 250, San Diego, CA 92121. As of the Record Date, there were 10,761,523 ordinary shares in the capital of Arcturus-Israel outstanding and entitled to vote and we had 50 shareholders of record. Each holder of Arcturus-Israel ordinary shares is entitled to one vote per share.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quorum and shareholder votes are required for action at the Special Meeting?</w:t>
      </w:r>
    </w:p>
    <w:p>
      <w:pPr>
        <w:spacing w:after="0" w:line="135" w:lineRule="exact"/>
        <w:rPr>
          <w:sz w:val="20"/>
          <w:szCs w:val="20"/>
          <w:color w:val="auto"/>
        </w:rPr>
      </w:pPr>
    </w:p>
    <w:p>
      <w:pPr>
        <w:ind w:left="640" w:right="300" w:hanging="436"/>
        <w:spacing w:after="0" w:line="259"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quorum is required for the transaction of business at the Special Meeting. The presence, in person or by proxy, at the Special Meeting, of the Scheme Shareholders, as of the Record Date, of at least two Scheme Shareholders holding at least one-third of the voting rights (including presence by means of proxy or through a voting deed) within an hour from the time specified for the opening of the Special Meeting will constitute a quorum.</w:t>
      </w:r>
    </w:p>
    <w:p>
      <w:pPr>
        <w:spacing w:after="0" w:line="78" w:lineRule="exact"/>
        <w:rPr>
          <w:rFonts w:ascii="Arial" w:cs="Arial" w:eastAsia="Arial" w:hAnsi="Arial"/>
          <w:sz w:val="18"/>
          <w:szCs w:val="18"/>
          <w:color w:val="auto"/>
        </w:rPr>
      </w:pPr>
    </w:p>
    <w:p>
      <w:pPr>
        <w:ind w:left="640"/>
        <w:spacing w:after="0" w:line="277" w:lineRule="auto"/>
        <w:rPr>
          <w:rFonts w:ascii="Arial" w:cs="Arial" w:eastAsia="Arial" w:hAnsi="Arial"/>
          <w:sz w:val="18"/>
          <w:szCs w:val="18"/>
          <w:color w:val="auto"/>
        </w:rPr>
      </w:pPr>
      <w:r>
        <w:rPr>
          <w:rFonts w:ascii="Arial" w:cs="Arial" w:eastAsia="Arial" w:hAnsi="Arial"/>
          <w:sz w:val="18"/>
          <w:szCs w:val="18"/>
          <w:color w:val="auto"/>
        </w:rPr>
        <w:t>To be approved, the Arcturus Redomiciliation Proposal must receive the affirmative vote of 75% of the issued Arcturus-Israel ordinary shares held by the Scheme Shareholders present and voting, either in person or by proxy, at the Special Meeting.</w:t>
      </w:r>
    </w:p>
    <w:p>
      <w:pPr>
        <w:spacing w:after="0" w:line="62" w:lineRule="exact"/>
        <w:rPr>
          <w:rFonts w:ascii="Arial" w:cs="Arial" w:eastAsia="Arial" w:hAnsi="Arial"/>
          <w:sz w:val="18"/>
          <w:szCs w:val="18"/>
          <w:color w:val="auto"/>
        </w:rPr>
      </w:pPr>
    </w:p>
    <w:p>
      <w:pPr>
        <w:ind w:left="640" w:right="60"/>
        <w:spacing w:after="0" w:line="259" w:lineRule="auto"/>
        <w:rPr>
          <w:rFonts w:ascii="Arial" w:cs="Arial" w:eastAsia="Arial" w:hAnsi="Arial"/>
          <w:sz w:val="18"/>
          <w:szCs w:val="18"/>
          <w:color w:val="auto"/>
        </w:rPr>
      </w:pPr>
      <w:r>
        <w:rPr>
          <w:rFonts w:ascii="Arial" w:cs="Arial" w:eastAsia="Arial" w:hAnsi="Arial"/>
          <w:sz w:val="18"/>
          <w:szCs w:val="18"/>
          <w:color w:val="auto"/>
        </w:rPr>
        <w:t>Pursuant to the directions of the Israel Court, for the purposes of determining the number of Scheme Shareholders present and voting at the Special Meeting, Arcturus-Israel ordinary shares that are deposited in book-entry form with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and registered in the name of CEDE &amp; Co. (“</w:t>
      </w:r>
      <w:r>
        <w:rPr>
          <w:rFonts w:ascii="Arial" w:cs="Arial" w:eastAsia="Arial" w:hAnsi="Arial"/>
          <w:sz w:val="18"/>
          <w:szCs w:val="18"/>
          <w:b w:val="1"/>
          <w:bCs w:val="1"/>
          <w:color w:val="auto"/>
        </w:rPr>
        <w:t>CEDE</w:t>
      </w:r>
      <w:r>
        <w:rPr>
          <w:rFonts w:ascii="Arial" w:cs="Arial" w:eastAsia="Arial" w:hAnsi="Arial"/>
          <w:sz w:val="18"/>
          <w:szCs w:val="18"/>
          <w:color w:val="auto"/>
        </w:rPr>
        <w:t>”) as nominee of DTC and holder of record in the Register of Members of Arcturus-Israel, will be treated as follows:</w:t>
      </w:r>
    </w:p>
    <w:p>
      <w:pPr>
        <w:spacing w:after="0" w:line="92" w:lineRule="exact"/>
        <w:rPr>
          <w:sz w:val="20"/>
          <w:szCs w:val="20"/>
          <w:color w:val="auto"/>
        </w:rPr>
      </w:pPr>
    </w:p>
    <w:p>
      <w:pPr>
        <w:ind w:left="640" w:hanging="32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CEDE shall be deemed not to be a shareholder of Arcturus-Israel; and</w:t>
      </w:r>
    </w:p>
    <w:p>
      <w:pPr>
        <w:spacing w:after="0" w:line="126" w:lineRule="exact"/>
        <w:rPr>
          <w:rFonts w:ascii="Arial" w:cs="Arial" w:eastAsia="Arial" w:hAnsi="Arial"/>
          <w:sz w:val="18"/>
          <w:szCs w:val="18"/>
          <w:color w:val="auto"/>
        </w:rPr>
      </w:pPr>
    </w:p>
    <w:p>
      <w:pPr>
        <w:ind w:left="640" w:right="160" w:hanging="328"/>
        <w:spacing w:after="0" w:line="313"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shareholder whose name appears on the register of DTC as a holder of Arcturus-Israel ordinary shares (a “</w:t>
      </w:r>
      <w:r>
        <w:rPr>
          <w:rFonts w:ascii="Arial" w:cs="Arial" w:eastAsia="Arial" w:hAnsi="Arial"/>
          <w:sz w:val="17"/>
          <w:szCs w:val="17"/>
          <w:b w:val="1"/>
          <w:bCs w:val="1"/>
          <w:color w:val="auto"/>
        </w:rPr>
        <w:t>sub-depositor</w:t>
      </w:r>
      <w:r>
        <w:rPr>
          <w:rFonts w:ascii="Arial" w:cs="Arial" w:eastAsia="Arial" w:hAnsi="Arial"/>
          <w:sz w:val="17"/>
          <w:szCs w:val="17"/>
          <w:color w:val="auto"/>
        </w:rPr>
        <w:t>”) shall be deemed to be a Arcturus-Israel shareholder in respect of such number of Arcturus-Israel ordinary shares held in its account under CEDE.</w:t>
      </w:r>
    </w:p>
    <w:p>
      <w:pPr>
        <w:spacing w:after="0" w:line="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sub-depositor need not vote the Arcturus-Israel ordinary shares registered in its name in the same way. Accordingly, a sub-depositor may:</w:t>
      </w:r>
    </w:p>
    <w:p>
      <w:pPr>
        <w:spacing w:after="0" w:line="154" w:lineRule="exact"/>
        <w:rPr>
          <w:sz w:val="20"/>
          <w:szCs w:val="20"/>
          <w:color w:val="auto"/>
        </w:rPr>
      </w:pPr>
    </w:p>
    <w:p>
      <w:pPr>
        <w:ind w:left="640" w:right="160" w:hanging="328"/>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vote all or part of its Arcturus-Israel ordinary shares “FOR” the Arcturus Redomiciliation Proposal, which part shall be counted as approving the Arcturus Redomiciliation Proposal;</w:t>
      </w:r>
    </w:p>
    <w:p>
      <w:pPr>
        <w:spacing w:after="0" w:line="75" w:lineRule="exact"/>
        <w:rPr>
          <w:rFonts w:ascii="Arial" w:cs="Arial" w:eastAsia="Arial" w:hAnsi="Arial"/>
          <w:sz w:val="18"/>
          <w:szCs w:val="18"/>
          <w:color w:val="auto"/>
        </w:rPr>
      </w:pPr>
    </w:p>
    <w:p>
      <w:pPr>
        <w:ind w:left="640" w:right="200" w:hanging="328"/>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vote all or part of its Arcturus-Israel ordinary shares “AGAINST” the Arcturus Redomiciliation Proposal, which part shall be counted as against approving the Arcturus Redomiciliation Proposal; and/or</w:t>
      </w:r>
    </w:p>
    <w:p>
      <w:pPr>
        <w:spacing w:after="0" w:line="75" w:lineRule="exact"/>
        <w:rPr>
          <w:rFonts w:ascii="Arial" w:cs="Arial" w:eastAsia="Arial" w:hAnsi="Arial"/>
          <w:sz w:val="18"/>
          <w:szCs w:val="18"/>
          <w:color w:val="auto"/>
        </w:rPr>
      </w:pPr>
    </w:p>
    <w:p>
      <w:pPr>
        <w:ind w:left="640" w:right="360" w:hanging="328"/>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abstain from voting in respect of all or part of its Arcturus-Israel ordinary shares, which part shall not be counted in determining the Arcturus-Israel ordinary shares that are present and voting on the Arcturus Redomiciliation Proposal.</w:t>
      </w:r>
    </w:p>
    <w:p>
      <w:pPr>
        <w:spacing w:after="0" w:line="62" w:lineRule="exact"/>
        <w:rPr>
          <w:rFonts w:ascii="Arial" w:cs="Arial" w:eastAsia="Arial" w:hAnsi="Arial"/>
          <w:sz w:val="18"/>
          <w:szCs w:val="18"/>
          <w:color w:val="auto"/>
        </w:rPr>
      </w:pPr>
    </w:p>
    <w:p>
      <w:pPr>
        <w:ind w:left="640" w:right="160"/>
        <w:spacing w:after="0" w:line="273" w:lineRule="auto"/>
        <w:rPr>
          <w:rFonts w:ascii="Arial" w:cs="Arial" w:eastAsia="Arial" w:hAnsi="Arial"/>
          <w:sz w:val="18"/>
          <w:szCs w:val="18"/>
          <w:color w:val="auto"/>
        </w:rPr>
      </w:pPr>
      <w:r>
        <w:rPr>
          <w:rFonts w:ascii="Arial" w:cs="Arial" w:eastAsia="Arial" w:hAnsi="Arial"/>
          <w:sz w:val="17"/>
          <w:szCs w:val="17"/>
          <w:color w:val="auto"/>
        </w:rPr>
        <w:t>For purposes of determining whether the Arcturus Redomiciliation Proposal is approved by a majority in number of Scheme Shareholders, if the number of Arcturus-Israel ordinary shares voted “FOR” the Arcturus Redomiciliation Proposal by a sub-depositor exceeds the number of Arcturus-Israel ordinary shares voted “AGAINST” the Arcturus Redomiciliation Proposal by it, such sub-depositor will be taken to have voted “FOR” the Arcturus Redomiciliation Proposal, or if the number of Arcturus-Israel ordinary shares voted “AGAINST” the Arcturus Redomiciliation Proposal by a sub-depositor exceeds the number of Arcturus-Israel ordinary shares voted “FOR” the Arcturus Redomiciliation Proposal by it, such sub-depositor will be taken to have voted “AGAINST” the Arcturus Redomiciliation Proposal.</w:t>
      </w:r>
    </w:p>
    <w:p>
      <w:pPr>
        <w:spacing w:after="0" w:line="70" w:lineRule="exact"/>
        <w:rPr>
          <w:rFonts w:ascii="Arial" w:cs="Arial" w:eastAsia="Arial" w:hAnsi="Arial"/>
          <w:sz w:val="18"/>
          <w:szCs w:val="18"/>
          <w:color w:val="auto"/>
        </w:rPr>
      </w:pPr>
    </w:p>
    <w:p>
      <w:pPr>
        <w:ind w:left="640" w:right="340"/>
        <w:spacing w:after="0" w:line="264" w:lineRule="auto"/>
        <w:rPr>
          <w:rFonts w:ascii="Arial" w:cs="Arial" w:eastAsia="Arial" w:hAnsi="Arial"/>
          <w:sz w:val="18"/>
          <w:szCs w:val="18"/>
          <w:color w:val="auto"/>
        </w:rPr>
      </w:pPr>
      <w:r>
        <w:rPr>
          <w:rFonts w:ascii="Arial" w:cs="Arial" w:eastAsia="Arial" w:hAnsi="Arial"/>
          <w:sz w:val="18"/>
          <w:szCs w:val="18"/>
          <w:color w:val="auto"/>
        </w:rPr>
        <w:t>For the avoidance of doubt, a holder of Arcturus-Israel ordinary shares who is not a sub-depositor may only vote the Arcturus-Israel ordinary shares registered in its name in the same way, and must vote all or part of its Arcturus-Israel ordinary shares either “FOR” or “AGAINST” the Arcturus Redomiciliation Proposal, and not a mixture of both.</w:t>
      </w:r>
    </w:p>
    <w:p>
      <w:pPr>
        <w:spacing w:after="0" w:line="73" w:lineRule="exact"/>
        <w:rPr>
          <w:rFonts w:ascii="Arial" w:cs="Arial" w:eastAsia="Arial" w:hAnsi="Arial"/>
          <w:sz w:val="18"/>
          <w:szCs w:val="18"/>
          <w:color w:val="auto"/>
        </w:rPr>
      </w:pPr>
    </w:p>
    <w:p>
      <w:pPr>
        <w:ind w:left="640" w:right="200"/>
        <w:spacing w:after="0" w:line="259" w:lineRule="auto"/>
        <w:rPr>
          <w:rFonts w:ascii="Arial" w:cs="Arial" w:eastAsia="Arial" w:hAnsi="Arial"/>
          <w:sz w:val="18"/>
          <w:szCs w:val="18"/>
          <w:color w:val="auto"/>
        </w:rPr>
      </w:pPr>
      <w:r>
        <w:rPr>
          <w:rFonts w:ascii="Arial" w:cs="Arial" w:eastAsia="Arial" w:hAnsi="Arial"/>
          <w:sz w:val="18"/>
          <w:szCs w:val="18"/>
          <w:color w:val="auto"/>
        </w:rPr>
        <w:t>A holder of Arcturus-Israel ordinary shares (including a sub-depositor) voting by proxy shall be included in the count of Arcturus-Israel shareholders present and voting at the Special Meeting as if that Arcturus-Israel shareholder was voting in person, such that the votes of a proxy who has been appointed to represent more than one Arcturus-Israel shareholder at the Special Meeting shall be counted as the votes of such number of appointing Arcturus-Israel shareholders.</w:t>
      </w:r>
    </w:p>
    <w:p>
      <w:pPr>
        <w:spacing w:after="0" w:line="78" w:lineRule="exact"/>
        <w:rPr>
          <w:rFonts w:ascii="Arial" w:cs="Arial" w:eastAsia="Arial" w:hAnsi="Arial"/>
          <w:sz w:val="18"/>
          <w:szCs w:val="18"/>
          <w:color w:val="auto"/>
        </w:rPr>
      </w:pPr>
    </w:p>
    <w:p>
      <w:pPr>
        <w:ind w:left="640" w:right="100"/>
        <w:spacing w:after="0" w:line="277" w:lineRule="auto"/>
        <w:rPr>
          <w:rFonts w:ascii="Arial" w:cs="Arial" w:eastAsia="Arial" w:hAnsi="Arial"/>
          <w:sz w:val="18"/>
          <w:szCs w:val="18"/>
          <w:color w:val="auto"/>
        </w:rPr>
      </w:pPr>
      <w:r>
        <w:rPr>
          <w:rFonts w:ascii="Arial" w:cs="Arial" w:eastAsia="Arial" w:hAnsi="Arial"/>
          <w:sz w:val="18"/>
          <w:szCs w:val="18"/>
          <w:color w:val="auto"/>
        </w:rPr>
        <w:t>Each holder of Arcturus-Israel ordinary shares represented in person or by proxy at the Special Meeting is entitled to one vote per Arcturus-Israel ordinary share owned as of the Record Date.</w:t>
      </w:r>
    </w:p>
    <w:p>
      <w:pPr>
        <w:spacing w:after="0" w:line="6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Please see “The Special Meeting—Record Date; Voting Rights; Vote Required for Approval.”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is the effect of broker non-votes and abstentions?</w:t>
      </w:r>
    </w:p>
    <w:p>
      <w:pPr>
        <w:spacing w:after="0" w:line="135" w:lineRule="exact"/>
        <w:rPr>
          <w:sz w:val="20"/>
          <w:szCs w:val="20"/>
          <w:color w:val="auto"/>
        </w:rPr>
      </w:pPr>
    </w:p>
    <w:p>
      <w:pPr>
        <w:ind w:left="640" w:hanging="436"/>
        <w:spacing w:after="0" w:line="273"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a Scheme Shareholder abstains from voting, or if brokers holding their customers’ shares of record cause abstentions to be recorded, those shares are considered present and entitled to be voted at the Special Meeting, and, therefore, are considered for purposes of determining whether a quorum is present. However, abstentions will not be counted in the tabulation of votes cast or shares voting on a proposal, and, thus, have no effect on whether a proposal has been approved. A broker “non-vote” is not counted for the purposes of determining whether a proposal has been approved. The Arcturus Redomiciliation Proposal is considered a “non-routine” matter, and if you are a “street name” holder, your broker will not have the authority to vote your shares for or against this proposal without your instruction.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vote does the board of directors recommend?</w:t>
      </w:r>
    </w:p>
    <w:p>
      <w:pPr>
        <w:spacing w:after="0" w:line="131" w:lineRule="exact"/>
        <w:rPr>
          <w:sz w:val="20"/>
          <w:szCs w:val="20"/>
          <w:color w:val="auto"/>
        </w:rPr>
      </w:pPr>
    </w:p>
    <w:p>
      <w:pPr>
        <w:ind w:left="5660" w:right="1480" w:hanging="5456"/>
        <w:spacing w:after="0" w:line="454" w:lineRule="auto"/>
        <w:tabs>
          <w:tab w:leader="none" w:pos="62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Arcturus-Israel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Arcturus Redomiciliation Proposal. 6</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How do I attend the Special Meeting?</w:t>
      </w:r>
    </w:p>
    <w:p>
      <w:pPr>
        <w:spacing w:after="0" w:line="135" w:lineRule="exact"/>
        <w:rPr>
          <w:sz w:val="20"/>
          <w:szCs w:val="20"/>
          <w:color w:val="auto"/>
        </w:rPr>
      </w:pPr>
    </w:p>
    <w:p>
      <w:pPr>
        <w:ind w:left="640" w:right="80" w:hanging="436"/>
        <w:spacing w:after="0" w:line="308"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shareholders of Arcturus-Israel, as of the Record Date, are invited to attend the Special Meeting at the offices of Dentons US LLP, our outside counsel, at 4655 Executive Drive, Suite 700, San Diego, CA 92121 commencing at 8:00 a.m. Pacific time on May 17, 2019.</w:t>
      </w:r>
    </w:p>
    <w:p>
      <w:pPr>
        <w:spacing w:after="0" w:line="38" w:lineRule="exact"/>
        <w:rPr>
          <w:rFonts w:ascii="Arial" w:cs="Arial" w:eastAsia="Arial" w:hAnsi="Arial"/>
          <w:sz w:val="17"/>
          <w:szCs w:val="17"/>
          <w:color w:val="auto"/>
        </w:rPr>
      </w:pPr>
    </w:p>
    <w:p>
      <w:pPr>
        <w:ind w:left="640" w:right="100"/>
        <w:spacing w:after="0" w:line="259" w:lineRule="auto"/>
        <w:rPr>
          <w:rFonts w:ascii="Arial" w:cs="Arial" w:eastAsia="Arial" w:hAnsi="Arial"/>
          <w:sz w:val="17"/>
          <w:szCs w:val="17"/>
          <w:color w:val="auto"/>
        </w:rPr>
      </w:pPr>
      <w:r>
        <w:rPr>
          <w:rFonts w:ascii="Arial" w:cs="Arial" w:eastAsia="Arial" w:hAnsi="Arial"/>
          <w:sz w:val="18"/>
          <w:szCs w:val="18"/>
          <w:color w:val="auto"/>
        </w:rPr>
        <w:t>If your shares are held in the name of a bank, broker or other holder of record and you plan to attend the Special Meeting, you must present proof of your beneficial ownership of shares, such as a bank or brokerage account statement or letter from your bank, broker or other nominee showing that you owned Arcturus-Israel ordinary shares as of the record date, together with a form of personal identification and proof of address to be admitted to the Special Meeting.</w:t>
      </w:r>
    </w:p>
    <w:p>
      <w:pPr>
        <w:spacing w:after="0" w:line="78" w:lineRule="exact"/>
        <w:rPr>
          <w:rFonts w:ascii="Arial" w:cs="Arial" w:eastAsia="Arial" w:hAnsi="Arial"/>
          <w:sz w:val="17"/>
          <w:szCs w:val="17"/>
          <w:color w:val="auto"/>
        </w:rPr>
      </w:pPr>
    </w:p>
    <w:p>
      <w:pPr>
        <w:ind w:left="640" w:right="120"/>
        <w:spacing w:after="0" w:line="308" w:lineRule="auto"/>
        <w:rPr>
          <w:rFonts w:ascii="Arial" w:cs="Arial" w:eastAsia="Arial" w:hAnsi="Arial"/>
          <w:sz w:val="17"/>
          <w:szCs w:val="17"/>
          <w:color w:val="auto"/>
        </w:rPr>
      </w:pPr>
      <w:r>
        <w:rPr>
          <w:rFonts w:ascii="Arial" w:cs="Arial" w:eastAsia="Arial" w:hAnsi="Arial"/>
          <w:sz w:val="17"/>
          <w:szCs w:val="17"/>
          <w:color w:val="auto"/>
        </w:rPr>
        <w:t>Even if you establish proof of your beneficial ownership, you will not be entitled to vote at or otherwise participate in the Special Meeting unless you are a shareholder of record. Only shareholders, their proxy holders and Arcturus’s guests may attend the Special Meeting.</w:t>
      </w:r>
    </w:p>
    <w:p>
      <w:pPr>
        <w:spacing w:after="0" w:line="250" w:lineRule="exact"/>
        <w:rPr>
          <w:rFonts w:ascii="Arial" w:cs="Arial" w:eastAsia="Arial" w:hAnsi="Arial"/>
          <w:sz w:val="17"/>
          <w:szCs w:val="17"/>
          <w:color w:val="auto"/>
        </w:rPr>
      </w:pPr>
    </w:p>
    <w:p>
      <w:pPr>
        <w:ind w:left="440" w:hanging="23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34" w:lineRule="exact"/>
        <w:rPr>
          <w:rFonts w:ascii="Arial" w:cs="Arial" w:eastAsia="Arial" w:hAnsi="Arial"/>
          <w:sz w:val="18"/>
          <w:szCs w:val="18"/>
          <w:b w:val="1"/>
          <w:bCs w:val="1"/>
          <w:color w:val="auto"/>
        </w:rPr>
      </w:pPr>
    </w:p>
    <w:p>
      <w:pPr>
        <w:ind w:left="640" w:right="480" w:hanging="436"/>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Scheme Shareholders as of the Record Date may vote by personally attending the Special Meeting or attending by proxy, by completing and returning a proxy card.</w:t>
      </w:r>
    </w:p>
    <w:p>
      <w:pPr>
        <w:spacing w:after="0" w:line="62" w:lineRule="exact"/>
        <w:rPr>
          <w:rFonts w:ascii="Arial" w:cs="Arial" w:eastAsia="Arial" w:hAnsi="Arial"/>
          <w:sz w:val="18"/>
          <w:szCs w:val="18"/>
          <w:color w:val="auto"/>
        </w:rPr>
      </w:pPr>
    </w:p>
    <w:p>
      <w:pPr>
        <w:ind w:left="640" w:right="80"/>
        <w:spacing w:after="0" w:line="286" w:lineRule="auto"/>
        <w:rPr>
          <w:rFonts w:ascii="Arial" w:cs="Arial" w:eastAsia="Arial" w:hAnsi="Arial"/>
          <w:sz w:val="18"/>
          <w:szCs w:val="18"/>
          <w:color w:val="auto"/>
        </w:rPr>
      </w:pPr>
      <w:r>
        <w:rPr>
          <w:rFonts w:ascii="Arial" w:cs="Arial" w:eastAsia="Arial" w:hAnsi="Arial"/>
          <w:sz w:val="17"/>
          <w:szCs w:val="17"/>
          <w:color w:val="auto"/>
        </w:rPr>
        <w:t>If you hold your ordinary shares in “street name” through a broker, you will be able to exercise your vote through your broker by completing a voting instruction form. Most “street name” holders may also submit their voting instructions to their broker by telephone or by Internet. If shares are held in “street name,” beneficial holders must follow the procedures provided by their broker to vote.</w:t>
      </w:r>
    </w:p>
    <w:p>
      <w:pPr>
        <w:spacing w:after="0" w:line="269" w:lineRule="exact"/>
        <w:rPr>
          <w:rFonts w:ascii="Arial" w:cs="Arial" w:eastAsia="Arial" w:hAnsi="Arial"/>
          <w:sz w:val="18"/>
          <w:szCs w:val="18"/>
          <w:color w:val="auto"/>
        </w:rPr>
      </w:pPr>
    </w:p>
    <w:p>
      <w:pPr>
        <w:ind w:left="440" w:hanging="236"/>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Why do you want your ultimate parent company to be incorporated in Delaware rather than Israel?</w:t>
      </w:r>
    </w:p>
    <w:p>
      <w:pPr>
        <w:spacing w:after="0" w:line="134" w:lineRule="exact"/>
        <w:rPr>
          <w:rFonts w:ascii="Arial" w:cs="Arial" w:eastAsia="Arial" w:hAnsi="Arial"/>
          <w:sz w:val="18"/>
          <w:szCs w:val="18"/>
          <w:b w:val="1"/>
          <w:bCs w:val="1"/>
          <w:color w:val="auto"/>
        </w:rPr>
      </w:pPr>
    </w:p>
    <w:p>
      <w:pPr>
        <w:ind w:left="640" w:right="100" w:hanging="436"/>
        <w:spacing w:after="0" w:line="297"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been incorporated in Israel since 2008. While our incorporation in Israel has served us and our shareholders well, there are compelling reasons that support restructuring our corporate group to cause the parent company of our group to be an entity organized in the United States at this time. All of Arcturus’ employees and all of our operating assets are in the United States. Further, we believe that a significant majority of our shareholders are U.S.-based investors. In addition, our board of directors believes that our company will be more attractive a potential acquisition candidate as a Delaware corporation. As a result, we think it makes sense to have our parent company based in the United States.</w:t>
      </w:r>
    </w:p>
    <w:p>
      <w:pPr>
        <w:spacing w:after="0" w:line="50" w:lineRule="exact"/>
        <w:rPr>
          <w:rFonts w:ascii="Arial" w:cs="Arial" w:eastAsia="Arial" w:hAnsi="Arial"/>
          <w:sz w:val="16"/>
          <w:szCs w:val="16"/>
          <w:color w:val="auto"/>
        </w:rPr>
      </w:pPr>
    </w:p>
    <w:p>
      <w:pPr>
        <w:ind w:left="640"/>
        <w:spacing w:after="0" w:line="264" w:lineRule="auto"/>
        <w:rPr>
          <w:rFonts w:ascii="Arial" w:cs="Arial" w:eastAsia="Arial" w:hAnsi="Arial"/>
          <w:sz w:val="16"/>
          <w:szCs w:val="16"/>
          <w:color w:val="auto"/>
        </w:rPr>
      </w:pPr>
      <w:r>
        <w:rPr>
          <w:rFonts w:ascii="Arial" w:cs="Arial" w:eastAsia="Arial" w:hAnsi="Arial"/>
          <w:sz w:val="18"/>
          <w:szCs w:val="18"/>
          <w:color w:val="auto"/>
        </w:rPr>
        <w:t>After considering various factors, our board of directors determined that it was advisable to proceed with the Transaction. Our board of directors’ determination that Delaware is the preferred jurisdiction of incorporation of the parent of the Arcturus group was based on many factors, including the following:</w:t>
      </w:r>
    </w:p>
    <w:p>
      <w:pPr>
        <w:spacing w:after="0" w:line="87" w:lineRule="exact"/>
        <w:rPr>
          <w:sz w:val="20"/>
          <w:szCs w:val="20"/>
          <w:color w:val="auto"/>
        </w:rPr>
      </w:pPr>
    </w:p>
    <w:p>
      <w:pPr>
        <w:ind w:left="640" w:hanging="32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Delaware offers predictable and well-established corporate laws;</w:t>
      </w:r>
    </w:p>
    <w:p>
      <w:pPr>
        <w:spacing w:after="0" w:line="130" w:lineRule="exact"/>
        <w:rPr>
          <w:rFonts w:ascii="Arial" w:cs="Arial" w:eastAsia="Arial" w:hAnsi="Arial"/>
          <w:sz w:val="18"/>
          <w:szCs w:val="18"/>
          <w:color w:val="auto"/>
        </w:rPr>
      </w:pPr>
    </w:p>
    <w:p>
      <w:pPr>
        <w:ind w:left="640" w:right="60" w:hanging="328"/>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Delaware has a well-developed legal system which we believe encourages high standards of corporate governance and provides stockholders with substantial rights;</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perception of a Delaware corporation among regulatory authorities, investors and creditors as being highly favorable; and</w:t>
      </w:r>
    </w:p>
    <w:p>
      <w:pPr>
        <w:spacing w:after="0" w:line="130" w:lineRule="exact"/>
        <w:rPr>
          <w:rFonts w:ascii="Arial" w:cs="Arial" w:eastAsia="Arial" w:hAnsi="Arial"/>
          <w:sz w:val="18"/>
          <w:szCs w:val="18"/>
          <w:color w:val="auto"/>
        </w:rPr>
      </w:pPr>
    </w:p>
    <w:p>
      <w:pPr>
        <w:ind w:left="640" w:right="660" w:hanging="328"/>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Delaware corporate law provides significant flexibility around corporate transactions, including the issuance of equity and the payment of dividends, while at the same time protecting the rights of stockholders.</w:t>
      </w:r>
    </w:p>
    <w:p>
      <w:pPr>
        <w:spacing w:after="0" w:line="6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Please see “The Arcturus Redomiciliation Proposal—Background and Reasons for the Transaction” for more information.</w:t>
      </w:r>
    </w:p>
    <w:p>
      <w:pPr>
        <w:spacing w:after="0" w:line="117" w:lineRule="exact"/>
        <w:rPr>
          <w:rFonts w:ascii="Arial" w:cs="Arial" w:eastAsia="Arial" w:hAnsi="Arial"/>
          <w:sz w:val="18"/>
          <w:szCs w:val="18"/>
          <w:color w:val="auto"/>
        </w:rPr>
      </w:pPr>
    </w:p>
    <w:p>
      <w:pPr>
        <w:ind w:left="640" w:right="180"/>
        <w:spacing w:after="0" w:line="264" w:lineRule="auto"/>
        <w:rPr>
          <w:rFonts w:ascii="Arial" w:cs="Arial" w:eastAsia="Arial" w:hAnsi="Arial"/>
          <w:sz w:val="18"/>
          <w:szCs w:val="18"/>
          <w:color w:val="auto"/>
        </w:rPr>
      </w:pPr>
      <w:r>
        <w:rPr>
          <w:rFonts w:ascii="Arial" w:cs="Arial" w:eastAsia="Arial" w:hAnsi="Arial"/>
          <w:sz w:val="18"/>
          <w:szCs w:val="18"/>
          <w:color w:val="auto"/>
        </w:rPr>
        <w:t>We cannot assure you that the anticipated benefits of the Transaction will be realized. In addition, despite the potential benefits described above, the Transaction will expose you and us to potential risks, including relating to future income tax policy in the United States. Please see the discussion under “Risk Factors.”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308" w:lineRule="auto"/>
        <w:rPr>
          <w:sz w:val="20"/>
          <w:szCs w:val="20"/>
          <w:color w:val="auto"/>
        </w:rPr>
      </w:pPr>
      <w:r>
        <w:rPr>
          <w:rFonts w:ascii="Arial" w:cs="Arial" w:eastAsia="Arial" w:hAnsi="Arial"/>
          <w:sz w:val="17"/>
          <w:szCs w:val="17"/>
          <w:color w:val="auto"/>
        </w:rPr>
        <w:t>Our board of directors has considered both the potential advantages of the Transaction and these potential risks and has unanimously approved the Scheme of Arrangement and recommends that shareholders vote for the approval of the Scheme of Arrangement.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Are there any risks associated with the consummation of the Transaction?</w:t>
      </w:r>
    </w:p>
    <w:p>
      <w:pPr>
        <w:spacing w:after="0" w:line="135" w:lineRule="exact"/>
        <w:rPr>
          <w:sz w:val="20"/>
          <w:szCs w:val="20"/>
          <w:color w:val="auto"/>
        </w:rPr>
      </w:pPr>
    </w:p>
    <w:p>
      <w:pPr>
        <w:ind w:left="640" w:right="20" w:hanging="436"/>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While our board of directors has considered the potential risks to our shareholders and us associated with the Transaction and has recommended that shareholders vote for approval of the Arcturus Redomiciliation Proposal, there are risks and we cannot assure you that the anticipated benefits of the Transaction will be realized. For example:</w:t>
      </w:r>
    </w:p>
    <w:p>
      <w:pPr>
        <w:spacing w:after="0" w:line="87" w:lineRule="exact"/>
        <w:rPr>
          <w:sz w:val="20"/>
          <w:szCs w:val="20"/>
          <w:color w:val="auto"/>
        </w:rPr>
      </w:pPr>
    </w:p>
    <w:p>
      <w:pPr>
        <w:ind w:left="640" w:right="680" w:hanging="328"/>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your rights as a shareholder and optionholder will change due to differences between Israel and Delaware law and between the governing documents of Arcturus-Israel and Arcturus-Delaware; and</w:t>
      </w:r>
    </w:p>
    <w:p>
      <w:pPr>
        <w:spacing w:after="0" w:line="75" w:lineRule="exact"/>
        <w:rPr>
          <w:rFonts w:ascii="Arial" w:cs="Arial" w:eastAsia="Arial" w:hAnsi="Arial"/>
          <w:sz w:val="18"/>
          <w:szCs w:val="18"/>
          <w:color w:val="auto"/>
        </w:rPr>
      </w:pPr>
    </w:p>
    <w:p>
      <w:pPr>
        <w:ind w:left="640" w:right="2120" w:hanging="328"/>
        <w:spacing w:after="0" w:line="483"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market for Arcturus-Delaware common stock may differ from the market for Arcturus-Israel ordinary shares. You should consider these risks carefully. For additional information, please see the discussion under “Risk Factors.”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Will the Transaction affect Arcturus current or future day-to-day operations?</w:t>
      </w:r>
    </w:p>
    <w:p>
      <w:pPr>
        <w:spacing w:after="0" w:line="135" w:lineRule="exact"/>
        <w:rPr>
          <w:sz w:val="20"/>
          <w:szCs w:val="20"/>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Transaction will have no material impact on how we conduct our day-to-day operations.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How will shares of Arcturus-Israel differ from shares of Arcturus-Delaware?</w:t>
      </w:r>
    </w:p>
    <w:p>
      <w:pPr>
        <w:spacing w:after="0" w:line="135" w:lineRule="exact"/>
        <w:rPr>
          <w:sz w:val="20"/>
          <w:szCs w:val="20"/>
          <w:color w:val="auto"/>
        </w:rPr>
      </w:pPr>
    </w:p>
    <w:p>
      <w:pPr>
        <w:jc w:val="both"/>
        <w:ind w:left="640" w:right="120" w:hanging="436"/>
        <w:spacing w:after="0" w:line="286"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Arcturus-Delaware shares of common stock will be similar to Arcturus-Israel ordinary shares. However, there are differences between what your rights as a common stockholder will be under Delaware law and what they currently are as an ordinary shareholder under Israel law. In addition, there are differences between the organizational documents of Arcturus-Israel and Arcturus-Delaware.</w:t>
      </w:r>
    </w:p>
    <w:p>
      <w:pPr>
        <w:spacing w:after="0" w:line="57" w:lineRule="exact"/>
        <w:rPr>
          <w:rFonts w:ascii="Arial" w:cs="Arial" w:eastAsia="Arial" w:hAnsi="Arial"/>
          <w:sz w:val="17"/>
          <w:szCs w:val="17"/>
          <w:color w:val="auto"/>
        </w:rPr>
      </w:pPr>
    </w:p>
    <w:p>
      <w:pPr>
        <w:jc w:val="both"/>
        <w:ind w:left="640" w:right="100"/>
        <w:spacing w:after="0" w:line="312" w:lineRule="auto"/>
        <w:rPr>
          <w:rFonts w:ascii="Arial" w:cs="Arial" w:eastAsia="Arial" w:hAnsi="Arial"/>
          <w:sz w:val="17"/>
          <w:szCs w:val="17"/>
          <w:color w:val="auto"/>
        </w:rPr>
      </w:pPr>
      <w:r>
        <w:rPr>
          <w:rFonts w:ascii="Arial" w:cs="Arial" w:eastAsia="Arial" w:hAnsi="Arial"/>
          <w:sz w:val="16"/>
          <w:szCs w:val="16"/>
          <w:color w:val="auto"/>
        </w:rPr>
        <w:t>We discuss these differences in detail under “Description of Arcturus-Delaware Capital Stock” and “Comparison of Rights of Israel Shareholders and Delaware Stockholders.” Arcturus-Delaware’s certificate of incorporation and bylaws in the form substantially as they will be in effect upon consummation of the Transaction, are attached as Annex C and Annex D, respectively, to this proxy statement/prospectus.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Will the Transaction dilute my economic interest?</w:t>
      </w:r>
    </w:p>
    <w:p>
      <w:pPr>
        <w:spacing w:after="0" w:line="135" w:lineRule="exact"/>
        <w:rPr>
          <w:sz w:val="20"/>
          <w:szCs w:val="20"/>
          <w:color w:val="auto"/>
        </w:rPr>
      </w:pPr>
    </w:p>
    <w:p>
      <w:pPr>
        <w:ind w:left="640" w:right="80" w:hanging="436"/>
        <w:spacing w:after="0" w:line="26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your fully-diluted relative economic ownership in Arcturus will not change as a result of the Transaction. Your ordinary shares and options to purchase ordinary shares of Arcturus-Israel will be purchased by Arcturus-Delaware on a one-to-one basis in exchange for shares of common stock and options to purchase common stock of Arcturus-Delaware.</w:t>
      </w:r>
    </w:p>
    <w:p>
      <w:pPr>
        <w:spacing w:after="0" w:line="285" w:lineRule="exact"/>
        <w:rPr>
          <w:rFonts w:ascii="Arial" w:cs="Arial" w:eastAsia="Arial" w:hAnsi="Arial"/>
          <w:sz w:val="18"/>
          <w:szCs w:val="18"/>
          <w:color w:val="auto"/>
        </w:rPr>
      </w:pPr>
    </w:p>
    <w:p>
      <w:pPr>
        <w:ind w:left="440" w:hanging="236"/>
        <w:spacing w:after="0"/>
        <w:tabs>
          <w:tab w:leader="none" w:pos="4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Transaction affect Arcturus’ financial reporting and the information Arcturus provides to its shareholders?</w:t>
      </w:r>
    </w:p>
    <w:p>
      <w:pPr>
        <w:spacing w:after="0" w:line="134" w:lineRule="exact"/>
        <w:rPr>
          <w:rFonts w:ascii="Arial" w:cs="Arial" w:eastAsia="Arial" w:hAnsi="Arial"/>
          <w:sz w:val="18"/>
          <w:szCs w:val="18"/>
          <w:b w:val="1"/>
          <w:bCs w:val="1"/>
          <w:color w:val="auto"/>
        </w:rPr>
      </w:pPr>
    </w:p>
    <w:p>
      <w:pPr>
        <w:ind w:left="640" w:hanging="436"/>
        <w:spacing w:after="0" w:line="276"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Upon completion of the Transaction, Arcturus-Delaware will be subject to the same reporting requirements of the SEC, the mandates of the Sarbanes-Oxley Act and the applicable corporate governance rules of NASDAQ as Arcturus-Israel before the Transaction, and Arcturus-Delaware will continue to report our consolidated financial results in U.S. dollars and in accordance with U.S. GAAP. Arcturus-Delaware will continue to file reports on Form 10-K, 10-Q and 8-K with the SEC and comply with the proxy rules applicable to domestic issuers, as we currently do. Arcturus-Delaware will also comply with any additional reporting requirements of Delaware law.</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impact will the Transaction have on Arcturus’ current debt arrangements?</w:t>
      </w:r>
    </w:p>
    <w:p>
      <w:pPr>
        <w:spacing w:after="0" w:line="135" w:lineRule="exact"/>
        <w:rPr>
          <w:sz w:val="20"/>
          <w:szCs w:val="20"/>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expect no material impact on our currently outstanding indebtedness.</w:t>
      </w:r>
    </w:p>
    <w:p>
      <w:pPr>
        <w:spacing w:after="0" w:line="329" w:lineRule="exact"/>
        <w:rPr>
          <w:rFonts w:ascii="Arial" w:cs="Arial" w:eastAsia="Arial" w:hAnsi="Arial"/>
          <w:sz w:val="18"/>
          <w:szCs w:val="18"/>
          <w:color w:val="auto"/>
        </w:rPr>
      </w:pPr>
    </w:p>
    <w:p>
      <w:pPr>
        <w:ind w:left="440" w:hanging="236"/>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Will the Transaction impact Arcturus’ ability to access the capital and bank markets in the future?</w:t>
      </w:r>
    </w:p>
    <w:p>
      <w:pPr>
        <w:spacing w:after="0" w:line="134" w:lineRule="exact"/>
        <w:rPr>
          <w:rFonts w:ascii="Arial" w:cs="Arial" w:eastAsia="Arial" w:hAnsi="Arial"/>
          <w:sz w:val="18"/>
          <w:szCs w:val="18"/>
          <w:b w:val="1"/>
          <w:bCs w:val="1"/>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believe that capital raising will be simpler and more efficient with a U.S. domiciled parent holding company.</w:t>
      </w:r>
    </w:p>
    <w:p>
      <w:pPr>
        <w:spacing w:after="0" w:line="329" w:lineRule="exact"/>
        <w:rPr>
          <w:rFonts w:ascii="Arial" w:cs="Arial" w:eastAsia="Arial" w:hAnsi="Arial"/>
          <w:sz w:val="18"/>
          <w:szCs w:val="18"/>
          <w:color w:val="auto"/>
        </w:rPr>
      </w:pPr>
    </w:p>
    <w:p>
      <w:pPr>
        <w:ind w:left="440" w:hanging="236"/>
        <w:spacing w:after="0"/>
        <w:tabs>
          <w:tab w:leader="none" w:pos="4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Will the Transaction be conditioned upon Arcturus’ ability to complete any pending or proposed transactions?</w:t>
      </w:r>
    </w:p>
    <w:p>
      <w:pPr>
        <w:spacing w:after="0" w:line="134" w:lineRule="exact"/>
        <w:rPr>
          <w:rFonts w:ascii="Arial" w:cs="Arial" w:eastAsia="Arial" w:hAnsi="Arial"/>
          <w:sz w:val="18"/>
          <w:szCs w:val="18"/>
          <w:b w:val="1"/>
          <w:bCs w:val="1"/>
          <w:color w:val="auto"/>
        </w:rPr>
      </w:pPr>
    </w:p>
    <w:p>
      <w:pPr>
        <w:ind w:left="640" w:hanging="4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The Transaction is not conditioned upon the completion of any other transaction.</w:t>
      </w:r>
    </w:p>
    <w:p>
      <w:pPr>
        <w:spacing w:after="0" w:line="329" w:lineRule="exact"/>
        <w:rPr>
          <w:rFonts w:ascii="Arial" w:cs="Arial" w:eastAsia="Arial" w:hAnsi="Arial"/>
          <w:sz w:val="18"/>
          <w:szCs w:val="18"/>
          <w:color w:val="auto"/>
        </w:rPr>
      </w:pPr>
    </w:p>
    <w:p>
      <w:pPr>
        <w:ind w:left="440" w:hanging="236"/>
        <w:spacing w:after="0"/>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Will the Transaction have any impact on Arcturus’ ability to pay dividends or, if it elects, to buy back shares?</w:t>
      </w:r>
    </w:p>
    <w:p>
      <w:pPr>
        <w:spacing w:after="0" w:line="134" w:lineRule="exact"/>
        <w:rPr>
          <w:rFonts w:ascii="Arial" w:cs="Arial" w:eastAsia="Arial" w:hAnsi="Arial"/>
          <w:sz w:val="18"/>
          <w:szCs w:val="18"/>
          <w:b w:val="1"/>
          <w:bCs w:val="1"/>
          <w:color w:val="auto"/>
        </w:rPr>
      </w:pPr>
    </w:p>
    <w:p>
      <w:pPr>
        <w:ind w:left="640" w:right="300" w:hanging="436"/>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accordance with Delaware law, Arcturus-Delaware will be able to declare and pay dividends and buy back shares. Generally, we expect that Delaware law will be more flexible than Israel law as to these matters.</w:t>
      </w:r>
    </w:p>
    <w:p>
      <w:pPr>
        <w:spacing w:after="0" w:line="274" w:lineRule="exact"/>
        <w:rPr>
          <w:rFonts w:ascii="Arial" w:cs="Arial" w:eastAsia="Arial" w:hAnsi="Arial"/>
          <w:sz w:val="18"/>
          <w:szCs w:val="18"/>
          <w:color w:val="auto"/>
        </w:rPr>
      </w:pPr>
    </w:p>
    <w:p>
      <w:pPr>
        <w:ind w:left="440" w:hanging="236"/>
        <w:spacing w:after="0"/>
        <w:tabs>
          <w:tab w:leader="none" w:pos="4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Am I entitled to appraisal or dissenters’ rights in the Transaction?</w:t>
      </w:r>
    </w:p>
    <w:p>
      <w:pPr>
        <w:spacing w:after="0" w:line="134" w:lineRule="exact"/>
        <w:rPr>
          <w:rFonts w:ascii="Arial" w:cs="Arial" w:eastAsia="Arial" w:hAnsi="Arial"/>
          <w:sz w:val="18"/>
          <w:szCs w:val="18"/>
          <w:b w:val="1"/>
          <w:bCs w:val="1"/>
          <w:color w:val="auto"/>
        </w:rPr>
      </w:pPr>
    </w:p>
    <w:p>
      <w:pPr>
        <w:ind w:left="640" w:right="20" w:hanging="436"/>
        <w:spacing w:after="0" w:line="259"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Once the Arcturus Redomiciliation Proposal is approved by the requisite Arcturus-Israel shareholders and by the Israel Court, the Scheme of Arrangement becomes effective and will be binding on all shareholders of Arcturus. Under Israel law, the ordinary shareholders of Arcturus-Israel do not have dissenters’ rights or a right to an appraisal of the value of their shares or to receive payment for them in connection with the Transaction</w:t>
      </w:r>
      <w:r>
        <w:rPr>
          <w:rFonts w:ascii="Arial" w:cs="Arial" w:eastAsia="Arial" w:hAnsi="Arial"/>
          <w:sz w:val="18"/>
          <w:szCs w:val="18"/>
          <w:i w:val="1"/>
          <w:iCs w:val="1"/>
          <w:color w:val="auto"/>
        </w:rPr>
        <w:t>.</w:t>
      </w:r>
    </w:p>
    <w:p>
      <w:pPr>
        <w:spacing w:after="0" w:line="290" w:lineRule="exact"/>
        <w:rPr>
          <w:rFonts w:ascii="Arial" w:cs="Arial" w:eastAsia="Arial" w:hAnsi="Arial"/>
          <w:sz w:val="18"/>
          <w:szCs w:val="18"/>
          <w:color w:val="auto"/>
        </w:rPr>
      </w:pPr>
    </w:p>
    <w:p>
      <w:pPr>
        <w:ind w:left="440" w:hanging="236"/>
        <w:spacing w:after="0"/>
        <w:tabs>
          <w:tab w:leader="none" w:pos="4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Is the Transaction taxable to me under U.S. federal income tax law?</w:t>
      </w:r>
    </w:p>
    <w:p>
      <w:pPr>
        <w:spacing w:after="0" w:line="134" w:lineRule="exact"/>
        <w:rPr>
          <w:rFonts w:ascii="Arial" w:cs="Arial" w:eastAsia="Arial" w:hAnsi="Arial"/>
          <w:sz w:val="18"/>
          <w:szCs w:val="18"/>
          <w:b w:val="1"/>
          <w:bCs w:val="1"/>
          <w:color w:val="auto"/>
        </w:rPr>
      </w:pPr>
    </w:p>
    <w:p>
      <w:pPr>
        <w:ind w:left="640" w:right="40" w:hanging="436"/>
        <w:spacing w:after="0" w:line="255"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intended that holders of ordinary shares and options to purchase ordinary shares of Arcturus-Israel will not recognize gain or loss for U.S. federal income tax purposes in the Transaction but the closing of the Transaction is not conditioned upon the receipt of any opinion or tax ruling from the United States Internal Revenue Service (“</w:t>
      </w:r>
      <w:r>
        <w:rPr>
          <w:rFonts w:ascii="Arial" w:cs="Arial" w:eastAsia="Arial" w:hAnsi="Arial"/>
          <w:sz w:val="18"/>
          <w:szCs w:val="18"/>
          <w:b w:val="1"/>
          <w:bCs w:val="1"/>
          <w:color w:val="auto"/>
        </w:rPr>
        <w:t>IRS</w:t>
      </w:r>
      <w:r>
        <w:rPr>
          <w:rFonts w:ascii="Arial" w:cs="Arial" w:eastAsia="Arial" w:hAnsi="Arial"/>
          <w:sz w:val="18"/>
          <w:szCs w:val="18"/>
          <w:color w:val="auto"/>
        </w:rPr>
        <w:t>”) to that effect. Please see “Material U.S. Federal Income Tax Considerations of the Transaction to Holders of Arcturus-Israel Ordinary Shares” for a description of the material U.S. federal income tax consequences of the Transaction to Arcturus-Israel ordinary shareholders. Determining the actual tax consequences of the Transaction to you may be complex and will depend on your specific situation. We urge you to consult your tax advisor for a full understanding of the tax consequences of the Transaction to you.</w:t>
      </w:r>
    </w:p>
    <w:p>
      <w:pPr>
        <w:spacing w:after="0" w:line="293" w:lineRule="exact"/>
        <w:rPr>
          <w:rFonts w:ascii="Arial" w:cs="Arial" w:eastAsia="Arial" w:hAnsi="Arial"/>
          <w:sz w:val="18"/>
          <w:szCs w:val="18"/>
          <w:color w:val="auto"/>
        </w:rPr>
      </w:pPr>
    </w:p>
    <w:p>
      <w:pPr>
        <w:ind w:left="440" w:hanging="236"/>
        <w:spacing w:after="0"/>
        <w:tabs>
          <w:tab w:leader="none" w:pos="4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the Transaction to be completed?</w:t>
      </w:r>
    </w:p>
    <w:p>
      <w:pPr>
        <w:spacing w:after="0" w:line="134" w:lineRule="exact"/>
        <w:rPr>
          <w:rFonts w:ascii="Arial" w:cs="Arial" w:eastAsia="Arial" w:hAnsi="Arial"/>
          <w:sz w:val="18"/>
          <w:szCs w:val="18"/>
          <w:b w:val="1"/>
          <w:bCs w:val="1"/>
          <w:color w:val="auto"/>
        </w:rPr>
      </w:pPr>
    </w:p>
    <w:p>
      <w:pPr>
        <w:ind w:left="640" w:hanging="436"/>
        <w:spacing w:after="0" w:line="254"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Assuming the Scheme of Arrangement is approved by the requisite vote of Arcturus-Israel shareholders and by the Israel Court and the other conditions to the consummation of the Transaction are satisfied, we currently expect to complete the Transaction no later than May 31, 2019. However, in accordance with the terms of the Exchange Agreement and subject to the paragraph below, Arcturus-Israel, without obtaining any further approval of Arcturus-Israel shareholders, may select the effective time of the Transaction (including the Scheme of Arrangement), provided the effective time occurs on or prior to May 31, 2019, unless such date is postponed to a later date by Arcturus-Israel and Arcturus-Delaware (the “</w:t>
      </w:r>
      <w:r>
        <w:rPr>
          <w:rFonts w:ascii="Arial" w:cs="Arial" w:eastAsia="Arial" w:hAnsi="Arial"/>
          <w:sz w:val="18"/>
          <w:szCs w:val="18"/>
          <w:b w:val="1"/>
          <w:bCs w:val="1"/>
          <w:color w:val="auto"/>
        </w:rPr>
        <w:t>Long-Stop Date</w:t>
      </w:r>
      <w:r>
        <w:rPr>
          <w:rFonts w:ascii="Arial" w:cs="Arial" w:eastAsia="Arial" w:hAnsi="Arial"/>
          <w:sz w:val="18"/>
          <w:szCs w:val="18"/>
          <w:color w:val="auto"/>
        </w:rPr>
        <w:t>”), notwithstanding Arcturus-Israel shareholder or Israel Court approval of the Scheme of Arrangement and/or the satisfaction of all of the other conditions to the Transaction. Please see “The Arcturus Redomiciliation Proposal—Effective Date of the Transaction.”</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64" w:lineRule="auto"/>
        <w:rPr>
          <w:sz w:val="20"/>
          <w:szCs w:val="20"/>
          <w:color w:val="auto"/>
        </w:rPr>
      </w:pPr>
      <w:r>
        <w:rPr>
          <w:rFonts w:ascii="Arial" w:cs="Arial" w:eastAsia="Arial" w:hAnsi="Arial"/>
          <w:sz w:val="18"/>
          <w:szCs w:val="18"/>
          <w:color w:val="auto"/>
        </w:rPr>
        <w:t>Subject to the satisfaction of the conditions set forth in the Exchange Agreement, we are required to receive a Tax Ruling by the ITA by the Long-Stop Date. However, if the conditions set forth in the Exchange Agreement are not satisfied by such date, the Scheme of Arrangement will lapse pursuant to its terms and the Transaction will not be effected.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will I receive for my Arcturus-Israel ordinary shares and my options to purchase Arcturus-Israel ordinary shares?</w:t>
      </w:r>
    </w:p>
    <w:p>
      <w:pPr>
        <w:spacing w:after="0" w:line="135" w:lineRule="exact"/>
        <w:rPr>
          <w:sz w:val="20"/>
          <w:szCs w:val="20"/>
          <w:color w:val="auto"/>
        </w:rPr>
      </w:pPr>
    </w:p>
    <w:p>
      <w:pPr>
        <w:jc w:val="both"/>
        <w:ind w:left="640" w:right="60" w:hanging="436"/>
        <w:spacing w:after="0" w:line="264"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 will receive one share of common stock of Arcturus-Delaware for each ordinary share of Arcturus-Israel and an option to purchase one share of Arcturus-Delaware common stock for each option you hold to purchase one share of Arcturus-Israel ordinary share you hold immediately prior to the completion of the Transaction.</w:t>
      </w:r>
    </w:p>
    <w:p>
      <w:pPr>
        <w:spacing w:after="0" w:line="285" w:lineRule="exact"/>
        <w:rPr>
          <w:rFonts w:ascii="Arial" w:cs="Arial" w:eastAsia="Arial" w:hAnsi="Arial"/>
          <w:sz w:val="18"/>
          <w:szCs w:val="18"/>
          <w:color w:val="auto"/>
        </w:rPr>
      </w:pPr>
    </w:p>
    <w:p>
      <w:pPr>
        <w:ind w:left="200" w:right="100" w:firstLine="4"/>
        <w:spacing w:after="0" w:line="347" w:lineRule="auto"/>
        <w:tabs>
          <w:tab w:leader="none" w:pos="43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If the Scheme of Arrangement is approved, do I have to take any action to transfer my Arcturus-Israel ordinary shares or Arcturus options and receive Arcturus-Delaware shares of common stock and options to purchase Arcturus-Delaware shares of common stock?</w:t>
      </w:r>
    </w:p>
    <w:p>
      <w:pPr>
        <w:spacing w:after="0" w:line="25" w:lineRule="exact"/>
        <w:rPr>
          <w:rFonts w:ascii="Arial" w:cs="Arial" w:eastAsia="Arial" w:hAnsi="Arial"/>
          <w:sz w:val="16"/>
          <w:szCs w:val="16"/>
          <w:b w:val="1"/>
          <w:bCs w:val="1"/>
          <w:color w:val="auto"/>
        </w:rPr>
      </w:pPr>
    </w:p>
    <w:p>
      <w:pPr>
        <w:ind w:left="640" w:hanging="436"/>
        <w:spacing w:after="0" w:line="269" w:lineRule="auto"/>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Upon effectiveness of the Transaction, your Arcturus-Israel ordinary shares will be exchanged by Arcturus-Delaware for shares of common stock of Arcturus-Delaware and will be issued to you in uncertificated book-entry form. Arcturus-Israel share certificates outstanding immediately prior to the effective time of the Transaction will no longer be evidence of title of Arcturus-Israel ordinary shares represented by such certificates, and following the Transaction, will only represent the right to receive a corresponding number of uncertificated book-entry shares of common stock of Arcturus-Delaware. You will also receive new options to purchase shares of Arcturus-Delaware common stock in the same amount as your options to purchase ordinary shares of Arcturus-Israel and your options to purchase Arcturus-Israel ordinary shares will be cancelled. Our transfer agent will request that you return such stock certificates for cancellation, together with a properly completed and executed letter of transmittal, in exchange for shares of common stock of Arcturus-Delaware following completion of the Transaction. Arcturus-Israel ordinary shares held in “street name” through a bank, broker, custodian or other nominee will be automatically exchanged for uncertificated book-entry shares of common stock of Arcturus-Delaware without any action required on the part of the beneficial holder of such ordinary shares. Please see “The Arcturus Redomiciliation Proposal—Action Required to Transfer Arcturus-Israel Ordinary Shares and Receive Arcturus-Delaware Shares of Common Stock.”</w:t>
      </w:r>
    </w:p>
    <w:p>
      <w:pPr>
        <w:spacing w:after="0" w:line="284" w:lineRule="exact"/>
        <w:rPr>
          <w:rFonts w:ascii="Arial" w:cs="Arial" w:eastAsia="Arial" w:hAnsi="Arial"/>
          <w:sz w:val="17"/>
          <w:szCs w:val="17"/>
          <w:color w:val="auto"/>
        </w:rPr>
      </w:pPr>
    </w:p>
    <w:p>
      <w:pPr>
        <w:ind w:left="440" w:hanging="236"/>
        <w:spacing w:after="0"/>
        <w:tabs>
          <w:tab w:leader="none" w:pos="44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Can I trade Arcturus-Israel ordinary shares between the date of this proxy statement/prospectus and the consummation of the Transaction?</w:t>
      </w:r>
    </w:p>
    <w:p>
      <w:pPr>
        <w:spacing w:after="0" w:line="157" w:lineRule="exact"/>
        <w:rPr>
          <w:rFonts w:ascii="Arial" w:cs="Arial" w:eastAsia="Arial" w:hAnsi="Arial"/>
          <w:sz w:val="16"/>
          <w:szCs w:val="16"/>
          <w:b w:val="1"/>
          <w:bCs w:val="1"/>
          <w:color w:val="auto"/>
        </w:rPr>
      </w:pPr>
    </w:p>
    <w:p>
      <w:pPr>
        <w:ind w:left="640" w:hanging="43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Yes. Arcturus-Israel ordinary shares will continue to trade on NASDAQ under the symbol “ARCT” during this period</w:t>
      </w:r>
      <w:r>
        <w:rPr>
          <w:rFonts w:ascii="Arial" w:cs="Arial" w:eastAsia="Arial" w:hAnsi="Arial"/>
          <w:sz w:val="18"/>
          <w:szCs w:val="18"/>
          <w:b w:val="1"/>
          <w:bCs w:val="1"/>
          <w:i w:val="1"/>
          <w:iCs w:val="1"/>
          <w:color w:val="auto"/>
        </w:rPr>
        <w:t>.</w:t>
      </w:r>
    </w:p>
    <w:p>
      <w:pPr>
        <w:spacing w:after="0" w:line="329" w:lineRule="exact"/>
        <w:rPr>
          <w:rFonts w:ascii="Arial" w:cs="Arial" w:eastAsia="Arial" w:hAnsi="Arial"/>
          <w:sz w:val="18"/>
          <w:szCs w:val="18"/>
          <w:color w:val="auto"/>
        </w:rPr>
      </w:pPr>
    </w:p>
    <w:p>
      <w:pPr>
        <w:ind w:left="440" w:hanging="236"/>
        <w:spacing w:after="0"/>
        <w:tabs>
          <w:tab w:leader="none" w:pos="4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Transaction affect the stock exchange listing of Arcturus-Israel ordinary shares?</w:t>
      </w:r>
    </w:p>
    <w:p>
      <w:pPr>
        <w:spacing w:after="0" w:line="134" w:lineRule="exact"/>
        <w:rPr>
          <w:rFonts w:ascii="Arial" w:cs="Arial" w:eastAsia="Arial" w:hAnsi="Arial"/>
          <w:sz w:val="18"/>
          <w:szCs w:val="18"/>
          <w:b w:val="1"/>
          <w:bCs w:val="1"/>
          <w:color w:val="auto"/>
        </w:rPr>
      </w:pPr>
    </w:p>
    <w:p>
      <w:pPr>
        <w:jc w:val="both"/>
        <w:ind w:left="640" w:right="380" w:hanging="436"/>
        <w:spacing w:after="0" w:line="264"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should be no disruption in the trading of your shares. We will submit a notification form with NASDAQ and expect that, following the consummation of the Transaction, the Arcturus-Delaware shares of common stock will be listed on NASDAQ under the symbol “ARCT,” the same symbol under which your Arcturus-Israel ordinary shares are currently listed.</w:t>
      </w:r>
    </w:p>
    <w:p>
      <w:pPr>
        <w:spacing w:after="0" w:line="285" w:lineRule="exact"/>
        <w:rPr>
          <w:rFonts w:ascii="Arial" w:cs="Arial" w:eastAsia="Arial" w:hAnsi="Arial"/>
          <w:sz w:val="18"/>
          <w:szCs w:val="18"/>
          <w:color w:val="auto"/>
        </w:rPr>
      </w:pPr>
    </w:p>
    <w:p>
      <w:pPr>
        <w:ind w:left="440" w:hanging="236"/>
        <w:spacing w:after="0"/>
        <w:tabs>
          <w:tab w:leader="none" w:pos="4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If my Arcturus-Israel ordinary shares are held in “street name” by my broker, will my broker vote my shares for me?</w:t>
      </w:r>
    </w:p>
    <w:p>
      <w:pPr>
        <w:spacing w:after="0" w:line="134" w:lineRule="exact"/>
        <w:rPr>
          <w:rFonts w:ascii="Arial" w:cs="Arial" w:eastAsia="Arial" w:hAnsi="Arial"/>
          <w:sz w:val="18"/>
          <w:szCs w:val="18"/>
          <w:b w:val="1"/>
          <w:bCs w:val="1"/>
          <w:color w:val="auto"/>
        </w:rPr>
      </w:pPr>
    </w:p>
    <w:p>
      <w:pPr>
        <w:ind w:left="640" w:right="240" w:hanging="436"/>
        <w:spacing w:after="0" w:line="277"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The vote on the Arcturus Redomiciliation Proposal is considered a “non-routine” matter, and your broker cannot exercise discretion to vote your Arcturus-Israel ordinary shares. If you hold your Arcturus-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160"/>
        <w:spacing w:after="0" w:line="264" w:lineRule="auto"/>
        <w:rPr>
          <w:sz w:val="20"/>
          <w:szCs w:val="20"/>
          <w:color w:val="auto"/>
        </w:rPr>
      </w:pPr>
      <w:r>
        <w:rPr>
          <w:rFonts w:ascii="Arial" w:cs="Arial" w:eastAsia="Arial" w:hAnsi="Arial"/>
          <w:sz w:val="18"/>
          <w:szCs w:val="18"/>
          <w:color w:val="auto"/>
        </w:rPr>
        <w:t>Israel ordinary shares in “street name,” you should follow the procedures provided by your broker regarding how to instruct your broker to vote your shares. Typically, you would submit your voting instructions by telephone or by the Internet in accordance with the procedures provided by your broker.</w:t>
      </w:r>
    </w:p>
    <w:p>
      <w:pPr>
        <w:spacing w:after="0" w:line="73" w:lineRule="exact"/>
        <w:rPr>
          <w:sz w:val="20"/>
          <w:szCs w:val="20"/>
          <w:color w:val="auto"/>
        </w:rPr>
      </w:pPr>
    </w:p>
    <w:p>
      <w:pPr>
        <w:ind w:left="640" w:right="20"/>
        <w:spacing w:after="0" w:line="259" w:lineRule="auto"/>
        <w:rPr>
          <w:sz w:val="20"/>
          <w:szCs w:val="20"/>
          <w:color w:val="auto"/>
        </w:rPr>
      </w:pPr>
      <w:r>
        <w:rPr>
          <w:rFonts w:ascii="Arial" w:cs="Arial" w:eastAsia="Arial" w:hAnsi="Arial"/>
          <w:sz w:val="18"/>
          <w:szCs w:val="18"/>
          <w:color w:val="auto"/>
        </w:rPr>
        <w:t>All shares entitled to vote and represented by properly completed proxies received prior to the Special Meeting and not revoked will be voted at the meeting in accordance with your instructions. If a signed proxy card is returned without indicating how shares should be voted on a matter and the proxy is not revoked, the shares represented by such proxy will be voted as the Board recommends and, therefore, “FOR” the approval of the Arcturus Redomiciliation Proposal.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May I revoke my proxy or change my vote?</w:t>
      </w:r>
    </w:p>
    <w:p>
      <w:pPr>
        <w:spacing w:after="0" w:line="135" w:lineRule="exact"/>
        <w:rPr>
          <w:sz w:val="20"/>
          <w:szCs w:val="20"/>
          <w:color w:val="auto"/>
        </w:rPr>
      </w:pPr>
    </w:p>
    <w:p>
      <w:pPr>
        <w:ind w:left="640" w:right="100" w:hanging="436"/>
        <w:spacing w:after="0" w:line="302" w:lineRule="auto"/>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Yes, Scheme Shareholders have the right to revoke a proxy at any time prior to voting at the Special Meeting by (i) submitting a subsequently dated proxy, which, if not delivered in person at the meeting, must be received by Arcturus-Israel no less than 24 hours before the appointed time of the meeting or (ii) by attending the meeting and voting in person, provided that you are a Scheme Shareholder. If you hold Arcturus-Israel ordinary shares in “street name” through a broker, you should follow the procedures provided by your broker to revoke or change your vote.</w:t>
      </w:r>
    </w:p>
    <w:p>
      <w:pPr>
        <w:spacing w:after="0" w:line="258" w:lineRule="exact"/>
        <w:rPr>
          <w:rFonts w:ascii="Arial" w:cs="Arial" w:eastAsia="Arial" w:hAnsi="Arial"/>
          <w:sz w:val="16"/>
          <w:szCs w:val="16"/>
          <w:color w:val="auto"/>
        </w:rPr>
      </w:pPr>
    </w:p>
    <w:p>
      <w:pPr>
        <w:ind w:left="440" w:hanging="236"/>
        <w:spacing w:after="0"/>
        <w:tabs>
          <w:tab w:leader="none" w:pos="4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Who is making and paying for this proxy solicitation?</w:t>
      </w:r>
    </w:p>
    <w:p>
      <w:pPr>
        <w:spacing w:after="0" w:line="134" w:lineRule="exact"/>
        <w:rPr>
          <w:rFonts w:ascii="Arial" w:cs="Arial" w:eastAsia="Arial" w:hAnsi="Arial"/>
          <w:sz w:val="18"/>
          <w:szCs w:val="18"/>
          <w:b w:val="1"/>
          <w:bCs w:val="1"/>
          <w:color w:val="auto"/>
        </w:rPr>
      </w:pPr>
    </w:p>
    <w:p>
      <w:pPr>
        <w:ind w:left="640" w:hanging="436"/>
        <w:spacing w:after="0" w:line="255"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proxy is being solicited on behalf of the Board. The directors, officers and employees of Arcturus-Israel will solicit proxies by personal interview, mail, email, telephone, facsimile or other means of communication. These persons will not be paid additional remuneration for their efforts. Subject to applicable law, Arcturus-Israel may also reimburse brokerage houses and other custodians, nominees, and fiduciaries for their expenses for forwarding proxy materials to the beneficial owners of Arcturus-Israel ordinary shares and in obtaining voting instructions from such beneficial owners. The extent to which this will be necessary depends upon how promptly proxies are returned. We urge you to send in your proxy without delay.</w:t>
      </w:r>
    </w:p>
    <w:p>
      <w:pPr>
        <w:spacing w:after="0" w:line="297" w:lineRule="exact"/>
        <w:rPr>
          <w:rFonts w:ascii="Arial" w:cs="Arial" w:eastAsia="Arial" w:hAnsi="Arial"/>
          <w:sz w:val="18"/>
          <w:szCs w:val="18"/>
          <w:color w:val="auto"/>
        </w:rPr>
      </w:pPr>
    </w:p>
    <w:p>
      <w:pPr>
        <w:ind w:left="440" w:hanging="236"/>
        <w:spacing w:after="0"/>
        <w:tabs>
          <w:tab w:leader="none" w:pos="4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call if I have questions about the Special Meeting or the Transaction?</w:t>
      </w:r>
    </w:p>
    <w:p>
      <w:pPr>
        <w:spacing w:after="0" w:line="134" w:lineRule="exact"/>
        <w:rPr>
          <w:rFonts w:ascii="Arial" w:cs="Arial" w:eastAsia="Arial" w:hAnsi="Arial"/>
          <w:sz w:val="18"/>
          <w:szCs w:val="18"/>
          <w:b w:val="1"/>
          <w:bCs w:val="1"/>
          <w:color w:val="auto"/>
        </w:rPr>
      </w:pP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 should contact us at:</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Arcturus Therapeutics Ltd.</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(858) 900-2660</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right="20" w:firstLine="426"/>
        <w:spacing w:after="0" w:line="293" w:lineRule="auto"/>
        <w:rPr>
          <w:sz w:val="20"/>
          <w:szCs w:val="20"/>
          <w:color w:val="auto"/>
        </w:rPr>
      </w:pPr>
      <w:r>
        <w:rPr>
          <w:rFonts w:ascii="Arial" w:cs="Arial" w:eastAsia="Arial" w:hAnsi="Arial"/>
          <w:sz w:val="16"/>
          <w:szCs w:val="16"/>
          <w:i w:val="1"/>
          <w:iCs w:val="1"/>
          <w:color w:val="auto"/>
        </w:rPr>
        <w:t>This summary highlights selected information from this proxy statement/prospectus. It does not contain all of the information that is important to you. To understand the Transaction more fully, and for a more complete legal description of the Transaction, you should read carefully the entire proxy statement/prospectus, including the Annexes. The Exchange Agreement, substantially in the forms attached as Annex A to this proxy statement/prospectus, is the legal document that govern the Transaction. The certificate of incorporation and bylaws of Arcturus-Delaware, substantially in the forms attached as Annex B and Annex C, respectively, to this proxy statement/prospectus, will become the governing documents of Arcturus-Delaware upon the completion of the Transaction. We encourage you to read those documents carefully.</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Parties to the Transaction</w:t>
      </w:r>
    </w:p>
    <w:p>
      <w:pPr>
        <w:spacing w:after="0" w:line="121" w:lineRule="exact"/>
        <w:rPr>
          <w:sz w:val="20"/>
          <w:szCs w:val="20"/>
          <w:color w:val="auto"/>
        </w:rPr>
      </w:pPr>
    </w:p>
    <w:p>
      <w:pPr>
        <w:ind w:left="380" w:right="60" w:firstLine="426"/>
        <w:spacing w:after="0" w:line="291" w:lineRule="auto"/>
        <w:rPr>
          <w:sz w:val="20"/>
          <w:szCs w:val="20"/>
          <w:color w:val="auto"/>
        </w:rPr>
      </w:pPr>
      <w:r>
        <w:rPr>
          <w:rFonts w:ascii="Arial" w:cs="Arial" w:eastAsia="Arial" w:hAnsi="Arial"/>
          <w:sz w:val="16"/>
          <w:szCs w:val="16"/>
          <w:i w:val="1"/>
          <w:iCs w:val="1"/>
          <w:color w:val="auto"/>
        </w:rPr>
        <w:t>Arcturus-Israel</w:t>
      </w:r>
      <w:r>
        <w:rPr>
          <w:rFonts w:ascii="Arial" w:cs="Arial" w:eastAsia="Arial" w:hAnsi="Arial"/>
          <w:sz w:val="16"/>
          <w:szCs w:val="16"/>
          <w:color w:val="auto"/>
        </w:rPr>
        <w:t>. We are a public company limited by shares incorporated under the laws of the State of Israel focused on RNA medicines</w:t>
      </w:r>
      <w:r>
        <w:rPr>
          <w:rFonts w:ascii="Arial" w:cs="Arial" w:eastAsia="Arial" w:hAnsi="Arial"/>
          <w:sz w:val="16"/>
          <w:szCs w:val="16"/>
          <w:i w:val="1"/>
          <w:iCs w:val="1"/>
          <w:color w:val="auto"/>
        </w:rPr>
        <w:t xml:space="preserve"> </w:t>
      </w:r>
      <w:r>
        <w:rPr>
          <w:rFonts w:ascii="Arial" w:cs="Arial" w:eastAsia="Arial" w:hAnsi="Arial"/>
          <w:sz w:val="16"/>
          <w:szCs w:val="16"/>
          <w:color w:val="auto"/>
        </w:rPr>
        <w:t>with enabling technologies—UNA Oligomer chemistry and LUNAR</w:t>
      </w:r>
      <w:r>
        <w:rPr>
          <w:rFonts w:ascii="Arial" w:cs="Arial" w:eastAsia="Arial" w:hAnsi="Arial"/>
          <w:sz w:val="13"/>
          <w:szCs w:val="13"/>
          <w:color w:val="auto"/>
        </w:rPr>
        <w:t>®</w:t>
      </w:r>
      <w:r>
        <w:rPr>
          <w:rFonts w:ascii="Arial" w:cs="Arial" w:eastAsia="Arial" w:hAnsi="Arial"/>
          <w:sz w:val="16"/>
          <w:szCs w:val="16"/>
          <w:color w:val="auto"/>
        </w:rPr>
        <w:t xml:space="preserve"> lipid-mediated delivery. Our diverse pipeline of RNA therapeutics includes programs pursuing rare diseases, Hepatitis B, non-alcoholic steatohepatitis (NASH), cystic fibrosis, and vaccines. Our versatile RNA therapeutics platforms can be applied toward multiple types of RNA medicines including small interfering RNA, messenger RNA, replicon RNA, antisense RNA, microRNA and gene editing therapeutics. Arcturus owns LUNAR lipid-mediated delivery and Unlocked Nucleomonomer Agent (UNA) technology including UNA Oligomers, which are covered by our extensive patent portfolio (140 patents and patent applications, issued in the U.S., Europe, Japan, China and other countries). Our ordinary shares are traded on NASDAQ under the symbol “ARCT.”</w:t>
      </w:r>
    </w:p>
    <w:p>
      <w:pPr>
        <w:spacing w:after="0" w:line="167" w:lineRule="exact"/>
        <w:rPr>
          <w:sz w:val="20"/>
          <w:szCs w:val="20"/>
          <w:color w:val="auto"/>
        </w:rPr>
      </w:pPr>
    </w:p>
    <w:p>
      <w:pPr>
        <w:ind w:left="380" w:firstLine="426"/>
        <w:spacing w:after="0" w:line="312" w:lineRule="auto"/>
        <w:rPr>
          <w:sz w:val="20"/>
          <w:szCs w:val="20"/>
          <w:color w:val="auto"/>
        </w:rPr>
      </w:pPr>
      <w:r>
        <w:rPr>
          <w:rFonts w:ascii="Arial" w:cs="Arial" w:eastAsia="Arial" w:hAnsi="Arial"/>
          <w:sz w:val="16"/>
          <w:szCs w:val="16"/>
          <w:i w:val="1"/>
          <w:iCs w:val="1"/>
          <w:color w:val="auto"/>
        </w:rPr>
        <w:t>Arcturus-Delaware</w:t>
      </w:r>
      <w:r>
        <w:rPr>
          <w:rFonts w:ascii="Arial" w:cs="Arial" w:eastAsia="Arial" w:hAnsi="Arial"/>
          <w:sz w:val="16"/>
          <w:szCs w:val="16"/>
          <w:color w:val="auto"/>
        </w:rPr>
        <w:t>. Arcturus-Delaware is a newly formed Delaware corporation that was incorporated by Arcturus-Israel. Arcturus-Delaware</w:t>
      </w:r>
      <w:r>
        <w:rPr>
          <w:rFonts w:ascii="Arial" w:cs="Arial" w:eastAsia="Arial" w:hAnsi="Arial"/>
          <w:sz w:val="16"/>
          <w:szCs w:val="16"/>
          <w:i w:val="1"/>
          <w:iCs w:val="1"/>
          <w:color w:val="auto"/>
        </w:rPr>
        <w:t xml:space="preserve"> </w:t>
      </w:r>
      <w:r>
        <w:rPr>
          <w:rFonts w:ascii="Arial" w:cs="Arial" w:eastAsia="Arial" w:hAnsi="Arial"/>
          <w:sz w:val="16"/>
          <w:szCs w:val="16"/>
          <w:color w:val="auto"/>
        </w:rPr>
        <w:t>has only nominal assets and capitalization and has not engaged in any business or other activities other than in connection with its formation and the Transaction. Immediately following the Transaction, Arcturus-Delaware will become the ultimate parent company of the Arcturus group.</w:t>
      </w:r>
    </w:p>
    <w:p>
      <w:pPr>
        <w:spacing w:after="0" w:line="147" w:lineRule="exact"/>
        <w:rPr>
          <w:sz w:val="20"/>
          <w:szCs w:val="20"/>
          <w:color w:val="auto"/>
        </w:rPr>
      </w:pPr>
    </w:p>
    <w:p>
      <w:pPr>
        <w:jc w:val="both"/>
        <w:ind w:left="380" w:right="240" w:firstLine="426"/>
        <w:spacing w:after="0" w:line="286" w:lineRule="auto"/>
        <w:rPr>
          <w:sz w:val="20"/>
          <w:szCs w:val="20"/>
          <w:color w:val="auto"/>
        </w:rPr>
      </w:pPr>
      <w:r>
        <w:rPr>
          <w:rFonts w:ascii="Arial" w:cs="Arial" w:eastAsia="Arial" w:hAnsi="Arial"/>
          <w:sz w:val="17"/>
          <w:szCs w:val="17"/>
          <w:color w:val="auto"/>
        </w:rPr>
        <w:t>The principal executive offices of Arcturus-Israel are located at 10628 Science Center Drive, Suite 200, San Diego, CA 92121, USA. The telephone number of each party at that address is (858) 900-2660. The principal offices of Arcturus-Delaware is located at 10628 Science Center Drive, Suite 250, San Diego, CA 92121, USA, and the telephone number at that address is (858) 900-2660.</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Transaction</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Transaction will cause the parent company of our corporate group to be a Delaware corporation.</w:t>
      </w:r>
    </w:p>
    <w:p>
      <w:pPr>
        <w:spacing w:after="0" w:line="225" w:lineRule="exact"/>
        <w:rPr>
          <w:sz w:val="20"/>
          <w:szCs w:val="20"/>
          <w:color w:val="auto"/>
        </w:rPr>
      </w:pPr>
    </w:p>
    <w:p>
      <w:pPr>
        <w:ind w:left="380" w:right="100" w:firstLine="426"/>
        <w:spacing w:after="0" w:line="272" w:lineRule="auto"/>
        <w:rPr>
          <w:sz w:val="20"/>
          <w:szCs w:val="20"/>
          <w:color w:val="auto"/>
        </w:rPr>
      </w:pPr>
      <w:r>
        <w:rPr>
          <w:rFonts w:ascii="Arial" w:cs="Arial" w:eastAsia="Arial" w:hAnsi="Arial"/>
          <w:sz w:val="17"/>
          <w:szCs w:val="17"/>
          <w:color w:val="auto"/>
        </w:rPr>
        <w:t>On February 8, 2019, the board of directors of Arcturus-Israel approved the Transaction and the entry by Arcturus-Israel into the Exchange Agreement. On February 11, 2019, we submitted to the Israel Court a request according to sections 350-351 of the Companies Law, to order, the convening of the Special Meeting to approve the Scheme of Arrangement. We will hold the Special Meeting to approve the Scheme of Arrangement on May 17, 2019. If we obtain the necessary shareholder approvals, we will request the Israel Court to approve the Scheme of Arrangement. Assuming we receive the necessary approvals of the Scheme of Arrangement from Israel’s shareholders and the Israel Court and the other conditions to consummate the Transaction are satisfied, on or prior to the Long-Stop Date, at which time the Scheme of Arrangement will become effective and binding in accordance with its terms and conditions.</w:t>
      </w:r>
    </w:p>
    <w:p>
      <w:pPr>
        <w:spacing w:after="0" w:line="178"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As a result of the Transaction, the ordinary shareholders of Arcturus-Israel will become stockholders of Arcturus-Delaware, holders of options to purchase Arcturus-Israel ordinary shares will hold options to purchase common stock of Arcturus-Delaware and such stockholders’ and optionholders’ rights will be governed by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240" w:top="459" w:right="6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845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6084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20"/>
        <w:spacing w:after="0" w:line="255" w:lineRule="auto"/>
        <w:rPr>
          <w:sz w:val="20"/>
          <w:szCs w:val="20"/>
          <w:color w:val="auto"/>
        </w:rPr>
      </w:pPr>
      <w:r>
        <w:rPr>
          <w:rFonts w:ascii="Arial" w:cs="Arial" w:eastAsia="Arial" w:hAnsi="Arial"/>
          <w:sz w:val="18"/>
          <w:szCs w:val="18"/>
          <w:color w:val="auto"/>
        </w:rPr>
        <w:t>Delaware law and Arcturus-Delaware’s certificate of incorporation and bylaws, in substantially the forms attached hereto as Annex B and Annex C, respectively. In addition, in connection with the Transaction, Arcturus-Israel intends to transfer to Arcturus-Delaware by way of a dividend distribution in kind, all of its holdings in Private Arcturus, so that Private Arcturus will become a wholly-owned subsidiary of Arcturus-Delaware. The Company may decide to proceed with this second step distribution in kind, or not to proceed with such distribution, at any time after the effective time of the Scheme of Arrangement, but no later than December 31, 2019. The Company will decide, in its sole discretion, if it is in the best interests of the Company to effect the second step distribution in kind and will consider all relevant factors, including potential tax consequences to the Company that may result from this distribution.</w:t>
      </w:r>
    </w:p>
    <w:p>
      <w:pPr>
        <w:spacing w:after="0" w:line="29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Background and Reasons for the Transaction</w:t>
      </w:r>
    </w:p>
    <w:p>
      <w:pPr>
        <w:spacing w:after="0" w:line="117" w:lineRule="exact"/>
        <w:rPr>
          <w:sz w:val="20"/>
          <w:szCs w:val="20"/>
          <w:color w:val="auto"/>
        </w:rPr>
      </w:pPr>
    </w:p>
    <w:p>
      <w:pPr>
        <w:ind w:left="380" w:right="120" w:firstLine="426"/>
        <w:spacing w:after="0" w:line="272" w:lineRule="auto"/>
        <w:rPr>
          <w:sz w:val="20"/>
          <w:szCs w:val="20"/>
          <w:color w:val="auto"/>
        </w:rPr>
      </w:pPr>
      <w:r>
        <w:rPr>
          <w:rFonts w:ascii="Arial" w:cs="Arial" w:eastAsia="Arial" w:hAnsi="Arial"/>
          <w:sz w:val="17"/>
          <w:szCs w:val="17"/>
          <w:color w:val="auto"/>
        </w:rPr>
        <w:t>On November 15, 2017, our predecessor company, Alcobra Ltd. (“</w:t>
      </w:r>
      <w:r>
        <w:rPr>
          <w:rFonts w:ascii="Arial" w:cs="Arial" w:eastAsia="Arial" w:hAnsi="Arial"/>
          <w:sz w:val="17"/>
          <w:szCs w:val="17"/>
          <w:b w:val="1"/>
          <w:bCs w:val="1"/>
          <w:color w:val="auto"/>
        </w:rPr>
        <w:t>Alcobra</w:t>
      </w:r>
      <w:r>
        <w:rPr>
          <w:rFonts w:ascii="Arial" w:cs="Arial" w:eastAsia="Arial" w:hAnsi="Arial"/>
          <w:sz w:val="17"/>
          <w:szCs w:val="17"/>
          <w:color w:val="auto"/>
        </w:rPr>
        <w:t>”), now named Arcturus Therapeutics Ltd., completed its merger with Arcturus Therapeutics, Inc. (“</w:t>
      </w:r>
      <w:r>
        <w:rPr>
          <w:rFonts w:ascii="Arial" w:cs="Arial" w:eastAsia="Arial" w:hAnsi="Arial"/>
          <w:sz w:val="17"/>
          <w:szCs w:val="17"/>
          <w:b w:val="1"/>
          <w:bCs w:val="1"/>
          <w:color w:val="auto"/>
        </w:rPr>
        <w:t>Private Arcturus</w:t>
      </w:r>
      <w:r>
        <w:rPr>
          <w:rFonts w:ascii="Arial" w:cs="Arial" w:eastAsia="Arial" w:hAnsi="Arial"/>
          <w:sz w:val="17"/>
          <w:szCs w:val="17"/>
          <w:color w:val="auto"/>
        </w:rPr>
        <w:t>”), in accordance with the terms of the Agreement and Plan of Merger and Reorganization, dated as of September 27, 2017, among Alcobra, Aleph MergerSub, Inc. and Private Arcturus (as amended, the “</w:t>
      </w:r>
      <w:r>
        <w:rPr>
          <w:rFonts w:ascii="Arial" w:cs="Arial" w:eastAsia="Arial" w:hAnsi="Arial"/>
          <w:sz w:val="17"/>
          <w:szCs w:val="17"/>
          <w:b w:val="1"/>
          <w:bCs w:val="1"/>
          <w:color w:val="auto"/>
        </w:rPr>
        <w:t>merger agreement</w:t>
      </w:r>
      <w:r>
        <w:rPr>
          <w:rFonts w:ascii="Arial" w:cs="Arial" w:eastAsia="Arial" w:hAnsi="Arial"/>
          <w:sz w:val="17"/>
          <w:szCs w:val="17"/>
          <w:color w:val="auto"/>
        </w:rPr>
        <w:t>”). In connection with the merger, Alcobra agreed to acquire all of the outstanding common stock of Private Arcturus in exchange for issuing to the Private Arcturus stockholders an aggregate 6,631,712 of Alcobra’s ordinary shares, par value 0.07 NIS per share, after giving effect to a 1-for-7 reverse split effected immediately prior to the merger. As a result of the merger, Private Arcturus became a wholly-owned subsidiary of Alcobra. While Alcobra was the legal acquirer in the transaction, Private Arcturus was deemed the accounting acquirer. Immediately after giving effect to the merger, on November 15, 2017, Alcobra changed its name to Arcturus Therapeutics Ltd.</w:t>
      </w:r>
    </w:p>
    <w:p>
      <w:pPr>
        <w:spacing w:after="0" w:line="176" w:lineRule="exact"/>
        <w:rPr>
          <w:sz w:val="20"/>
          <w:szCs w:val="20"/>
          <w:color w:val="auto"/>
        </w:rPr>
      </w:pPr>
    </w:p>
    <w:p>
      <w:pPr>
        <w:ind w:left="380" w:right="140" w:firstLine="426"/>
        <w:spacing w:after="0" w:line="264" w:lineRule="auto"/>
        <w:rPr>
          <w:sz w:val="20"/>
          <w:szCs w:val="20"/>
          <w:color w:val="auto"/>
        </w:rPr>
      </w:pPr>
      <w:r>
        <w:rPr>
          <w:rFonts w:ascii="Arial" w:cs="Arial" w:eastAsia="Arial" w:hAnsi="Arial"/>
          <w:sz w:val="18"/>
          <w:szCs w:val="18"/>
          <w:color w:val="auto"/>
        </w:rPr>
        <w:t>Therefore, we have been incorporated in Israel since February 7, 2008. While our incorporation in Israel has served us and our shareholders well, there are compelling reasons that support restructuring our corporate group to cause the parent company of our group to be an entity organized in the United States at this time.</w:t>
      </w:r>
    </w:p>
    <w:p>
      <w:pPr>
        <w:spacing w:after="0" w:line="181" w:lineRule="exact"/>
        <w:rPr>
          <w:sz w:val="20"/>
          <w:szCs w:val="20"/>
          <w:color w:val="auto"/>
        </w:rPr>
      </w:pPr>
    </w:p>
    <w:p>
      <w:pPr>
        <w:ind w:left="380" w:firstLine="426"/>
        <w:spacing w:after="0" w:line="302" w:lineRule="auto"/>
        <w:rPr>
          <w:sz w:val="20"/>
          <w:szCs w:val="20"/>
          <w:color w:val="auto"/>
        </w:rPr>
      </w:pPr>
      <w:r>
        <w:rPr>
          <w:rFonts w:ascii="Arial" w:cs="Arial" w:eastAsia="Arial" w:hAnsi="Arial"/>
          <w:sz w:val="16"/>
          <w:szCs w:val="16"/>
          <w:color w:val="auto"/>
        </w:rPr>
        <w:t>Our operations are focused in the United States, and we expect to continue to invest in our operations in the United States. All of Arcturus’ employees and our operating assets are in the United States. Further, we believe that a significant majority of our shareholders are U.S.-based investors. In addition, our board of directors believe we will be more attractive as an acquisition candidate (should any such opportunity arise in the future) as a Delaware corporation. As a result, we think it makes sense to have our parent company based in the United States.</w:t>
      </w:r>
    </w:p>
    <w:p>
      <w:pPr>
        <w:spacing w:after="0" w:line="154" w:lineRule="exact"/>
        <w:rPr>
          <w:sz w:val="20"/>
          <w:szCs w:val="20"/>
          <w:color w:val="auto"/>
        </w:rPr>
      </w:pPr>
    </w:p>
    <w:p>
      <w:pPr>
        <w:ind w:left="380" w:right="240" w:firstLine="426"/>
        <w:spacing w:after="0" w:line="277" w:lineRule="auto"/>
        <w:rPr>
          <w:sz w:val="20"/>
          <w:szCs w:val="20"/>
          <w:color w:val="auto"/>
        </w:rPr>
      </w:pPr>
      <w:r>
        <w:rPr>
          <w:rFonts w:ascii="Arial" w:cs="Arial" w:eastAsia="Arial" w:hAnsi="Arial"/>
          <w:sz w:val="18"/>
          <w:szCs w:val="18"/>
          <w:color w:val="auto"/>
        </w:rPr>
        <w:t>Following a thorough review, we have determined that having our ultimate parent company incorporated in the United States will increase our opportunities for growth and shareholder value creation and is best for us, our shareholders and our employees.</w:t>
      </w:r>
    </w:p>
    <w:p>
      <w:pPr>
        <w:spacing w:after="0" w:line="170" w:lineRule="exact"/>
        <w:rPr>
          <w:sz w:val="20"/>
          <w:szCs w:val="20"/>
          <w:color w:val="auto"/>
        </w:rPr>
      </w:pPr>
    </w:p>
    <w:p>
      <w:pPr>
        <w:jc w:val="both"/>
        <w:ind w:left="380" w:right="420" w:firstLine="426"/>
        <w:spacing w:after="0" w:line="264" w:lineRule="auto"/>
        <w:rPr>
          <w:sz w:val="20"/>
          <w:szCs w:val="20"/>
          <w:color w:val="auto"/>
        </w:rPr>
      </w:pPr>
      <w:r>
        <w:rPr>
          <w:rFonts w:ascii="Arial" w:cs="Arial" w:eastAsia="Arial" w:hAnsi="Arial"/>
          <w:sz w:val="18"/>
          <w:szCs w:val="18"/>
          <w:color w:val="auto"/>
        </w:rPr>
        <w:t>After considering various factors, our board of directors determined that it was advisable to proceed with the Transaction. Our board of directors’ determination that Delaware is the preferred choice for the domicile of the parent of the Arcturus group was based on many factors, including the following:</w:t>
      </w:r>
    </w:p>
    <w:p>
      <w:pPr>
        <w:spacing w:after="0" w:line="87" w:lineRule="exact"/>
        <w:rPr>
          <w:sz w:val="20"/>
          <w:szCs w:val="20"/>
          <w:color w:val="auto"/>
        </w:rPr>
      </w:pPr>
    </w:p>
    <w:p>
      <w:pPr>
        <w:ind w:left="1220" w:hanging="307"/>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Delaware offers predictable and well-established corporate laws;</w:t>
      </w:r>
    </w:p>
    <w:p>
      <w:pPr>
        <w:spacing w:after="0" w:line="130" w:lineRule="exact"/>
        <w:rPr>
          <w:rFonts w:ascii="Arial" w:cs="Arial" w:eastAsia="Arial" w:hAnsi="Arial"/>
          <w:sz w:val="18"/>
          <w:szCs w:val="18"/>
          <w:color w:val="auto"/>
        </w:rPr>
      </w:pPr>
    </w:p>
    <w:p>
      <w:pPr>
        <w:ind w:left="1220" w:right="600" w:hanging="307"/>
        <w:spacing w:after="0" w:line="277" w:lineRule="auto"/>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Delaware has a well-developed legal system which we believe encourages high standards of corporate governance and provides stockholders with substantial rights;</w:t>
      </w:r>
    </w:p>
    <w:p>
      <w:pPr>
        <w:spacing w:after="0" w:line="75" w:lineRule="exact"/>
        <w:rPr>
          <w:rFonts w:ascii="Arial" w:cs="Arial" w:eastAsia="Arial" w:hAnsi="Arial"/>
          <w:sz w:val="18"/>
          <w:szCs w:val="18"/>
          <w:color w:val="auto"/>
        </w:rPr>
      </w:pPr>
    </w:p>
    <w:p>
      <w:pPr>
        <w:ind w:left="1220" w:hanging="307"/>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perception of a Delaware corporation among regulatory authorities, investors and creditors is highly favorable; and</w:t>
      </w:r>
    </w:p>
    <w:p>
      <w:pPr>
        <w:spacing w:after="0" w:line="130" w:lineRule="exact"/>
        <w:rPr>
          <w:rFonts w:ascii="Arial" w:cs="Arial" w:eastAsia="Arial" w:hAnsi="Arial"/>
          <w:sz w:val="18"/>
          <w:szCs w:val="18"/>
          <w:color w:val="auto"/>
        </w:rPr>
      </w:pPr>
    </w:p>
    <w:p>
      <w:pPr>
        <w:ind w:left="1220" w:right="80" w:hanging="307"/>
        <w:spacing w:after="0" w:line="277" w:lineRule="auto"/>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Delaware corporate law provides significant flexibility around corporate transactions, including the issuance of equity and the payment of dividends, while at the same time protecting the rights of stockholders.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24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991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2145" cy="39916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We cannot assure you that the anticipated benefits of the Transaction will be realized. In addition, despite the potential benefits described above, the Transaction will expose you and us to potential risks, including relating to future income tax policy in the United States. Please see the discussion under “Risk Factors.”</w:t>
      </w:r>
    </w:p>
    <w:p>
      <w:pPr>
        <w:spacing w:after="0" w:line="181" w:lineRule="exact"/>
        <w:rPr>
          <w:sz w:val="20"/>
          <w:szCs w:val="20"/>
          <w:color w:val="auto"/>
        </w:rPr>
      </w:pPr>
    </w:p>
    <w:p>
      <w:pPr>
        <w:ind w:left="380" w:right="520" w:firstLine="426"/>
        <w:spacing w:after="0" w:line="308" w:lineRule="auto"/>
        <w:rPr>
          <w:sz w:val="20"/>
          <w:szCs w:val="20"/>
          <w:color w:val="auto"/>
        </w:rPr>
      </w:pPr>
      <w:r>
        <w:rPr>
          <w:rFonts w:ascii="Arial" w:cs="Arial" w:eastAsia="Arial" w:hAnsi="Arial"/>
          <w:sz w:val="17"/>
          <w:szCs w:val="17"/>
          <w:color w:val="auto"/>
        </w:rPr>
        <w:t>The Board has considered both the potential advantages of the Transaction and these potential risks and has unanimously approved the Scheme of Arrangement and recommends that shareholders vote for the approval of the Scheme of Arrangement.</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Potential Tax Consequences to the Arcturus Group</w:t>
      </w:r>
    </w:p>
    <w:p>
      <w:pPr>
        <w:spacing w:after="0" w:line="121" w:lineRule="exact"/>
        <w:rPr>
          <w:sz w:val="20"/>
          <w:szCs w:val="20"/>
          <w:color w:val="auto"/>
        </w:rPr>
      </w:pPr>
    </w:p>
    <w:p>
      <w:pPr>
        <w:ind w:left="380" w:right="120"/>
        <w:spacing w:after="0" w:line="255" w:lineRule="auto"/>
        <w:rPr>
          <w:sz w:val="20"/>
          <w:szCs w:val="20"/>
          <w:color w:val="auto"/>
        </w:rPr>
      </w:pPr>
      <w:r>
        <w:rPr>
          <w:rFonts w:ascii="Arial" w:cs="Arial" w:eastAsia="Arial" w:hAnsi="Arial"/>
          <w:sz w:val="18"/>
          <w:szCs w:val="18"/>
          <w:color w:val="auto"/>
        </w:rPr>
        <w:t>The United States corporate income tax regime (including applicable statutory tax rates) changed significantly due to the enactment of the 2017 legislation commonly referred to as the “Tax Cuts and Jobs Act.”. There is significant uncertainty as to how the Tax Cuts and Jobs Act will be implemented from an accounting standpoint. Arcturus Therapeutics, Ltd. is currently subject to both Israel and U.S. taxes on a certain portion of income. This is as a result of the form of the transaction undertaken on November 15, 2017, which required, for U.S. federal income tax purposes, that Arcturus Therapeutics, Ltd. is treated as a US incorporated entity for purposes of the U.S. Internal Revenue Code. Following the redomiciliation, the new Delaware incorporated publicly traded parent should no longer be subject to Israeli tax, provided it is managed and controlled in the US.</w:t>
      </w:r>
    </w:p>
    <w:p>
      <w:pPr>
        <w:spacing w:after="0" w:line="293"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U.S. Federal Income Tax Considerations to Holders of Arcturus-Israel Ordinary Shares and Holders of Options to acquire Arcturus-Israel Ordinary Shares</w:t>
      </w:r>
    </w:p>
    <w:p>
      <w:pPr>
        <w:spacing w:after="0" w:line="58" w:lineRule="exact"/>
        <w:rPr>
          <w:sz w:val="20"/>
          <w:szCs w:val="20"/>
          <w:color w:val="auto"/>
        </w:rPr>
      </w:pPr>
    </w:p>
    <w:p>
      <w:pPr>
        <w:ind w:left="380" w:right="60" w:firstLine="426"/>
        <w:spacing w:after="0" w:line="272" w:lineRule="auto"/>
        <w:rPr>
          <w:sz w:val="20"/>
          <w:szCs w:val="20"/>
          <w:color w:val="auto"/>
        </w:rPr>
      </w:pPr>
      <w:r>
        <w:rPr>
          <w:rFonts w:ascii="Arial" w:cs="Arial" w:eastAsia="Arial" w:hAnsi="Arial"/>
          <w:sz w:val="17"/>
          <w:szCs w:val="17"/>
          <w:color w:val="auto"/>
        </w:rPr>
        <w:t>It is intended that holders of ordinary shares of Arcturus-Israel and options to purchase ordinary shares of Arcturus-Israel will not recognize any gain or loss for U.S. federal income tax purposes on the Transaction but the closing of the Transaction is not conditioned upon the receipt of any opinion or tax ruling from the IRS to that effect. Please refer to “Material U.S. Federal Income Tax Considerations of the Transaction to Holders of Arcturus-Israel Ordinary Shares and Holders of Options to Purchase Arcturus-Israel Ordinary Shares” for a description of material U.S. federal income tax consequences of the Transaction to Arcturus-Israel ordinary shareholders and option holders. Determining the actual tax consequences of the Transaction to you may be complex and will depend on your specific situation. We urge you to consult your tax advisor for a full understanding of the tax consequences of the Transaction to you.</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24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81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59817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CERTAIN MATERIAL ISRAELI TAX CONSEQUENCES OF THE TRANSACTION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Material Israeli Tax Consequences</w:t>
      </w:r>
    </w:p>
    <w:p>
      <w:pPr>
        <w:spacing w:after="0" w:line="121" w:lineRule="exact"/>
        <w:rPr>
          <w:sz w:val="20"/>
          <w:szCs w:val="20"/>
          <w:color w:val="auto"/>
        </w:rPr>
      </w:pPr>
    </w:p>
    <w:p>
      <w:pPr>
        <w:ind w:left="380" w:right="20" w:firstLine="426"/>
        <w:spacing w:after="0" w:line="273" w:lineRule="auto"/>
        <w:rPr>
          <w:sz w:val="20"/>
          <w:szCs w:val="20"/>
          <w:color w:val="auto"/>
        </w:rPr>
      </w:pPr>
      <w:r>
        <w:rPr>
          <w:rFonts w:ascii="Arial" w:cs="Arial" w:eastAsia="Arial" w:hAnsi="Arial"/>
          <w:sz w:val="17"/>
          <w:szCs w:val="17"/>
          <w:color w:val="auto"/>
        </w:rPr>
        <w:t>The following is a summary discussion of certain Israeli tax considerations in connection with the Transaction. The following summary is included for general information purposes only and is based upon current Israeli tax law. No assurance can be given that new or future legislation, regulations, or interpretations will not significantly change the tax considerations described below, or that any such change may apply retroactively. This summary does not discuss all the material aspects of Israeli tax consequences that may apply to certain holders of Arcturus-Israel ordinary shares in light of their particular circumstances, such as investors that do not hold their Arcturus-Israel ordinary shares as a capital asset, investors that are subject to special tax rules, or other investors referred to below.</w:t>
      </w:r>
    </w:p>
    <w:p>
      <w:pPr>
        <w:spacing w:after="0" w:line="178" w:lineRule="exact"/>
        <w:rPr>
          <w:sz w:val="20"/>
          <w:szCs w:val="20"/>
          <w:color w:val="auto"/>
        </w:rPr>
      </w:pPr>
    </w:p>
    <w:p>
      <w:pPr>
        <w:ind w:left="380" w:right="140" w:firstLine="426"/>
        <w:spacing w:after="0" w:line="257" w:lineRule="auto"/>
        <w:rPr>
          <w:sz w:val="20"/>
          <w:szCs w:val="20"/>
          <w:color w:val="auto"/>
        </w:rPr>
      </w:pPr>
      <w:r>
        <w:rPr>
          <w:rFonts w:ascii="Arial" w:cs="Arial" w:eastAsia="Arial" w:hAnsi="Arial"/>
          <w:sz w:val="18"/>
          <w:szCs w:val="18"/>
          <w:color w:val="auto"/>
        </w:rPr>
        <w:t>Tax matters are very complicated, and the Israeli tax consequences of the Transaction for Israeli shareholders of Arcturus-Israel will depend on their particular situation. You are encouraged to consult your tax advisors regarding the specific Israeli tax consequences of the Transaction applicable to you, including tax return reporting requirements; the applicability of federal, state, local, and foreign tax laws; and the effect of any proposed change in the tax laws. This discussion is not intended to be a complete analysis or description of all potential tax consequences of the Transaction.</w:t>
      </w:r>
    </w:p>
    <w:p>
      <w:pPr>
        <w:spacing w:after="0" w:line="188" w:lineRule="exact"/>
        <w:rPr>
          <w:sz w:val="20"/>
          <w:szCs w:val="20"/>
          <w:color w:val="auto"/>
        </w:rPr>
      </w:pPr>
    </w:p>
    <w:p>
      <w:pPr>
        <w:ind w:left="380" w:right="20" w:firstLine="426"/>
        <w:spacing w:after="0" w:line="276" w:lineRule="auto"/>
        <w:rPr>
          <w:sz w:val="20"/>
          <w:szCs w:val="20"/>
          <w:color w:val="auto"/>
        </w:rPr>
      </w:pPr>
      <w:r>
        <w:rPr>
          <w:rFonts w:ascii="Arial" w:cs="Arial" w:eastAsia="Arial" w:hAnsi="Arial"/>
          <w:sz w:val="17"/>
          <w:szCs w:val="17"/>
          <w:color w:val="auto"/>
        </w:rPr>
        <w:t>Israeli law imposes a capital gains tax on the sale of capital assets by Israeli residents and on the sale of Israeli assets or assets deemed to be located in Israel by non-residents of Israel. In general, under the Israeli Tax Ordinance, the transfer by shareholders (or option holders) of Arcturus-Israel of ordinary shares to Arcturus-Delaware is deemed to be a sale of capital assets and therefore gives rise to a taxable event. Consequently, unless a specific exemption is available, either under the Israeli Tax Ordinance or a treaty for the avoidance of double taxation applicable to non-residents of Israel, the exchange of shares will be subject to tax in Israel.</w:t>
      </w:r>
    </w:p>
    <w:p>
      <w:pPr>
        <w:spacing w:after="0" w:line="173" w:lineRule="exact"/>
        <w:rPr>
          <w:sz w:val="20"/>
          <w:szCs w:val="20"/>
          <w:color w:val="auto"/>
        </w:rPr>
      </w:pPr>
    </w:p>
    <w:p>
      <w:pPr>
        <w:ind w:left="380" w:right="40" w:firstLine="426"/>
        <w:spacing w:after="0" w:line="271" w:lineRule="auto"/>
        <w:rPr>
          <w:sz w:val="20"/>
          <w:szCs w:val="20"/>
          <w:color w:val="auto"/>
        </w:rPr>
      </w:pPr>
      <w:r>
        <w:rPr>
          <w:rFonts w:ascii="Arial" w:cs="Arial" w:eastAsia="Arial" w:hAnsi="Arial"/>
          <w:sz w:val="17"/>
          <w:szCs w:val="17"/>
          <w:color w:val="auto"/>
        </w:rPr>
        <w:t>Under the Israeli Tax Ordinance, the tax rate applicable to capital gains derived from the disposition of Arcturus-Israel ordinary shares (or options) in the Transaction is 25% for Israeli individuals (or 30% in case of a shareholder who claims a deduction for financing expenses in connection with such shares or who is considered a “Significant Shareholder” at any time during the 12-month period preceding such disposition, i.e. such shareholder alone or together with such person’s relative or another person who collaborates with such person on a permanent basis holds, directly or indirectly, at least 10% of any “means of control” in the company in question). In addition, an individual may be subject to an “Additional Tax” at the rate of 3% on his income exceeding NIS 649,560 (in 2019). However, the foregoing tax rates will not apply to individuals who (i) are dealers in securities and/or (ii) acquired their shares prior to an initial public offering (and may be subject to a different tax arrangement). A corporate shareholder is generally subject to tax at the Israeli corporate tax rate, which is 23% in 2019.</w:t>
      </w:r>
    </w:p>
    <w:p>
      <w:pPr>
        <w:spacing w:after="0" w:line="179"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According to the Israeli Tax Ordinance, non-Israeli residents should be exempt from Israeli capital gains tax on any gains derived from the sale of their Arcturus-Israel ordinary shares pursuant to the Transaction, provided that (i) they purchased the Arcturus-Israel ordinary shares upon or after Arcturus-Israel’s initial public offering in August 2013, (ii) such gains are not derived from a permanent establishment of such shareholders in Israel, and (iii) they obtained an exemption certificate from the Israel Tax Authority. However, a non-Israeli corporate shareholder will not be entitled to such exemption if Israeli residents (i) have, directly or indirectly, a controlling interest of more than 25% in such non-Israeli corporation, whether directly or indirectly, by themselves or with others; or (ii) are the beneficiaries of or are entitled to 25% or more of the revenues or profits of such non-Israeli corporation, whether directly or indirectly.</w:t>
      </w:r>
    </w:p>
    <w:p>
      <w:pPr>
        <w:spacing w:after="0" w:line="178" w:lineRule="exact"/>
        <w:rPr>
          <w:sz w:val="20"/>
          <w:szCs w:val="20"/>
          <w:color w:val="auto"/>
        </w:rPr>
      </w:pPr>
    </w:p>
    <w:p>
      <w:pPr>
        <w:ind w:left="380" w:right="320" w:firstLine="426"/>
        <w:spacing w:after="0" w:line="277" w:lineRule="auto"/>
        <w:rPr>
          <w:sz w:val="20"/>
          <w:szCs w:val="20"/>
          <w:color w:val="auto"/>
        </w:rPr>
      </w:pPr>
      <w:r>
        <w:rPr>
          <w:rFonts w:ascii="Arial" w:cs="Arial" w:eastAsia="Arial" w:hAnsi="Arial"/>
          <w:sz w:val="18"/>
          <w:szCs w:val="18"/>
          <w:color w:val="auto"/>
        </w:rPr>
        <w:t>In addition, under the US-Israel Tax Treaty (the “Treaty”), the sale, exchange, or other disposition of Arcturus-Israel ordinary shares by a person who (i) holds the ordinary shares as a capital asset, (ii) qualifies as 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24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985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62985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84" w:lineRule="auto"/>
        <w:rPr>
          <w:sz w:val="20"/>
          <w:szCs w:val="20"/>
          <w:color w:val="auto"/>
        </w:rPr>
      </w:pPr>
      <w:r>
        <w:rPr>
          <w:rFonts w:ascii="Arial" w:cs="Arial" w:eastAsia="Arial" w:hAnsi="Arial"/>
          <w:sz w:val="16"/>
          <w:szCs w:val="16"/>
          <w:color w:val="auto"/>
        </w:rPr>
        <w:t>resident of the United States within the meaning of the Treaty, and (iii) is entitled to claim the benefits afforded to such resident by the Treaty (such person being referred to herein as a “Treaty US Resident”) should generally be exempt from Israeli capital gain tax. Such exemption will not apply if (i) such Treaty US Resident is an individual who was present in Israel for a period or periods aggregating 183 days or more during the relevant taxable year; (ii) such Treaty US Resident held, directly or indirectly, shares representing 10% or more of the voting rights of a company during any part of the 12-month period preceding such sale, exchange, or disposition, subject to certain conditions; (iii) the gain arising from such sale, exchange, or disposition can be attributable to a permanent establishment of the shareholder maintained in Israel, subject to certain conditions;</w:t>
      </w:r>
    </w:p>
    <w:p>
      <w:pPr>
        <w:spacing w:after="0" w:line="5" w:lineRule="exact"/>
        <w:rPr>
          <w:sz w:val="20"/>
          <w:szCs w:val="20"/>
          <w:color w:val="auto"/>
        </w:rPr>
      </w:pPr>
    </w:p>
    <w:p>
      <w:pPr>
        <w:ind w:left="380" w:right="100" w:firstLine="6"/>
        <w:spacing w:after="0" w:line="271" w:lineRule="auto"/>
        <w:tabs>
          <w:tab w:leader="none" w:pos="68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capital gains arising from such sale, exchange, or disposition are attributed to real estate located in Israel; or (v) the capital gains arising from such sale, exchange, or disposition are attributed to royalties. In each case, the sale, exchange, or disposition of Arcturus-Israel ordinary shares would be subject to Israeli tax, to the extent applicable. However, under the Treaty, such Treaty US Resident would be permitted to claim a credit for such taxes against the US federal income tax imposed with respect to such sale, exchange, or disposition, under the circumstances and subject to the limitations of the Treaty or the US laws applicable to foreign tax credits.</w:t>
      </w:r>
    </w:p>
    <w:p>
      <w:pPr>
        <w:spacing w:after="0" w:line="179" w:lineRule="exact"/>
        <w:rPr>
          <w:sz w:val="20"/>
          <w:szCs w:val="20"/>
          <w:color w:val="auto"/>
        </w:rPr>
      </w:pPr>
    </w:p>
    <w:p>
      <w:pPr>
        <w:ind w:left="380" w:right="120" w:firstLine="426"/>
        <w:spacing w:after="0" w:line="253" w:lineRule="auto"/>
        <w:rPr>
          <w:sz w:val="20"/>
          <w:szCs w:val="20"/>
          <w:color w:val="auto"/>
        </w:rPr>
      </w:pPr>
      <w:r>
        <w:rPr>
          <w:rFonts w:ascii="Arial" w:cs="Arial" w:eastAsia="Arial" w:hAnsi="Arial"/>
          <w:sz w:val="18"/>
          <w:szCs w:val="18"/>
          <w:color w:val="auto"/>
        </w:rPr>
        <w:t xml:space="preserve">The distribution by Arcturus Israel of the Private Arcturus shares, as is contemplated and described under the caption “STRUCTURE OF THE TRANSACTION” on page 2 of this proxy statement/prospectus, may be classified as (1) a dividend in kind to Arcturus-Delaware, or (2) a capital reduction. In either case, the distribution will trigger an Israeli taxable event for Arcturus Israel and also for its shareholder - Arcturus-Delaware. Under the Israeli Tax Ordinance, the capital gain (if any) by Arcturus Israel would be subject to a 23% tax rate. In addition, the distribution of Private Arcturus shares to Arcturus-Delaware will impose withholding tax obligations in Israel on Arcturus Israel. In the event that the distribution will be classified as a dividend, Arcturus-Delaware may be subject to dividend tax. In the event that the distribution will be classified as a capital reduction, and there was a capital gain, it may trigger a capital gain tax for Arcturus-Delaware. Classification of the distribution as a capital reduction for tax purposes is subject to certain conditions, </w:t>
      </w:r>
      <w:r>
        <w:rPr>
          <w:rFonts w:ascii="Arial" w:cs="Arial" w:eastAsia="Arial" w:hAnsi="Arial"/>
          <w:sz w:val="18"/>
          <w:szCs w:val="18"/>
          <w:i w:val="1"/>
          <w:iCs w:val="1"/>
          <w:color w:val="auto"/>
        </w:rPr>
        <w:t>inter alia</w:t>
      </w:r>
      <w:r>
        <w:rPr>
          <w:rFonts w:ascii="Arial" w:cs="Arial" w:eastAsia="Arial" w:hAnsi="Arial"/>
          <w:sz w:val="18"/>
          <w:szCs w:val="18"/>
          <w:color w:val="auto"/>
        </w:rPr>
        <w:t>, approvals of the Israeli court to the Transaction and the Israeli Tax Authority.</w:t>
      </w:r>
    </w:p>
    <w:p>
      <w:pPr>
        <w:spacing w:after="0" w:line="30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The Tax Ruling</w:t>
      </w:r>
    </w:p>
    <w:p>
      <w:pPr>
        <w:spacing w:after="0" w:line="117" w:lineRule="exact"/>
        <w:rPr>
          <w:sz w:val="20"/>
          <w:szCs w:val="20"/>
          <w:color w:val="auto"/>
        </w:rPr>
      </w:pPr>
    </w:p>
    <w:p>
      <w:pPr>
        <w:ind w:left="380" w:right="60" w:firstLine="426"/>
        <w:spacing w:after="0" w:line="259" w:lineRule="auto"/>
        <w:rPr>
          <w:sz w:val="20"/>
          <w:szCs w:val="20"/>
          <w:color w:val="auto"/>
        </w:rPr>
      </w:pPr>
      <w:r>
        <w:rPr>
          <w:rFonts w:ascii="Arial" w:cs="Arial" w:eastAsia="Arial" w:hAnsi="Arial"/>
          <w:sz w:val="18"/>
          <w:szCs w:val="18"/>
          <w:color w:val="auto"/>
        </w:rPr>
        <w:t>In connection with the Exchange Agreement and the Arcturus Redomiciliation Proposal, Arcturus-Israel has filed, on behalf of its shareholders, an application for a Tax Ruling with the Israel Tax Authority, applicable for non-controlling shareholders (as will be defined below) which are not otherwise exempt from Israeli tax on the Transaction, to treat the Transaction as a tax-deferred transaction for the purposes of Israeli tax laws, in accordance with Section 104H of the Israeli Tax Ordinance.</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Tax Ruling application details the proposed restructure in several steps to be executed simultaneously, as follows:</w:t>
      </w:r>
    </w:p>
    <w:p>
      <w:pPr>
        <w:spacing w:after="0" w:line="131" w:lineRule="exact"/>
        <w:rPr>
          <w:sz w:val="20"/>
          <w:szCs w:val="20"/>
          <w:color w:val="auto"/>
        </w:rPr>
      </w:pPr>
    </w:p>
    <w:p>
      <w:pPr>
        <w:ind w:left="1220" w:hanging="415"/>
        <w:spacing w:after="0"/>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Arcturus-Delaware will be incorporated as a US-resident entity.</w:t>
      </w:r>
    </w:p>
    <w:p>
      <w:pPr>
        <w:spacing w:after="0" w:line="130" w:lineRule="exact"/>
        <w:rPr>
          <w:rFonts w:ascii="Arial" w:cs="Arial" w:eastAsia="Arial" w:hAnsi="Arial"/>
          <w:sz w:val="18"/>
          <w:szCs w:val="18"/>
          <w:color w:val="auto"/>
        </w:rPr>
      </w:pPr>
    </w:p>
    <w:p>
      <w:pPr>
        <w:ind w:left="1220" w:right="260" w:hanging="415"/>
        <w:spacing w:after="0" w:line="277" w:lineRule="auto"/>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Arcturus-Israel’s shareholders and option holders will transfer their holding in Arcturus-Israel to Arcturus-Delaware in exchange for stocks and stocks option issued in Arcturus-Delaware, which will eventually become a listed company.</w:t>
      </w:r>
    </w:p>
    <w:p>
      <w:pPr>
        <w:spacing w:after="0" w:line="75" w:lineRule="exact"/>
        <w:rPr>
          <w:rFonts w:ascii="Arial" w:cs="Arial" w:eastAsia="Arial" w:hAnsi="Arial"/>
          <w:sz w:val="18"/>
          <w:szCs w:val="18"/>
          <w:color w:val="auto"/>
        </w:rPr>
      </w:pPr>
    </w:p>
    <w:p>
      <w:pPr>
        <w:ind w:left="1760" w:right="320" w:hanging="523"/>
        <w:spacing w:after="0" w:line="277" w:lineRule="auto"/>
        <w:tabs>
          <w:tab w:leader="none" w:pos="17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non-Israeli resident shareholders and option holders will transfer their shares and share options in a tax exempt event in accordance with Section 97(b3) of the Israeli Tax Ordinance.</w:t>
      </w:r>
    </w:p>
    <w:p>
      <w:pPr>
        <w:spacing w:after="0" w:line="75" w:lineRule="exact"/>
        <w:rPr>
          <w:rFonts w:ascii="Arial" w:cs="Arial" w:eastAsia="Arial" w:hAnsi="Arial"/>
          <w:sz w:val="18"/>
          <w:szCs w:val="18"/>
          <w:color w:val="auto"/>
        </w:rPr>
      </w:pPr>
    </w:p>
    <w:p>
      <w:pPr>
        <w:ind w:left="1760" w:right="460" w:hanging="523"/>
        <w:spacing w:after="0" w:line="277" w:lineRule="auto"/>
        <w:tabs>
          <w:tab w:leader="none" w:pos="17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non-controlling Israeli resident shareholders will transfer their shares as a tax-deferred transaction in accordance with Section 104H of the Israeli Tax Ordinance.</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Arcturus-Israel may choose to distribute Private Arcturus shares as a dividend in kind to Arcturus-Delaware, in a taxable event.</w:t>
      </w:r>
    </w:p>
    <w:p>
      <w:pPr>
        <w:spacing w:after="0" w:line="237" w:lineRule="exact"/>
        <w:rPr>
          <w:sz w:val="20"/>
          <w:szCs w:val="20"/>
          <w:color w:val="auto"/>
        </w:rPr>
      </w:pPr>
    </w:p>
    <w:p>
      <w:pPr>
        <w:ind w:left="380" w:right="480" w:firstLine="426"/>
        <w:spacing w:after="0" w:line="277" w:lineRule="auto"/>
        <w:rPr>
          <w:sz w:val="20"/>
          <w:szCs w:val="20"/>
          <w:color w:val="auto"/>
        </w:rPr>
      </w:pPr>
      <w:r>
        <w:rPr>
          <w:rFonts w:ascii="Arial" w:cs="Arial" w:eastAsia="Arial" w:hAnsi="Arial"/>
          <w:sz w:val="18"/>
          <w:szCs w:val="18"/>
          <w:color w:val="auto"/>
        </w:rPr>
        <w:t>The Tax Ruling application requests to approve that the exchange of Arcturus-Israel ordinary shares by non-controlling Israeli resident shareholders for stocks issued in Arcturus-Delaware (as detailed in subsection 2(b)</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240" w:top="459" w:right="6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59" w:lineRule="auto"/>
        <w:rPr>
          <w:sz w:val="20"/>
          <w:szCs w:val="20"/>
          <w:color w:val="auto"/>
        </w:rPr>
      </w:pPr>
      <w:r>
        <w:rPr>
          <w:rFonts w:ascii="Arial" w:cs="Arial" w:eastAsia="Arial" w:hAnsi="Arial"/>
          <w:sz w:val="18"/>
          <w:szCs w:val="18"/>
          <w:color w:val="auto"/>
        </w:rPr>
        <w:t>above) shall not be treated as a “sale” pursuant to Section E of the Israeli Tax Ordinance on the date of the share exchange, but rather will be considered a tax-deferred transaction until the actual sale of the stocks issued in Arcturus-Delaware, all in accordance with the provisions and terms to be determined within the Tax Ruling. (Additional exemptions were also requested in the Tax Ruling application regarding certain provision of Section 104H.)</w:t>
      </w:r>
    </w:p>
    <w:p>
      <w:pPr>
        <w:spacing w:after="0" w:line="187"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Nevertheless, the Tax Ruling application does not request the Israeli Tax Authority to rule either in regard to the tax exemption for non-Israeli resident shareholders and option holders under Section 97(b3) of the Israeli Tax Ordinance (as detailed in subsection 2(a) above), or in regard to the Private Arcturus shares’ distribution as a dividend in kind to Arcturus-Delaware (as detailed in subsection 3 above). Therefore, the Tax Ruling will not make a ruling on such matters. It should be noted that regardless of the Tax Ruling, the distribution of the Private Arcturus shares as a dividend in kind to Arcturus-Delaware, or as a capital reduction, will be executed, if Arcturus determines to proceed with this step, as a taxable event and may have tax implications on Arcturus-Israel and Arcturus-Delaware as its shareholder as described above.</w:t>
      </w:r>
    </w:p>
    <w:p>
      <w:pPr>
        <w:spacing w:after="0" w:line="178" w:lineRule="exact"/>
        <w:rPr>
          <w:sz w:val="20"/>
          <w:szCs w:val="20"/>
          <w:color w:val="auto"/>
        </w:rPr>
      </w:pPr>
    </w:p>
    <w:p>
      <w:pPr>
        <w:ind w:left="380" w:right="100" w:firstLine="426"/>
        <w:spacing w:after="0" w:line="297" w:lineRule="auto"/>
        <w:rPr>
          <w:sz w:val="20"/>
          <w:szCs w:val="20"/>
          <w:color w:val="auto"/>
        </w:rPr>
      </w:pPr>
      <w:r>
        <w:rPr>
          <w:rFonts w:ascii="Arial" w:cs="Arial" w:eastAsia="Arial" w:hAnsi="Arial"/>
          <w:sz w:val="16"/>
          <w:szCs w:val="16"/>
          <w:color w:val="auto"/>
        </w:rPr>
        <w:t>The Tax Ruling is not applicable for “Controlling Shareholders”. For such “Controlling shareholders” the provisions of the Israeli Tax Ordinance or any other provisions given by the Israeli Tax Authority under separate specific ruling (if any) shall apply. The term “Controlling Shareholders” is defined under the Israeli Tax Ordinance as a person who holds, or is entitled to purchase, directly or indirectly, alone or together with a relative, one of the following: (1) at least 5% of the issued share capital of the company; (2) at least 5% of the voting rights in the company; (3) the right to receive at least 5% of the company’s profits or assets upon liquidation; (4) The right to appoint a manager to the company.</w:t>
      </w:r>
    </w:p>
    <w:p>
      <w:pPr>
        <w:spacing w:after="0" w:line="158" w:lineRule="exact"/>
        <w:rPr>
          <w:sz w:val="20"/>
          <w:szCs w:val="20"/>
          <w:color w:val="auto"/>
        </w:rPr>
      </w:pPr>
    </w:p>
    <w:p>
      <w:pPr>
        <w:ind w:left="380" w:right="60" w:firstLine="426"/>
        <w:spacing w:after="0" w:line="312" w:lineRule="auto"/>
        <w:rPr>
          <w:sz w:val="20"/>
          <w:szCs w:val="20"/>
          <w:color w:val="auto"/>
        </w:rPr>
      </w:pPr>
      <w:r>
        <w:rPr>
          <w:rFonts w:ascii="Arial" w:cs="Arial" w:eastAsia="Arial" w:hAnsi="Arial"/>
          <w:sz w:val="16"/>
          <w:szCs w:val="16"/>
          <w:color w:val="auto"/>
        </w:rPr>
        <w:t>In addition, the Tax Ruling is not applicable for Arcturus Israel option holders or any holders of debentures convertible into Arcturus Israel stocks and / or shares allocated to employees whose sale is subject to the provisions of Section 102 of the Ordinance. For such option holders the provisions of the Israeli Tax Ordinance or any other provisions given by the Israeli Tax Authority under separate specific ruling (if any) shall apply</w:t>
      </w:r>
    </w:p>
    <w:p>
      <w:pPr>
        <w:spacing w:after="0" w:line="147" w:lineRule="exact"/>
        <w:rPr>
          <w:sz w:val="20"/>
          <w:szCs w:val="20"/>
          <w:color w:val="auto"/>
        </w:rPr>
      </w:pPr>
    </w:p>
    <w:p>
      <w:pPr>
        <w:ind w:left="380" w:right="80" w:firstLine="426"/>
        <w:spacing w:after="0" w:line="254" w:lineRule="auto"/>
        <w:rPr>
          <w:sz w:val="20"/>
          <w:szCs w:val="20"/>
          <w:color w:val="auto"/>
        </w:rPr>
      </w:pPr>
      <w:r>
        <w:rPr>
          <w:rFonts w:ascii="Arial" w:cs="Arial" w:eastAsia="Arial" w:hAnsi="Arial"/>
          <w:sz w:val="18"/>
          <w:szCs w:val="18"/>
          <w:color w:val="auto"/>
        </w:rPr>
        <w:t>NOTE THAT THERE IS NO ASSURANCE THAT SUCH TAX RULING WILL BE OBTAINED FROM THE ISRAEL TAX AUTHORITY PRIOR TO THE CONSUMMATION OF THE TRANSACTION, NOR THAT, IF IT IS OBTAINED, IT WILL PROVIDE THE FOREGOING. IF SUCH TAX RULING IS NOT OBTAINED PRIOR TO SUCH TIME, AND THE TRANSACTION IS STILL EFFECTED, THE TRANSACTION WILL BE SUBJECT TO TAX AS A SALE OF SHARES BY EACH OF ARCTURUS-ISRAEL’S SHAREHOLDERS AT THE RATE OF 25% OR IN ACCORDANCE WITH OTHER APPLICABLE RATES AS DETAILED ABOVE OR OTHER INSTRUCTIONS PROVIDED BY THE ISRAEL TAX AUTHORITY. IN ADDITION, ARCTURUS-DELAWARE MAY BE SUBJECT TO WITHHOLDING TAX OBLIGATIONS. IF SUCH TAX RULING PROVIDES OTHER INSTRUCTIONS THAN THOSE DESCRIBED ABOVE, ARCTURUS-DELAWARE WILL BE REQUIRED TO COMPLY WITH SUCH TAX RULING.</w:t>
      </w:r>
    </w:p>
    <w:p>
      <w:pPr>
        <w:spacing w:after="0" w:line="29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Comparison of Rights</w:t>
      </w:r>
    </w:p>
    <w:p>
      <w:pPr>
        <w:spacing w:after="0" w:line="121" w:lineRule="exact"/>
        <w:rPr>
          <w:sz w:val="20"/>
          <w:szCs w:val="20"/>
          <w:color w:val="auto"/>
        </w:rPr>
      </w:pPr>
    </w:p>
    <w:p>
      <w:pPr>
        <w:ind w:left="380" w:right="20" w:firstLine="426"/>
        <w:spacing w:after="0" w:line="259" w:lineRule="auto"/>
        <w:rPr>
          <w:sz w:val="20"/>
          <w:szCs w:val="20"/>
          <w:color w:val="auto"/>
        </w:rPr>
      </w:pPr>
      <w:r>
        <w:rPr>
          <w:rFonts w:ascii="Arial" w:cs="Arial" w:eastAsia="Arial" w:hAnsi="Arial"/>
          <w:sz w:val="18"/>
          <w:szCs w:val="18"/>
          <w:color w:val="auto"/>
        </w:rPr>
        <w:t>Many of the principal attributes of Arcturus-Israel’s ordinary shares and Arcturus-Delaware’s shares of common stock will be similar. However, there are differences between what your rights will be under Delaware law and what they currently are under Israel law. In addition, there are differences between Arcturus-Israel’s constitution and Arcturus-Delaware’s certificate of incorporation and bylaws as they will be in effect upon the completion of the Transaction.</w:t>
      </w:r>
    </w:p>
    <w:p>
      <w:pPr>
        <w:spacing w:after="0" w:line="187" w:lineRule="exact"/>
        <w:rPr>
          <w:sz w:val="20"/>
          <w:szCs w:val="20"/>
          <w:color w:val="auto"/>
        </w:rPr>
      </w:pPr>
    </w:p>
    <w:p>
      <w:pPr>
        <w:ind w:left="380" w:right="80" w:firstLine="426"/>
        <w:spacing w:after="0" w:line="286" w:lineRule="auto"/>
        <w:rPr>
          <w:sz w:val="20"/>
          <w:szCs w:val="20"/>
          <w:color w:val="auto"/>
        </w:rPr>
      </w:pPr>
      <w:r>
        <w:rPr>
          <w:rFonts w:ascii="Arial" w:cs="Arial" w:eastAsia="Arial" w:hAnsi="Arial"/>
          <w:sz w:val="17"/>
          <w:szCs w:val="17"/>
          <w:color w:val="auto"/>
        </w:rPr>
        <w:t>We discuss these differences under “Description of Arcturus-Delaware Capital Stock” and “Comparison of Rights of Israel Shareholders and Delaware Stockholders.” Arcturus-Delaware’s certificate of incorporation and bylaws, in the form substantially as they will be in effect upon completion of the Transaction, are attached as Annex B and Annex C, respectively, to this proxy statement/prospectus.</w:t>
      </w:r>
    </w:p>
    <w:p>
      <w:pPr>
        <w:spacing w:after="0" w:line="200" w:lineRule="exact"/>
        <w:rPr>
          <w:sz w:val="20"/>
          <w:szCs w:val="20"/>
          <w:color w:val="auto"/>
        </w:rPr>
      </w:pPr>
    </w:p>
    <w:p>
      <w:pPr>
        <w:spacing w:after="0" w:line="39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40"/>
          </w:cols>
          <w:pgMar w:left="240" w:top="459" w:right="6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9418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69418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380" w:right="100" w:firstLine="426"/>
        <w:spacing w:after="0" w:line="264" w:lineRule="auto"/>
        <w:rPr>
          <w:sz w:val="20"/>
          <w:szCs w:val="20"/>
          <w:color w:val="auto"/>
        </w:rPr>
      </w:pPr>
      <w:r>
        <w:rPr>
          <w:rFonts w:ascii="Arial" w:cs="Arial" w:eastAsia="Arial" w:hAnsi="Arial"/>
          <w:sz w:val="18"/>
          <w:szCs w:val="18"/>
          <w:color w:val="auto"/>
        </w:rPr>
        <w:t>We will submit a notification form with NASDAQ and expect that, upon the consummation of the Transaction, Arcturus-Delaware shares of common stock will be listed on NASDAQ under the symbol “ARCT,” the same symbol under which your Arcturus-Israel ordinary shares are currently listed.</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Approval of the Scheme of Arrangement by the Israel Court</w:t>
      </w:r>
    </w:p>
    <w:p>
      <w:pPr>
        <w:spacing w:after="0" w:line="121" w:lineRule="exact"/>
        <w:rPr>
          <w:sz w:val="20"/>
          <w:szCs w:val="20"/>
          <w:color w:val="auto"/>
        </w:rPr>
      </w:pPr>
    </w:p>
    <w:p>
      <w:pPr>
        <w:ind w:left="380" w:right="180" w:firstLine="426"/>
        <w:spacing w:after="0" w:line="279" w:lineRule="auto"/>
        <w:rPr>
          <w:sz w:val="20"/>
          <w:szCs w:val="20"/>
          <w:color w:val="auto"/>
        </w:rPr>
      </w:pPr>
      <w:r>
        <w:rPr>
          <w:rFonts w:ascii="Arial" w:cs="Arial" w:eastAsia="Arial" w:hAnsi="Arial"/>
          <w:sz w:val="17"/>
          <w:szCs w:val="17"/>
          <w:color w:val="auto"/>
        </w:rPr>
        <w:t>Arcturus-Israel has made an application to the Israel Court for an order to convene the Special Meeting, and such application was approved on March 13, 2019. Subsequent and subject to approval of the Arcturus Redomiciliation Proposal by the requisite Arcturus-Israel shareholders, Arcturus-Israel must then apply to the Israel Court for the Israel Court Order. If (i) the Israel Court Order is granted, and (ii) the conditions to closing contained in the Exchange Agreement are satisfied, the Scheme of Arrangement will become effective</w:t>
      </w:r>
      <w:r>
        <w:rPr>
          <w:rFonts w:ascii="Arial" w:cs="Arial" w:eastAsia="Arial" w:hAnsi="Arial"/>
          <w:sz w:val="17"/>
          <w:szCs w:val="17"/>
          <w:i w:val="1"/>
          <w:iCs w:val="1"/>
          <w:color w:val="auto"/>
        </w:rPr>
        <w:t>.</w:t>
      </w:r>
    </w:p>
    <w:p>
      <w:pPr>
        <w:spacing w:after="0" w:line="171"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color w:val="auto"/>
        </w:rPr>
        <w:t>The approval by the shareholders of Arcturus-Israel and/or the Israel Court of the Scheme of Arrangement shall remain valid notwithstanding any change in the business or financial condition of, or any transactions undertaken by us.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Amendment</w:t>
      </w:r>
    </w:p>
    <w:p>
      <w:pPr>
        <w:spacing w:after="0" w:line="121" w:lineRule="exact"/>
        <w:rPr>
          <w:sz w:val="20"/>
          <w:szCs w:val="20"/>
          <w:color w:val="auto"/>
        </w:rPr>
      </w:pPr>
    </w:p>
    <w:p>
      <w:pPr>
        <w:ind w:left="380" w:right="140" w:firstLine="426"/>
        <w:spacing w:after="0" w:line="264" w:lineRule="auto"/>
        <w:rPr>
          <w:sz w:val="20"/>
          <w:szCs w:val="20"/>
          <w:color w:val="auto"/>
        </w:rPr>
      </w:pPr>
      <w:r>
        <w:rPr>
          <w:rFonts w:ascii="Arial" w:cs="Arial" w:eastAsia="Arial" w:hAnsi="Arial"/>
          <w:sz w:val="18"/>
          <w:szCs w:val="18"/>
          <w:color w:val="auto"/>
        </w:rPr>
        <w:t>The Scheme of Arrangement may be amended, modified or supplemented at any time before or after its approval by the shareholders of Arcturus-Israel at the Special Meeting. However, after approval, no amendment, modification or supplement may be made or effected that legally requires further approval by Arcturus-Israel shareholders without obtaining such approval.</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Effective Date of the Transaction</w:t>
      </w:r>
    </w:p>
    <w:p>
      <w:pPr>
        <w:spacing w:after="0" w:line="121" w:lineRule="exact"/>
        <w:rPr>
          <w:sz w:val="20"/>
          <w:szCs w:val="20"/>
          <w:color w:val="auto"/>
        </w:rPr>
      </w:pPr>
    </w:p>
    <w:p>
      <w:pPr>
        <w:ind w:left="380" w:right="120" w:firstLine="426"/>
        <w:spacing w:after="0" w:line="277" w:lineRule="auto"/>
        <w:rPr>
          <w:sz w:val="20"/>
          <w:szCs w:val="20"/>
          <w:color w:val="auto"/>
        </w:rPr>
      </w:pPr>
      <w:r>
        <w:rPr>
          <w:rFonts w:ascii="Arial" w:cs="Arial" w:eastAsia="Arial" w:hAnsi="Arial"/>
          <w:sz w:val="18"/>
          <w:szCs w:val="18"/>
          <w:color w:val="auto"/>
        </w:rPr>
        <w:t>In accordance with the terms of the Exchange Agreement, Arcturus-Israel shall file an application on behalf of its shareholders with the ITA in order to receive the Tax Ruling.</w:t>
      </w:r>
    </w:p>
    <w:p>
      <w:pPr>
        <w:spacing w:after="0" w:line="170" w:lineRule="exact"/>
        <w:rPr>
          <w:sz w:val="20"/>
          <w:szCs w:val="20"/>
          <w:color w:val="auto"/>
        </w:rPr>
      </w:pPr>
    </w:p>
    <w:p>
      <w:pPr>
        <w:ind w:left="380" w:right="620" w:firstLine="426"/>
        <w:spacing w:after="0" w:line="277" w:lineRule="auto"/>
        <w:rPr>
          <w:sz w:val="20"/>
          <w:szCs w:val="20"/>
          <w:color w:val="auto"/>
        </w:rPr>
      </w:pPr>
      <w:r>
        <w:rPr>
          <w:rFonts w:ascii="Arial" w:cs="Arial" w:eastAsia="Arial" w:hAnsi="Arial"/>
          <w:sz w:val="18"/>
          <w:szCs w:val="18"/>
          <w:color w:val="auto"/>
        </w:rPr>
        <w:t>If the conditions set forth in the Exchange Agreement are not satisfied by the Long Stop Date, the Scheme of Arrangement will lapse pursuant to its terms and the Transaction will not be effected.</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Accounting Treatment of the Transaction</w:t>
      </w:r>
    </w:p>
    <w:p>
      <w:pPr>
        <w:spacing w:after="0" w:line="121" w:lineRule="exact"/>
        <w:rPr>
          <w:sz w:val="20"/>
          <w:szCs w:val="20"/>
          <w:color w:val="auto"/>
        </w:rPr>
      </w:pPr>
    </w:p>
    <w:p>
      <w:pPr>
        <w:ind w:left="380" w:right="100" w:firstLine="426"/>
        <w:spacing w:after="0" w:line="286" w:lineRule="auto"/>
        <w:rPr>
          <w:sz w:val="20"/>
          <w:szCs w:val="20"/>
          <w:color w:val="auto"/>
        </w:rPr>
      </w:pPr>
      <w:r>
        <w:rPr>
          <w:rFonts w:ascii="Arial" w:cs="Arial" w:eastAsia="Arial" w:hAnsi="Arial"/>
          <w:sz w:val="17"/>
          <w:szCs w:val="17"/>
          <w:color w:val="auto"/>
        </w:rPr>
        <w:t>Under U.S. GAAP, the Scheme of Arrangement represents a transaction between entities under common control. Assets and liabilities are transferred at carrying value between entities under common control. Accordingly, the assets and liabilities of Arcturus-Delaware will be reflected at the same carrying amounts as in the accounts of Arcturus-Israel at the effective time of the Scheme of Arrangement.</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Special Meeting</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Time, Place, Date and Purpose</w:t>
      </w:r>
      <w:r>
        <w:rPr>
          <w:rFonts w:ascii="Arial" w:cs="Arial" w:eastAsia="Arial" w:hAnsi="Arial"/>
          <w:sz w:val="18"/>
          <w:szCs w:val="18"/>
          <w:i w:val="1"/>
          <w:iCs w:val="1"/>
          <w:color w:val="auto"/>
        </w:rPr>
        <w:t>.</w:t>
      </w:r>
    </w:p>
    <w:p>
      <w:pPr>
        <w:spacing w:after="0" w:line="225" w:lineRule="exact"/>
        <w:rPr>
          <w:sz w:val="20"/>
          <w:szCs w:val="20"/>
          <w:color w:val="auto"/>
        </w:rPr>
      </w:pPr>
    </w:p>
    <w:p>
      <w:pPr>
        <w:ind w:left="380" w:right="180" w:firstLine="426"/>
        <w:spacing w:after="0" w:line="277" w:lineRule="auto"/>
        <w:rPr>
          <w:sz w:val="20"/>
          <w:szCs w:val="20"/>
          <w:color w:val="auto"/>
        </w:rPr>
      </w:pPr>
      <w:r>
        <w:rPr>
          <w:rFonts w:ascii="Arial" w:cs="Arial" w:eastAsia="Arial" w:hAnsi="Arial"/>
          <w:sz w:val="18"/>
          <w:szCs w:val="18"/>
          <w:color w:val="auto"/>
        </w:rPr>
        <w:t>The Special Meeting will be held on May 17, 2019 at 8:00 a.m. Pacific time at the offices of Dentons US LLP, our outside counsel, at 4655 Executive Drive, Suite 700, San Diego, CA 92121.</w:t>
      </w:r>
    </w:p>
    <w:p>
      <w:pPr>
        <w:spacing w:after="0" w:line="170" w:lineRule="exact"/>
        <w:rPr>
          <w:sz w:val="20"/>
          <w:szCs w:val="20"/>
          <w:color w:val="auto"/>
        </w:rPr>
      </w:pPr>
    </w:p>
    <w:p>
      <w:pPr>
        <w:ind w:left="380" w:right="80" w:firstLine="426"/>
        <w:spacing w:after="0" w:line="293" w:lineRule="auto"/>
        <w:rPr>
          <w:sz w:val="20"/>
          <w:szCs w:val="20"/>
          <w:color w:val="auto"/>
        </w:rPr>
      </w:pPr>
      <w:r>
        <w:rPr>
          <w:rFonts w:ascii="Arial" w:cs="Arial" w:eastAsia="Arial" w:hAnsi="Arial"/>
          <w:sz w:val="16"/>
          <w:szCs w:val="16"/>
          <w:color w:val="auto"/>
        </w:rPr>
        <w:t>At the Special Meeting, Arcturus-Israel’s board of directors will ask the holders of ordinary shares in the capital of Arcturus-Israel to vote to approve the Scheme of Arrangement. If the Scheme of Arrangement is approved and becomes effective, it will effect the Transaction, pursuant to which your ordinary shares of Arcturus-Israel will be transferred to Arcturus-Delaware and you will receive, on a one-for-one basis, new shares of common stock of Arcturus-Delaware in exchange for each ordinary share of Arcturus-Israel that has been transferred and your options to purchase ordinary shares of Arcturus-Israel will be cancelled and you will be granted new options to purchase common stock of Arcturus-Delaware in exchange for each option to purchase ordinary shares of Arcturus-Israel that you currently hold.</w:t>
      </w:r>
    </w:p>
    <w:p>
      <w:pPr>
        <w:spacing w:after="0" w:line="200" w:lineRule="exact"/>
        <w:rPr>
          <w:sz w:val="20"/>
          <w:szCs w:val="20"/>
          <w:color w:val="auto"/>
        </w:rPr>
      </w:pPr>
    </w:p>
    <w:p>
      <w:pPr>
        <w:spacing w:after="0" w:line="39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24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67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66675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Record Date for determining the Scheme Shareholders who are entitled to vote at the Special Meeting is April 8, 2019.</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21" w:lineRule="exact"/>
        <w:rPr>
          <w:sz w:val="20"/>
          <w:szCs w:val="20"/>
          <w:color w:val="auto"/>
        </w:rPr>
      </w:pPr>
    </w:p>
    <w:p>
      <w:pPr>
        <w:ind w:left="380" w:right="300" w:firstLine="426"/>
        <w:spacing w:after="0" w:line="277" w:lineRule="auto"/>
        <w:rPr>
          <w:sz w:val="20"/>
          <w:szCs w:val="20"/>
          <w:color w:val="auto"/>
        </w:rPr>
      </w:pPr>
      <w:r>
        <w:rPr>
          <w:rFonts w:ascii="Arial" w:cs="Arial" w:eastAsia="Arial" w:hAnsi="Arial"/>
          <w:sz w:val="18"/>
          <w:szCs w:val="18"/>
          <w:color w:val="auto"/>
        </w:rPr>
        <w:t>The Arcturus-Israel board of directors unanimously recommends that Arcturus-Israel shareholders vote “FOR” the Arcturus Redomiciliation Proposal.</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Quorum and Required Vote</w:t>
      </w:r>
    </w:p>
    <w:p>
      <w:pPr>
        <w:spacing w:after="0" w:line="121" w:lineRule="exact"/>
        <w:rPr>
          <w:sz w:val="20"/>
          <w:szCs w:val="20"/>
          <w:color w:val="auto"/>
        </w:rPr>
      </w:pPr>
    </w:p>
    <w:p>
      <w:pPr>
        <w:ind w:left="380" w:right="200" w:firstLine="426"/>
        <w:spacing w:after="0" w:line="259" w:lineRule="auto"/>
        <w:rPr>
          <w:sz w:val="20"/>
          <w:szCs w:val="20"/>
          <w:color w:val="auto"/>
        </w:rPr>
      </w:pPr>
      <w:r>
        <w:rPr>
          <w:rFonts w:ascii="Arial" w:cs="Arial" w:eastAsia="Arial" w:hAnsi="Arial"/>
          <w:sz w:val="18"/>
          <w:szCs w:val="18"/>
          <w:color w:val="auto"/>
        </w:rPr>
        <w:t>A quorum is required for the transaction of business at the Special Meeting. The presence, in person or by proxy, at the Special Meeting of the Scheme Shareholders as of the Record Date of at least two Scheme Shareholders holding at least one-third of the voting rights (including presence by means of proxy or through a voting deed) within an hour from the time specified for the opening of the Special Meeting. will constitute a quorum.</w:t>
      </w:r>
    </w:p>
    <w:p>
      <w:pPr>
        <w:spacing w:after="0" w:line="187" w:lineRule="exact"/>
        <w:rPr>
          <w:sz w:val="20"/>
          <w:szCs w:val="20"/>
          <w:color w:val="auto"/>
        </w:rPr>
      </w:pPr>
    </w:p>
    <w:p>
      <w:pPr>
        <w:ind w:left="380" w:right="220" w:firstLine="426"/>
        <w:spacing w:after="0" w:line="277" w:lineRule="auto"/>
        <w:rPr>
          <w:sz w:val="20"/>
          <w:szCs w:val="20"/>
          <w:color w:val="auto"/>
        </w:rPr>
      </w:pPr>
      <w:r>
        <w:rPr>
          <w:rFonts w:ascii="Arial" w:cs="Arial" w:eastAsia="Arial" w:hAnsi="Arial"/>
          <w:sz w:val="18"/>
          <w:szCs w:val="18"/>
          <w:color w:val="auto"/>
        </w:rPr>
        <w:t>To be approved, the Arcturus Redomiciliation Proposal must receive the affirmative vote of 75% of the issued Arcturus-Israel ordinary shares held by the Scheme Shareholders present and voting, either in person or by proxy, at the Special Meeting.</w:t>
      </w:r>
    </w:p>
    <w:p>
      <w:pPr>
        <w:spacing w:after="0" w:line="170" w:lineRule="exact"/>
        <w:rPr>
          <w:sz w:val="20"/>
          <w:szCs w:val="20"/>
          <w:color w:val="auto"/>
        </w:rPr>
      </w:pPr>
    </w:p>
    <w:p>
      <w:pPr>
        <w:ind w:left="380" w:right="360" w:firstLine="426"/>
        <w:spacing w:after="0" w:line="277" w:lineRule="auto"/>
        <w:rPr>
          <w:sz w:val="20"/>
          <w:szCs w:val="20"/>
          <w:color w:val="auto"/>
        </w:rPr>
      </w:pPr>
      <w:r>
        <w:rPr>
          <w:rFonts w:ascii="Arial" w:cs="Arial" w:eastAsia="Arial" w:hAnsi="Arial"/>
          <w:sz w:val="18"/>
          <w:szCs w:val="18"/>
          <w:color w:val="auto"/>
        </w:rPr>
        <w:t>Each holder of Arcturus-Israel ordinary shares represented in person or by proxy at the Special Meeting is entitled to one vote per Arcturus-Israel ordinary share owned as of the Record Date.</w:t>
      </w:r>
    </w:p>
    <w:p>
      <w:pPr>
        <w:spacing w:after="0" w:line="170" w:lineRule="exact"/>
        <w:rPr>
          <w:sz w:val="20"/>
          <w:szCs w:val="20"/>
          <w:color w:val="auto"/>
        </w:rPr>
      </w:pPr>
    </w:p>
    <w:p>
      <w:pPr>
        <w:ind w:left="380" w:right="340" w:firstLine="426"/>
        <w:spacing w:after="0" w:line="277" w:lineRule="auto"/>
        <w:rPr>
          <w:sz w:val="20"/>
          <w:szCs w:val="20"/>
          <w:color w:val="auto"/>
        </w:rPr>
      </w:pPr>
      <w:r>
        <w:rPr>
          <w:rFonts w:ascii="Arial" w:cs="Arial" w:eastAsia="Arial" w:hAnsi="Arial"/>
          <w:sz w:val="18"/>
          <w:szCs w:val="18"/>
          <w:color w:val="auto"/>
        </w:rPr>
        <w:t>As of April 8, 2019, the Record Date, there were 10,761,523 ordinary shares and in the capital of Arcturus-Israel outstanding and we had 50 shareholders of record.</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Summary Financial Data</w:t>
      </w:r>
    </w:p>
    <w:p>
      <w:pPr>
        <w:spacing w:after="0" w:line="121" w:lineRule="exact"/>
        <w:rPr>
          <w:sz w:val="20"/>
          <w:szCs w:val="20"/>
          <w:color w:val="auto"/>
        </w:rPr>
      </w:pPr>
    </w:p>
    <w:p>
      <w:pPr>
        <w:ind w:left="380" w:right="900" w:firstLine="426"/>
        <w:spacing w:after="0" w:line="277" w:lineRule="auto"/>
        <w:rPr>
          <w:sz w:val="20"/>
          <w:szCs w:val="20"/>
          <w:color w:val="auto"/>
        </w:rPr>
      </w:pPr>
      <w:r>
        <w:rPr>
          <w:rFonts w:ascii="Arial" w:cs="Arial" w:eastAsia="Arial" w:hAnsi="Arial"/>
          <w:sz w:val="18"/>
          <w:szCs w:val="18"/>
          <w:color w:val="auto"/>
        </w:rPr>
        <w:t>The following tables set forth the selected historical consolidated financial data for Arcturus-Israel for each of the fiscal years ended December 31, 2014-December 31, 2018 (although December 31, 2014 is unaudited).</w:t>
      </w:r>
    </w:p>
    <w:p>
      <w:pPr>
        <w:spacing w:after="0" w:line="170" w:lineRule="exact"/>
        <w:rPr>
          <w:sz w:val="20"/>
          <w:szCs w:val="20"/>
          <w:color w:val="auto"/>
        </w:rPr>
      </w:pPr>
    </w:p>
    <w:p>
      <w:pPr>
        <w:ind w:left="380" w:right="300" w:firstLine="426"/>
        <w:spacing w:after="0" w:line="264" w:lineRule="auto"/>
        <w:rPr>
          <w:sz w:val="20"/>
          <w:szCs w:val="20"/>
          <w:color w:val="auto"/>
        </w:rPr>
      </w:pPr>
      <w:r>
        <w:rPr>
          <w:rFonts w:ascii="Arial" w:cs="Arial" w:eastAsia="Arial" w:hAnsi="Arial"/>
          <w:sz w:val="18"/>
          <w:szCs w:val="18"/>
          <w:color w:val="auto"/>
        </w:rPr>
        <w:t>The selected historical financial data below should be read in conjunction with the consolidated financial statements and their accompanying notes and “Management’s Discussion and Analysis of Financial Condition and Results of Operations” contained herein. Historical financial information may not be indicative of Arcturus-Delaware’s future performance.</w:t>
      </w:r>
    </w:p>
    <w:p>
      <w:pPr>
        <w:spacing w:after="0" w:line="181" w:lineRule="exact"/>
        <w:rPr>
          <w:sz w:val="20"/>
          <w:szCs w:val="20"/>
          <w:color w:val="auto"/>
        </w:rPr>
      </w:pPr>
    </w:p>
    <w:p>
      <w:pPr>
        <w:ind w:left="380" w:right="420" w:firstLine="426"/>
        <w:spacing w:after="0" w:line="277" w:lineRule="auto"/>
        <w:rPr>
          <w:sz w:val="20"/>
          <w:szCs w:val="20"/>
          <w:color w:val="auto"/>
        </w:rPr>
      </w:pPr>
      <w:r>
        <w:rPr>
          <w:rFonts w:ascii="Arial" w:cs="Arial" w:eastAsia="Arial" w:hAnsi="Arial"/>
          <w:sz w:val="18"/>
          <w:szCs w:val="18"/>
          <w:color w:val="auto"/>
        </w:rPr>
        <w:t>We have included no data for Arcturus-Delaware because this entity was incorporated on January 28, 2019 and was not in existence during any of the periods shown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92"/>
              </w:rPr>
              <w:t>For the year ended December 31,</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89"/>
              </w:rPr>
              <w:t>2016</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15,753</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12,998</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20,382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Research and development, net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16,982</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15,918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17,934</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5,476</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20,582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3,448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2,574</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Net loss from operations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(21,811)</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(10,492)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(1,912)</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(5,977)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(21,785)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(10,902)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(1,571)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(1,902)</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(3.53)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(0.94)</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basic and diluted</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10,069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2,032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198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719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2018</w:t>
            </w:r>
          </w:p>
        </w:tc>
        <w:tc>
          <w:tcPr>
            <w:tcW w:w="340" w:type="dxa"/>
            <w:vAlign w:val="bottom"/>
          </w:tcPr>
          <w:p>
            <w:pPr>
              <w:spacing w:after="0"/>
              <w:rPr>
                <w:sz w:val="14"/>
                <w:szCs w:val="14"/>
                <w:color w:val="auto"/>
              </w:rPr>
            </w:pPr>
          </w:p>
        </w:tc>
        <w:tc>
          <w:tcPr>
            <w:tcW w:w="6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$29,251</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$39,662</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9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$44,198</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$52,024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13,736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14,947</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 (deficit)</w:t>
            </w:r>
          </w:p>
        </w:tc>
        <w:tc>
          <w:tcPr>
            <w:tcW w:w="9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2"/>
              </w:rPr>
              <w:t>$13,642</w:t>
            </w: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$33,794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(3,631)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Price and Dividend Policy</w:t>
      </w:r>
    </w:p>
    <w:p>
      <w:pPr>
        <w:spacing w:after="0" w:line="121" w:lineRule="exact"/>
        <w:rPr>
          <w:sz w:val="20"/>
          <w:szCs w:val="20"/>
          <w:color w:val="auto"/>
        </w:rPr>
      </w:pPr>
    </w:p>
    <w:p>
      <w:pPr>
        <w:jc w:val="both"/>
        <w:ind w:left="380" w:right="140" w:firstLine="426"/>
        <w:spacing w:after="0" w:line="264" w:lineRule="auto"/>
        <w:rPr>
          <w:sz w:val="20"/>
          <w:szCs w:val="20"/>
          <w:color w:val="auto"/>
        </w:rPr>
      </w:pPr>
      <w:r>
        <w:rPr>
          <w:rFonts w:ascii="Arial" w:cs="Arial" w:eastAsia="Arial" w:hAnsi="Arial"/>
          <w:sz w:val="18"/>
          <w:szCs w:val="18"/>
          <w:color w:val="auto"/>
        </w:rPr>
        <w:t>Arcturus-Israel ordinary shares are traded on NASDAQ under the symbol “ARCT.” As of April 8, 2019, the Record Date, we had 50 record holders of our ordinary shares. The high and low sales price per ordinary share and the dividend paid per ordinary share for the following periods were as follows:</w:t>
      </w:r>
    </w:p>
    <w:p>
      <w:pPr>
        <w:spacing w:after="0" w:line="181" w:lineRule="exact"/>
        <w:rPr>
          <w:sz w:val="20"/>
          <w:szCs w:val="20"/>
          <w:color w:val="auto"/>
        </w:rPr>
      </w:pPr>
    </w:p>
    <w:p>
      <w:pPr>
        <w:ind w:left="380" w:right="60" w:firstLine="426"/>
        <w:spacing w:after="0" w:line="255" w:lineRule="auto"/>
        <w:rPr>
          <w:sz w:val="20"/>
          <w:szCs w:val="20"/>
          <w:color w:val="auto"/>
        </w:rPr>
      </w:pPr>
      <w:r>
        <w:rPr>
          <w:rFonts w:ascii="Arial" w:cs="Arial" w:eastAsia="Arial" w:hAnsi="Arial"/>
          <w:sz w:val="18"/>
          <w:szCs w:val="18"/>
          <w:color w:val="auto"/>
        </w:rPr>
        <w:t>Our Ordinary Shares have been listed on the NASDAQ Global Market under the symbol “ARCT” since November 15, 2017. Previously, our Ordinary Shares were listed on the NASDAQ Global Market under the symbol “ADHD” beginning May 22, 2013 and beginning on March 28, 2014 our Ordinary Shares were listed on the NASDAQ Global Market under the symbol “ADHD.” Prior to May 22, 2013, there was no public trading market for our Ordinary Shares. Our initial public offering was priced at $8.00 per share on May 21, 2013. The following table sets forth for the periods indicated the high and low sales prices per ordinary share as reported on the NASDAQ Capital Market and the NASDAQ Global Market:</w:t>
      </w:r>
    </w:p>
    <w:p>
      <w:pPr>
        <w:spacing w:after="0" w:line="212" w:lineRule="exact"/>
        <w:rPr>
          <w:sz w:val="20"/>
          <w:szCs w:val="20"/>
          <w:color w:val="auto"/>
        </w:rPr>
      </w:pPr>
    </w:p>
    <w:tbl>
      <w:tblPr>
        <w:tblLayout w:type="fixed"/>
        <w:tblInd w:w="1660" w:type="dxa"/>
        <w:tblCellMar>
          <w:top w:w="0" w:type="dxa"/>
          <w:left w:w="0" w:type="dxa"/>
          <w:bottom w:w="0" w:type="dxa"/>
          <w:right w:w="0" w:type="dxa"/>
        </w:tblCellMar>
      </w:tblPr>
      <w:tr>
        <w:trPr>
          <w:trHeight w:val="19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Annual Information:</w:t>
            </w:r>
          </w:p>
        </w:tc>
        <w:tc>
          <w:tcPr>
            <w:tcW w:w="2480" w:type="dxa"/>
            <w:vAlign w:val="bottom"/>
          </w:tcPr>
          <w:p>
            <w:pPr>
              <w:spacing w:after="0"/>
              <w:rPr>
                <w:sz w:val="16"/>
                <w:szCs w:val="16"/>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Low</w:t>
            </w:r>
          </w:p>
        </w:tc>
        <w:tc>
          <w:tcPr>
            <w:tcW w:w="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High</w:t>
            </w:r>
          </w:p>
        </w:tc>
      </w:tr>
      <w:tr>
        <w:trPr>
          <w:trHeight w:val="203"/>
        </w:trPr>
        <w:tc>
          <w:tcPr>
            <w:tcW w:w="1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2013</w:t>
            </w:r>
          </w:p>
        </w:tc>
        <w:tc>
          <w:tcPr>
            <w:tcW w:w="294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$6.50</w:t>
            </w: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26.96</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2014</w:t>
            </w:r>
          </w:p>
        </w:tc>
        <w:tc>
          <w:tcPr>
            <w:tcW w:w="2940" w:type="dxa"/>
            <w:vAlign w:val="bottom"/>
          </w:tcPr>
          <w:p>
            <w:pPr>
              <w:spacing w:after="0"/>
              <w:rPr>
                <w:sz w:val="18"/>
                <w:szCs w:val="18"/>
                <w:color w:val="auto"/>
              </w:rPr>
            </w:pPr>
          </w:p>
        </w:tc>
        <w:tc>
          <w:tcPr>
            <w:tcW w:w="3340" w:type="dxa"/>
            <w:vAlign w:val="bottom"/>
            <w:gridSpan w:val="3"/>
          </w:tcPr>
          <w:p>
            <w:pPr>
              <w:jc w:val="right"/>
              <w:ind w:right="440"/>
              <w:spacing w:after="0"/>
              <w:rPr>
                <w:sz w:val="20"/>
                <w:szCs w:val="20"/>
                <w:color w:val="auto"/>
              </w:rPr>
            </w:pPr>
            <w:r>
              <w:rPr>
                <w:rFonts w:ascii="Arial" w:cs="Arial" w:eastAsia="Arial" w:hAnsi="Arial"/>
                <w:sz w:val="18"/>
                <w:szCs w:val="18"/>
                <w:color w:val="auto"/>
              </w:rPr>
              <w:t>3.12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25.44</w:t>
            </w:r>
          </w:p>
        </w:tc>
        <w:tc>
          <w:tcPr>
            <w:tcW w:w="6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94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3.68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2016</w:t>
            </w:r>
          </w:p>
        </w:tc>
        <w:tc>
          <w:tcPr>
            <w:tcW w:w="2940" w:type="dxa"/>
            <w:vAlign w:val="bottom"/>
          </w:tcPr>
          <w:p>
            <w:pPr>
              <w:spacing w:after="0"/>
              <w:rPr>
                <w:sz w:val="18"/>
                <w:szCs w:val="18"/>
                <w:color w:val="auto"/>
              </w:rPr>
            </w:pPr>
          </w:p>
        </w:tc>
        <w:tc>
          <w:tcPr>
            <w:tcW w:w="3340" w:type="dxa"/>
            <w:vAlign w:val="bottom"/>
            <w:gridSpan w:val="3"/>
          </w:tcPr>
          <w:p>
            <w:pPr>
              <w:jc w:val="right"/>
              <w:ind w:right="440"/>
              <w:spacing w:after="0"/>
              <w:rPr>
                <w:sz w:val="20"/>
                <w:szCs w:val="20"/>
                <w:color w:val="auto"/>
              </w:rPr>
            </w:pPr>
            <w:r>
              <w:rPr>
                <w:rFonts w:ascii="Arial" w:cs="Arial" w:eastAsia="Arial" w:hAnsi="Arial"/>
                <w:sz w:val="18"/>
                <w:szCs w:val="18"/>
                <w:color w:val="auto"/>
              </w:rPr>
              <w:t>1.77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6.50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Quarterly Information</w:t>
            </w:r>
          </w:p>
        </w:tc>
        <w:tc>
          <w:tcPr>
            <w:tcW w:w="2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First Quarter 2015</w:t>
            </w:r>
          </w:p>
        </w:tc>
        <w:tc>
          <w:tcPr>
            <w:tcW w:w="3340" w:type="dxa"/>
            <w:vAlign w:val="bottom"/>
            <w:gridSpan w:val="3"/>
          </w:tcPr>
          <w:p>
            <w:pPr>
              <w:jc w:val="right"/>
              <w:ind w:right="440"/>
              <w:spacing w:after="0"/>
              <w:rPr>
                <w:sz w:val="20"/>
                <w:szCs w:val="20"/>
                <w:color w:val="auto"/>
              </w:rPr>
            </w:pPr>
            <w:r>
              <w:rPr>
                <w:rFonts w:ascii="Arial" w:cs="Arial" w:eastAsia="Arial" w:hAnsi="Arial"/>
                <w:sz w:val="18"/>
                <w:szCs w:val="18"/>
                <w:color w:val="auto"/>
              </w:rPr>
              <w:t>$3.68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8.30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2015</w:t>
            </w:r>
          </w:p>
        </w:tc>
        <w:tc>
          <w:tcPr>
            <w:tcW w:w="3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5.38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8.84</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Third Quarter 2015</w:t>
            </w:r>
          </w:p>
        </w:tc>
        <w:tc>
          <w:tcPr>
            <w:tcW w:w="3340" w:type="dxa"/>
            <w:vAlign w:val="bottom"/>
            <w:gridSpan w:val="3"/>
          </w:tcPr>
          <w:p>
            <w:pPr>
              <w:jc w:val="right"/>
              <w:ind w:right="440"/>
              <w:spacing w:after="0"/>
              <w:rPr>
                <w:sz w:val="20"/>
                <w:szCs w:val="20"/>
                <w:color w:val="auto"/>
              </w:rPr>
            </w:pPr>
            <w:r>
              <w:rPr>
                <w:rFonts w:ascii="Arial" w:cs="Arial" w:eastAsia="Arial" w:hAnsi="Arial"/>
                <w:sz w:val="18"/>
                <w:szCs w:val="18"/>
                <w:color w:val="auto"/>
              </w:rPr>
              <w:t>5.61</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9.50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2015</w:t>
            </w:r>
          </w:p>
        </w:tc>
        <w:tc>
          <w:tcPr>
            <w:tcW w:w="3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5.28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First Quarter 2016</w:t>
            </w:r>
          </w:p>
        </w:tc>
        <w:tc>
          <w:tcPr>
            <w:tcW w:w="3340" w:type="dxa"/>
            <w:vAlign w:val="bottom"/>
            <w:gridSpan w:val="3"/>
          </w:tcPr>
          <w:p>
            <w:pPr>
              <w:jc w:val="right"/>
              <w:ind w:right="440"/>
              <w:spacing w:after="0"/>
              <w:rPr>
                <w:sz w:val="20"/>
                <w:szCs w:val="20"/>
                <w:color w:val="auto"/>
              </w:rPr>
            </w:pPr>
            <w:r>
              <w:rPr>
                <w:rFonts w:ascii="Arial" w:cs="Arial" w:eastAsia="Arial" w:hAnsi="Arial"/>
                <w:sz w:val="18"/>
                <w:szCs w:val="18"/>
                <w:color w:val="auto"/>
              </w:rPr>
              <w:t>3.15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6.50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2016</w:t>
            </w:r>
          </w:p>
        </w:tc>
        <w:tc>
          <w:tcPr>
            <w:tcW w:w="3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3.61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Third Quarter 2016</w:t>
            </w:r>
          </w:p>
        </w:tc>
        <w:tc>
          <w:tcPr>
            <w:tcW w:w="3340" w:type="dxa"/>
            <w:vAlign w:val="bottom"/>
            <w:gridSpan w:val="3"/>
          </w:tcPr>
          <w:p>
            <w:pPr>
              <w:jc w:val="right"/>
              <w:ind w:right="440"/>
              <w:spacing w:after="0"/>
              <w:rPr>
                <w:sz w:val="20"/>
                <w:szCs w:val="20"/>
                <w:color w:val="auto"/>
              </w:rPr>
            </w:pPr>
            <w:r>
              <w:rPr>
                <w:rFonts w:ascii="Arial" w:cs="Arial" w:eastAsia="Arial" w:hAnsi="Arial"/>
                <w:sz w:val="18"/>
                <w:szCs w:val="18"/>
                <w:color w:val="auto"/>
              </w:rPr>
              <w:t>1.95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5.36</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2016</w:t>
            </w:r>
          </w:p>
        </w:tc>
        <w:tc>
          <w:tcPr>
            <w:tcW w:w="3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First Quarter 2017</w:t>
            </w:r>
          </w:p>
        </w:tc>
        <w:tc>
          <w:tcPr>
            <w:tcW w:w="3340" w:type="dxa"/>
            <w:vAlign w:val="bottom"/>
            <w:gridSpan w:val="3"/>
          </w:tcPr>
          <w:p>
            <w:pPr>
              <w:jc w:val="right"/>
              <w:ind w:right="440"/>
              <w:spacing w:after="0"/>
              <w:rPr>
                <w:sz w:val="20"/>
                <w:szCs w:val="20"/>
                <w:color w:val="auto"/>
              </w:rPr>
            </w:pPr>
            <w:r>
              <w:rPr>
                <w:rFonts w:ascii="Arial" w:cs="Arial" w:eastAsia="Arial" w:hAnsi="Arial"/>
                <w:sz w:val="18"/>
                <w:szCs w:val="18"/>
                <w:color w:val="auto"/>
              </w:rPr>
              <w:t>$5.81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18.04</w:t>
            </w:r>
          </w:p>
        </w:tc>
        <w:tc>
          <w:tcPr>
            <w:tcW w:w="6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2017</w:t>
            </w:r>
          </w:p>
        </w:tc>
        <w:tc>
          <w:tcPr>
            <w:tcW w:w="3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7.07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Third Quarter 2017</w:t>
            </w:r>
          </w:p>
        </w:tc>
        <w:tc>
          <w:tcPr>
            <w:tcW w:w="3340" w:type="dxa"/>
            <w:vAlign w:val="bottom"/>
            <w:gridSpan w:val="3"/>
          </w:tcPr>
          <w:p>
            <w:pPr>
              <w:jc w:val="right"/>
              <w:ind w:right="440"/>
              <w:spacing w:after="0"/>
              <w:rPr>
                <w:sz w:val="20"/>
                <w:szCs w:val="20"/>
                <w:color w:val="auto"/>
              </w:rPr>
            </w:pPr>
            <w:r>
              <w:rPr>
                <w:rFonts w:ascii="Arial" w:cs="Arial" w:eastAsia="Arial" w:hAnsi="Arial"/>
                <w:sz w:val="18"/>
                <w:szCs w:val="18"/>
                <w:color w:val="auto"/>
              </w:rPr>
              <w:t>6.52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8.75</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2017</w:t>
            </w:r>
          </w:p>
        </w:tc>
        <w:tc>
          <w:tcPr>
            <w:tcW w:w="3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6.72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15.19</w:t>
            </w:r>
          </w:p>
        </w:tc>
        <w:tc>
          <w:tcPr>
            <w:tcW w:w="60" w:type="dxa"/>
            <w:vAlign w:val="bottom"/>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First Quarter 2018</w:t>
            </w:r>
          </w:p>
        </w:tc>
        <w:tc>
          <w:tcPr>
            <w:tcW w:w="3340" w:type="dxa"/>
            <w:vAlign w:val="bottom"/>
            <w:gridSpan w:val="3"/>
          </w:tcPr>
          <w:p>
            <w:pPr>
              <w:jc w:val="right"/>
              <w:ind w:right="440"/>
              <w:spacing w:after="0"/>
              <w:rPr>
                <w:sz w:val="20"/>
                <w:szCs w:val="20"/>
                <w:color w:val="auto"/>
              </w:rPr>
            </w:pPr>
            <w:r>
              <w:rPr>
                <w:rFonts w:ascii="Arial" w:cs="Arial" w:eastAsia="Arial" w:hAnsi="Arial"/>
                <w:sz w:val="18"/>
                <w:szCs w:val="18"/>
                <w:color w:val="auto"/>
              </w:rPr>
              <w:t>4.78</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10.45</w:t>
            </w:r>
          </w:p>
        </w:tc>
        <w:tc>
          <w:tcPr>
            <w:tcW w:w="6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2018</w:t>
            </w:r>
          </w:p>
        </w:tc>
        <w:tc>
          <w:tcPr>
            <w:tcW w:w="3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4.90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9.56</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Third Quarter 2018</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7.11</w:t>
            </w: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6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2018</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First Quarter 2019</w:t>
            </w:r>
          </w:p>
        </w:tc>
        <w:tc>
          <w:tcPr>
            <w:tcW w:w="3340" w:type="dxa"/>
            <w:vAlign w:val="bottom"/>
            <w:gridSpan w:val="3"/>
          </w:tcPr>
          <w:p>
            <w:pPr>
              <w:jc w:val="right"/>
              <w:ind w:right="440"/>
              <w:spacing w:after="0"/>
              <w:rPr>
                <w:sz w:val="20"/>
                <w:szCs w:val="20"/>
                <w:color w:val="auto"/>
              </w:rPr>
            </w:pPr>
            <w:r>
              <w:rPr>
                <w:rFonts w:ascii="Arial" w:cs="Arial" w:eastAsia="Arial" w:hAnsi="Arial"/>
                <w:sz w:val="18"/>
                <w:szCs w:val="18"/>
                <w:color w:val="auto"/>
              </w:rPr>
              <w:t>4.26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5.79</w:t>
            </w:r>
          </w:p>
        </w:tc>
      </w:tr>
    </w:tbl>
    <w:p>
      <w:pPr>
        <w:spacing w:after="0" w:line="187" w:lineRule="exact"/>
        <w:rPr>
          <w:sz w:val="20"/>
          <w:szCs w:val="20"/>
          <w:color w:val="auto"/>
        </w:rPr>
      </w:pPr>
    </w:p>
    <w:p>
      <w:pPr>
        <w:ind w:left="380" w:right="100" w:firstLine="426"/>
        <w:spacing w:after="0" w:line="277" w:lineRule="auto"/>
        <w:rPr>
          <w:sz w:val="20"/>
          <w:szCs w:val="20"/>
          <w:color w:val="auto"/>
        </w:rPr>
      </w:pPr>
      <w:r>
        <w:rPr>
          <w:rFonts w:ascii="Arial" w:cs="Arial" w:eastAsia="Arial" w:hAnsi="Arial"/>
          <w:sz w:val="18"/>
          <w:szCs w:val="18"/>
          <w:color w:val="auto"/>
        </w:rPr>
        <w:t>On April 9, 2019, the most recent practicable date before the date of this proxy statement/prospectus, the closing price of the Arcturus-Israel ordinary shares on NASDAQ was $8.115 per share.</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380" w:right="240" w:firstLine="426"/>
        <w:spacing w:after="0" w:line="277" w:lineRule="auto"/>
        <w:rPr>
          <w:sz w:val="20"/>
          <w:szCs w:val="20"/>
          <w:color w:val="auto"/>
        </w:rPr>
      </w:pPr>
      <w:r>
        <w:rPr>
          <w:rFonts w:ascii="Arial" w:cs="Arial" w:eastAsia="Arial" w:hAnsi="Arial"/>
          <w:sz w:val="18"/>
          <w:szCs w:val="18"/>
          <w:color w:val="auto"/>
        </w:rPr>
        <w:t>We have not paid cash dividends on our common stock since our inception and we do not contemplate paying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24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i w:val="1"/>
          <w:iCs w:val="1"/>
          <w:color w:val="auto"/>
        </w:rPr>
        <w:t>Before you decide how to vote, you should consider carefully the following risk factors in addition to the other information contained in this proxy statement/prospectus.</w:t>
      </w:r>
    </w:p>
    <w:p>
      <w:pPr>
        <w:spacing w:after="0" w:line="38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RISKS RELATING TO THE TRANSACTION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Your rights as a shareholder will change as a result of the Transaction</w:t>
      </w:r>
      <w:r>
        <w:rPr>
          <w:rFonts w:ascii="Arial" w:cs="Arial" w:eastAsia="Arial" w:hAnsi="Arial"/>
          <w:sz w:val="18"/>
          <w:szCs w:val="18"/>
          <w:i w:val="1"/>
          <w:iCs w:val="1"/>
          <w:color w:val="auto"/>
        </w:rPr>
        <w:t>.</w:t>
      </w:r>
    </w:p>
    <w:p>
      <w:pPr>
        <w:spacing w:after="0" w:line="225"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Due to the differences between Delaware law and Israel law and differences between the governing documents of Arcturus-Delaware and Arcturus-Israel, we are unable to adopt governing documents for Arcturus-Delaware that are identical to the governing documents for Arcturus-Israel. We have sought to preserve in the certificate of incorporation and bylaws of Arcturus-Delaware a similar allocation of rights and powers between the shareholders and our board of directors that exists under Arcturus-Israel’s articles of association and Israel Law. Nevertheless, Arcturus-Delaware’s proposed certificate of incorporation and bylaws differ from Arcturus-Israel’s articles of association, both in form and substance, and your rights as a shareholder will change.</w:t>
      </w:r>
    </w:p>
    <w:p>
      <w:pPr>
        <w:spacing w:after="0" w:line="193"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For a description of these differences, please see the comparison chart of your rights as an ordinary shareholder of Arcturus-Israel against your rights as a common stockholder of Arcturus-Delaware, located in “Comparison of Rights of Israel Shareholders and Delaware Stockholders.”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effective time of the Transaction is subject to change</w:t>
      </w:r>
      <w:r>
        <w:rPr>
          <w:rFonts w:ascii="Arial" w:cs="Arial" w:eastAsia="Arial" w:hAnsi="Arial"/>
          <w:sz w:val="18"/>
          <w:szCs w:val="18"/>
          <w:i w:val="1"/>
          <w:iCs w:val="1"/>
          <w:color w:val="auto"/>
        </w:rPr>
        <w:t>.</w:t>
      </w:r>
    </w:p>
    <w:p>
      <w:pPr>
        <w:spacing w:after="0" w:line="22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Under the terms of the Exchange Agreement, once the Scheme Shareholders and the Israel Court have approved (in that order) the Scheme of Arrangement, Arcturus-Israel, without obtaining any further approval of its shareholders, may select the effective time of the Transaction (including the Scheme of Arrangement), provided the effective time occurs on or before the Long-Stop Date. We intend to implement the Transaction at a time that is beneficial to Arcturus and its shareholders.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expected benefits of the Transaction may not be realized</w:t>
      </w:r>
      <w:r>
        <w:rPr>
          <w:rFonts w:ascii="Arial" w:cs="Arial" w:eastAsia="Arial" w:hAnsi="Arial"/>
          <w:sz w:val="18"/>
          <w:szCs w:val="18"/>
          <w:i w:val="1"/>
          <w:iCs w:val="1"/>
          <w:color w:val="auto"/>
        </w:rPr>
        <w:t>.</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There can be no assurance that all of the anticipated benefits of the Transaction will be achievable, particularly as the achievement of the benefits are in many important respects subject to factors that we do not and cannot control, including the reaction of investors and of third parties with whom we enter into contracts and otherwise transact business.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decide not to proceed with the second step distribution in kind which could result in tax inefficiencies in the future.</w:t>
      </w:r>
    </w:p>
    <w:p>
      <w:pPr>
        <w:spacing w:after="0" w:line="225"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Company may decide not to proceed with the second step distribution in kind described in this proxy statement/prospectus. The Company will decide, in its sole discretion, if it is in the best interests of the Company to effect the second step distribution in kind and will consider all relevant factors, including potential tax consequences to the Company that may result from this distribution. If the Company decides not to proceed with the second step distribution in kind, future earnings of Private Arcturus may continue to be subject to taxation in both the United States and Israel notwithstanding the completion of the Transaction.</w:t>
      </w:r>
    </w:p>
    <w:p>
      <w:pPr>
        <w:spacing w:after="0" w:line="18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we proceed with the second step distribution in kind, we may incur significant tax liability, the amount of which may be uncertain even at the time of the distribution.</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If the Company decides to proceed with the second step distribution in kind, such distribution will be a taxable event under applicable Israel tax provisions and may impose withholding tax on Arcturus-Israel. We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cannot accurately determine the potential tax amount that would be required to be paid as a result of the distribution in kind due to a number of uncertainties, some of which will not be known even at the time a decision is made to proceed with the distribution. For this reason, the Company may decide not to proceed with the distribution.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Transaction will result in additional direct and indirect costs, even if it is not completed</w:t>
      </w:r>
      <w:r>
        <w:rPr>
          <w:rFonts w:ascii="Arial" w:cs="Arial" w:eastAsia="Arial" w:hAnsi="Arial"/>
          <w:sz w:val="18"/>
          <w:szCs w:val="18"/>
          <w:i w:val="1"/>
          <w:iCs w:val="1"/>
          <w:color w:val="auto"/>
        </w:rPr>
        <w:t>.</w:t>
      </w:r>
    </w:p>
    <w:p>
      <w:pPr>
        <w:spacing w:after="0" w:line="225"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will incur additional costs as a result of the Transaction. We expect to incur attorneys’ fees, accountants’ fees, filing and other regulatory fees, mailing expenses, proxy solicitation fees and financial printing expenses in connection with the Transaction, even if the Scheme of Arrangement is not approved or completed. The Transaction also may negatively affect us by diverting attention of our management and employees from our operating business during the period of implementation and by increasing other administrative costs and expenses.</w:t>
      </w:r>
    </w:p>
    <w:p>
      <w:pPr>
        <w:spacing w:after="0" w:line="384"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auditor’s report includes a going concern paragraph.</w:t>
      </w:r>
    </w:p>
    <w:p>
      <w:pPr>
        <w:spacing w:after="0" w:line="225"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Our auditor’s report on our financial statements for the year ended December 31, 2018 includes a going concern paragraph. The Company’s products that are being developed have not generated significant revenue. As a result, the Company has suffered recurring losses and requires significant cash resources to execute its business plans. These losses are expected to continue for an extended period of time. The aforementioned factors raise substantial doubt about the Company’s ability to continue as a going concern within one year from the date of filing. The accompanying financial statements have been prepared on a going concern basis, which contemplates the realization of assets and the satisfaction of liabilities in the normal course of business. The financial statements do not include any adjustments relating to the recoverability and classification of asset amounts or the classification of liabilities that might be necessary should the Company be unable to continue as a going concern within one year after the date the financial statements are issued.</w:t>
      </w:r>
    </w:p>
    <w:p>
      <w:pPr>
        <w:spacing w:after="0" w:line="192"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Historically, the major source of our cash has been from proceeds from various public and private offerings of ordinary shares, debt issuances and through collaboration agreements. Management’s plans to mitigate an expected shortfall of capital and to support future operations, include raising additional funds. The actual amount of cash that it will need to operate is subject to many factors.</w:t>
      </w:r>
    </w:p>
    <w:p>
      <w:pPr>
        <w:spacing w:after="0" w:line="18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Company also recognizes it will need to raise additional capital in order to continue to execute its business plan in the future. There is no assurance that additional financing will be available when needed or that management will be able to obtain financing on terms acceptable to the Company or that the Company will become profitable and generate positive operating cash flow. If the Company is unable to raise sufficient additional funds, it will have to scale back its operations.</w:t>
      </w:r>
    </w:p>
    <w:p>
      <w:pPr>
        <w:spacing w:after="0" w:line="187"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anticipate that we will continue to incur significant losses for the foreseeable future.</w:t>
      </w:r>
    </w:p>
    <w:p>
      <w:pPr>
        <w:spacing w:after="0" w:line="17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are a preclinical nucleic acid medicines company with a limited operating history. Since inception, our operations have been primarily limited to acquiring and licensing intellectual property rights, developing our nucleic acid product platform, undertaking basic research around nucleic acid targets and conducting preclinical studies for our initial programs. We have not yet obtained regulatory approval for any product candidates. Consequently, any predictions about our future success or viability, or any evaluation of our business and prospects, may not be accurate.</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have incurred losses in each year since our inception. Our net losses were $21.8 million and $10.9 million for the years ended December 31, 2018 and 2017, respectively. As of December 31, 2018, we had an accumulated deficit of $44.9 million.</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have devoted most of our financial resources to research and development, including our preclinical development activities. To date, we have funded our operations primarily through upfront payments, research funding and milestones from strategic alliances and collaborations, and through the sale of equity and convertible securities. We expect to continue to incur substantial and increased expenses, losses and negative cash flows as we expand our development activities and advance our preclinical programs. If our product candidates are not successfully developed or commercialized, including because of a lack of capital, or if we do not generate enough revenue following marketing approval, we will not achieve profitability and our business may fail. Even if we or our strategic alliance partners successfully obtain regulatory approval to market a product candidate, our revenues will also depend upon the size of any markets in which our product candidates have received market approval and our ability to achieve sufficient market acceptance and adequate market share for our products.</w:t>
      </w:r>
    </w:p>
    <w:p>
      <w:pPr>
        <w:spacing w:after="0" w:line="179" w:lineRule="exact"/>
        <w:rPr>
          <w:sz w:val="20"/>
          <w:szCs w:val="20"/>
          <w:color w:val="auto"/>
        </w:rPr>
      </w:pPr>
    </w:p>
    <w:p>
      <w:pPr>
        <w:ind w:left="200" w:right="580" w:firstLine="441"/>
        <w:spacing w:after="0" w:line="308"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52" w:lineRule="exact"/>
        <w:rPr>
          <w:sz w:val="20"/>
          <w:szCs w:val="20"/>
          <w:color w:val="auto"/>
        </w:rPr>
      </w:pPr>
    </w:p>
    <w:p>
      <w:pPr>
        <w:ind w:left="1060" w:right="840" w:hanging="316"/>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 our research and preclinical development of our product candidates, both independently and under our strategic alliance agreements;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seek to identify additional targets and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acquire or in-license other products and technologies;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advance product candidates into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w:t>
      </w:r>
    </w:p>
    <w:p>
      <w:pPr>
        <w:spacing w:after="0" w:line="130"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products for which we may obtain marketing approval;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hire additional clinical, regulatory, research, executive and administrative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create additional infrastructure to support our operations and our product development and planned future commercialization efforts; and</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incur legal and other expenses in connection with legal proceedings.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have never generated any revenue from product sales, have generated only limited revenue since inception, and may never be profitable.</w:t>
      </w:r>
    </w:p>
    <w:p>
      <w:pPr>
        <w:spacing w:after="0" w:line="248"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Our ability to generate revenue and achieve profitability depends on our ability, alone or with strategic alliance partners, to successfully complete the development of, obtain the necessary regulatory approvals for and commercialize our product candidates. We do not anticipate generating revenues from sales of our products for the foreseeable future, if ever. Our ability to generate future revenues from product sales depends heavily on our success in:</w:t>
      </w:r>
    </w:p>
    <w:p>
      <w:pPr>
        <w:spacing w:after="0" w:line="92" w:lineRule="exact"/>
        <w:rPr>
          <w:sz w:val="20"/>
          <w:szCs w:val="20"/>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completing our research and preclinical development of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initiating and completing clinical trials for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seeking and obtaining marketing approvals for product candidates that successfully complete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60" w:hanging="316"/>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marketing approval, with an alliance partner or, if launched independently, successfully establishing a sales force, marketing and distribution infrastructure;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maintaining, protecting and expanding our intellectual property portfolio;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predict the timing or amount of increased expenses and when we will be able to achieve or maintain profitability, if ever. In addition, our expenses could increase beyond expectations if we are required by the United States Food and Drug Administration, or FDA, or other foreign regulatory agencies to perform studies and trials in addition to those that we currently anticipate.</w:t>
      </w:r>
    </w:p>
    <w:p>
      <w:pPr>
        <w:spacing w:after="0" w:line="18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Even if one or more of the product candidates that we independently develop is approved for commercial sale, we anticipate incurring significant costs associated with commercializing any approved product. Even if we are able to generate revenues from the sale of any approved products, we may not become profitable and may need to obtain additional funding to continue operations.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need to raise additional capital, which may not be available on acceptable terms, or at all.</w:t>
      </w:r>
    </w:p>
    <w:p>
      <w:pPr>
        <w:spacing w:after="0" w:line="225" w:lineRule="exact"/>
        <w:rPr>
          <w:sz w:val="20"/>
          <w:szCs w:val="20"/>
          <w:color w:val="auto"/>
        </w:rPr>
      </w:pPr>
    </w:p>
    <w:p>
      <w:pPr>
        <w:ind w:left="200" w:right="100" w:firstLine="441"/>
        <w:spacing w:after="0" w:line="269"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expensive. We expect our research and development expenses to substantially increase in connection with our ongoing activities, particularly as we advance our product candidates towards or through clinical trials. We may need to raise additional capital to support our operations and such funding may not be available to us on acceptable terms, or at all. As of December 31, 2018, we had unrestricted cash and cash equivalents of $36.7 million. We cannot provide assurances that our plans will not change or that changed circumstances will not result in the depletion of our capital resources more rapidly than we currently anticipate. For example, our preclinical trials may encounter technical or other difficulties. Additionally, our strategic alliance partners may not elect to pursue the development and commercialization of any of our product candidates that are subject to their respective strategic alliance agreements with us. Any of these events may increase our development costs more than we expect. In order to support our long-term plans, we may need to raise additional capital or otherwise obtain funding through additional strategic alliances if we choose to initiate preclinical or clinical trials for new product candidates other than programs currently partnered. In any event, we will require additional capital to obtain regulatory approval for, and to commercialize, future product candidates.</w:t>
      </w:r>
    </w:p>
    <w:p>
      <w:pPr>
        <w:spacing w:after="0" w:line="183"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Any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are unable to raise additional capital when required or on acceptable terms, we may be required to:</w:t>
      </w:r>
    </w:p>
    <w:p>
      <w:pPr>
        <w:spacing w:after="0" w:line="52" w:lineRule="exact"/>
        <w:rPr>
          <w:sz w:val="20"/>
          <w:szCs w:val="20"/>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significantly delay, scale back or discontinue the development or commercialization of any future product candidates;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otherwise would be desirable or on terms that are less favorable than might otherwise be available; or</w:t>
      </w:r>
    </w:p>
    <w:p>
      <w:pPr>
        <w:spacing w:after="0" w:line="75" w:lineRule="exact"/>
        <w:rPr>
          <w:rFonts w:ascii="Arial" w:cs="Arial" w:eastAsia="Arial" w:hAnsi="Arial"/>
          <w:sz w:val="18"/>
          <w:szCs w:val="18"/>
          <w:color w:val="auto"/>
        </w:rPr>
      </w:pPr>
    </w:p>
    <w:p>
      <w:pPr>
        <w:ind w:left="1060" w:right="440" w:hanging="316"/>
        <w:spacing w:after="0" w:line="277"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170"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If we are unable to raise additional capital in sufficient amounts or on terms acceptable to us, we will be prevented from pursuing development and commercialization efforts, which will have a material adverse effect on our business, operating results and prospects.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exposed to interest rate risk, including under our existing loan agreements with our lender.</w:t>
      </w:r>
    </w:p>
    <w:p>
      <w:pPr>
        <w:spacing w:after="0" w:line="225" w:lineRule="exact"/>
        <w:rPr>
          <w:sz w:val="20"/>
          <w:szCs w:val="20"/>
          <w:color w:val="auto"/>
        </w:rPr>
      </w:pPr>
    </w:p>
    <w:p>
      <w:pPr>
        <w:jc w:val="both"/>
        <w:ind w:left="200" w:right="160" w:firstLine="441"/>
        <w:spacing w:after="0" w:line="293" w:lineRule="auto"/>
        <w:rPr>
          <w:sz w:val="20"/>
          <w:szCs w:val="20"/>
          <w:color w:val="auto"/>
        </w:rPr>
      </w:pPr>
      <w:r>
        <w:rPr>
          <w:rFonts w:ascii="Arial" w:cs="Arial" w:eastAsia="Arial" w:hAnsi="Arial"/>
          <w:sz w:val="16"/>
          <w:szCs w:val="16"/>
          <w:color w:val="auto"/>
        </w:rPr>
        <w:t>We are exposed to market risk from changes in interest rates. Exposure to interest rate risk results from our debt obligations, including the Loan Agreement entered into on October 12, 2018 by our wholly-owned subsidiary, Arcturus Therapeutics, Inc., with Western Alliance Bank (the “Western Loan Agreement”). The Western Loan Agreement bears a variable interest rate of 1.25% above the prime rate published by the Western Edition of the Wall Street Journal. As of December 31, 2018, we had $10.0 million outstanding under the Western Loan Agreement. If we were to experience a 10% adverse change in the prime rate referenced above, the annual effect such change would have on our statement of operations, based on the amount we had outstanding as of December 31, 2018, under the Western Loan Agreement, would be approximately $70,000.</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indebtedness could materially and adversely affect our business, financial condition and results of operations.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Agreements with our lenders, including with Western Alliance Bank, create several limitations on us, including but not limited to:</w:t>
      </w:r>
    </w:p>
    <w:p>
      <w:pPr>
        <w:spacing w:after="0" w:line="131" w:lineRule="exact"/>
        <w:rPr>
          <w:sz w:val="20"/>
          <w:szCs w:val="20"/>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who may have less debt or comparable debt at more favorable interest rates;</w:t>
      </w:r>
    </w:p>
    <w:p>
      <w:pPr>
        <w:spacing w:after="0" w:line="75" w:lineRule="exact"/>
        <w:rPr>
          <w:rFonts w:ascii="Arial" w:cs="Arial" w:eastAsia="Arial" w:hAnsi="Arial"/>
          <w:sz w:val="18"/>
          <w:szCs w:val="18"/>
          <w:color w:val="auto"/>
        </w:rPr>
      </w:pPr>
    </w:p>
    <w:p>
      <w:pPr>
        <w:ind w:left="1060" w:right="480" w:hanging="424"/>
        <w:spacing w:after="0" w:line="342" w:lineRule="auto"/>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limiting our ability to incur specified types of additional indebtedness which may be desired for working capital, capital expenditures, research and development efforts, acquisitions, debt service requirements, execution of our business strategy or other purposes; and</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resulting in an acceleration of our obligations upon the occurrence of an event of default.</w:t>
      </w:r>
    </w:p>
    <w:p>
      <w:pPr>
        <w:spacing w:after="0" w:line="225"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Our ability to comply with these covenants in future periods will depend on our financial and operating performance, which in turn will be subject to economic conditions and to financial, market and competitive factors, many of which are beyond our control. Any of these factors or others described in the Western Loan Agreement could materially and adversely affect our business, financial condition and results of operations.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debt contains customary default clauses, a breach of which may result in acceleration of the repayment of some or all of this debt.</w:t>
      </w:r>
    </w:p>
    <w:p>
      <w:pPr>
        <w:spacing w:after="0" w:line="237"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The Western Loan Agreement contains customary default clauses as well as covenants which include the Company’s (1) nomination of a clinical candidate, which the Company was in compliance with, and (2) submission of a clinical candidate for Investigational New Drug application (“IND”), made to the U.S. Food and Drug Administration. In the event we were to default on our obligations under our debt and were unable to cure or obtain a waiver of such default, the repayment of our debt may be accelerated. If such acceleration were to occur, we would be required to secure alternative sources of equity or debt financing to be able to repay the debt. Alternative financing may not be available on terms satisfactory to us, or at all. New debt financing may require the cooperation and agreement of our existing lenders. If acceptable alternative financing were unavailable, we would have to consider alternatives to fund the repayment of the debt, which could materially and adversely affect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b w:val="1"/>
          <w:bCs w:val="1"/>
          <w:i w:val="1"/>
          <w:iCs w:val="1"/>
          <w:color w:val="auto"/>
        </w:rPr>
        <w:t>Preclinical and clinical studies of our product candidates may not be successful. If we are unable to generate successful results from preclinical and clinical studies of our product candidates, or experience significant delays in doing so, our business may be materially harmed.</w:t>
      </w:r>
    </w:p>
    <w:p>
      <w:pPr>
        <w:spacing w:after="0" w:line="124"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have no products on the market and all of our product candidates are in preclinical development. In particular, none of our product candidates have ever been tested in a human subject. Our ability to achieve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312" w:lineRule="auto"/>
        <w:rPr>
          <w:sz w:val="20"/>
          <w:szCs w:val="20"/>
          <w:color w:val="auto"/>
        </w:rPr>
      </w:pPr>
      <w:r>
        <w:rPr>
          <w:rFonts w:ascii="Arial" w:cs="Arial" w:eastAsia="Arial" w:hAnsi="Arial"/>
          <w:sz w:val="16"/>
          <w:szCs w:val="16"/>
          <w:color w:val="auto"/>
        </w:rPr>
        <w:t>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purity and potency of our product candidates.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success of our product candidates will depend on several factors, including the following:</w:t>
      </w:r>
    </w:p>
    <w:p>
      <w:pPr>
        <w:spacing w:after="0" w:line="131" w:lineRule="exact"/>
        <w:rPr>
          <w:sz w:val="20"/>
          <w:szCs w:val="20"/>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successfully designing preclinical studies which may be predictive of clinical outcomes;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successful results from preclinical and clinical studies;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for future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establishing and maintaining manufacturing relationships with third parties or establishing our own manufacturing capability; and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successfully commercializing our products, if and when approved, whether alone or in collaboration with others.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complete the development or commercialization of our product candidates, which would materially harm our business.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approach we are taking to discover and develop drugs is novel and may never lead to marketable products.</w:t>
      </w:r>
    </w:p>
    <w:p>
      <w:pPr>
        <w:spacing w:after="0" w:line="225"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We have concentrated our therapeutic product research and development efforts on nucleic acid technology, and our future success depends on the successful development of this technology and products based on our nucleic acid product platform. Except for Onpattro (patisiran, which is marketed by Alnylam, Kynamro (mipomersen), which was marketed by Kastle Therapeutics, Vitravene (</w:t>
      </w:r>
      <w:r>
        <w:rPr>
          <w:rFonts w:ascii="Arial" w:cs="Arial" w:eastAsia="Arial" w:hAnsi="Arial"/>
          <w:sz w:val="17"/>
          <w:szCs w:val="17"/>
          <w:u w:val="single" w:color="auto"/>
          <w:color w:val="auto"/>
        </w:rPr>
        <w:t>fomivirsen</w:t>
      </w:r>
      <w:r>
        <w:rPr>
          <w:rFonts w:ascii="Arial" w:cs="Arial" w:eastAsia="Arial" w:hAnsi="Arial"/>
          <w:sz w:val="17"/>
          <w:szCs w:val="17"/>
          <w:color w:val="auto"/>
        </w:rPr>
        <w:t>), which Novartis withdrew from the US market in 2006 and Spinraza (nusinersen), which is marketed by Biogen Inc., neither we, nor any other company, has to our knowledge received regulatory approval to market nucleic acid therapeutics. The scientific discoveries that form the basis for our efforts to discover and develop product candidates are relatively new. The scientific evidence to support the feasibility of developing product candidates based on these discoveries is both preliminary and limited. If we do not successfully develop and commercialize product candidates based upon our technological approach, we may not become profitable and the value of our Ordinary Shares may decline.</w:t>
      </w:r>
    </w:p>
    <w:p>
      <w:pPr>
        <w:spacing w:after="0" w:line="179"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Further, our focus solely on nucleic acid technology for developing drugs as opposed to multiple, more proven technologies for drug development increases the risks associated with the ownership of our Ordinary Shares. If we are not successful in developing any product candidates using nucleic acid technology, we may be required to change the scope and direction of our product development activities. In that case, we may not be able to identify and implement successfully an alternative product development strategy.</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potential product candidates.</w:t>
      </w:r>
    </w:p>
    <w:p>
      <w:pPr>
        <w:spacing w:after="0" w:line="225"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nucleic acid medicines. Our research programs may initially show promise in identifying potential product candidates, yet fail to yield product candidates for clinical development for a number of reasons, including:</w:t>
      </w:r>
    </w:p>
    <w:p>
      <w:pPr>
        <w:spacing w:after="0" w:line="87" w:lineRule="exact"/>
        <w:rPr>
          <w:sz w:val="20"/>
          <w:szCs w:val="20"/>
          <w:color w:val="auto"/>
        </w:rPr>
      </w:pPr>
    </w:p>
    <w:p>
      <w:pPr>
        <w:ind w:left="1060" w:hanging="316"/>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research methodology or that of our strategic alliance partners may be unsuccessful in identifying potential product candidates;</w:t>
      </w:r>
    </w:p>
    <w:p>
      <w:pPr>
        <w:spacing w:after="0" w:line="142" w:lineRule="exact"/>
        <w:rPr>
          <w:rFonts w:ascii="Arial" w:cs="Arial" w:eastAsia="Arial" w:hAnsi="Arial"/>
          <w:sz w:val="17"/>
          <w:szCs w:val="17"/>
          <w:color w:val="auto"/>
        </w:rPr>
      </w:pPr>
    </w:p>
    <w:p>
      <w:pPr>
        <w:ind w:left="1060" w:right="540" w:hanging="316"/>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potential product candidates may be shown to have harmful side effects or may have other characteristics that may make the products unmarketable or unlikely to receive marketing approval; 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strategic alliance partners may change their development profiles for potential product candidates or abandon a therapeutic area.</w:t>
      </w:r>
    </w:p>
    <w:p>
      <w:pPr>
        <w:spacing w:after="0" w:line="23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87" w:lineRule="exact"/>
        <w:rPr>
          <w:sz w:val="20"/>
          <w:szCs w:val="20"/>
          <w:color w:val="auto"/>
        </w:rPr>
      </w:pPr>
    </w:p>
    <w:p>
      <w:pPr>
        <w:jc w:val="both"/>
        <w:ind w:left="200" w:right="580"/>
        <w:spacing w:after="0" w:line="264" w:lineRule="auto"/>
        <w:rPr>
          <w:sz w:val="20"/>
          <w:szCs w:val="20"/>
          <w:color w:val="auto"/>
        </w:rPr>
      </w:pPr>
      <w:r>
        <w:rPr>
          <w:rFonts w:ascii="Arial" w:cs="Arial" w:eastAsia="Arial" w:hAnsi="Arial"/>
          <w:sz w:val="18"/>
          <w:szCs w:val="18"/>
          <w:b w:val="1"/>
          <w:bCs w:val="1"/>
          <w:i w:val="1"/>
          <w:iCs w:val="1"/>
          <w:color w:val="auto"/>
        </w:rPr>
        <w:t>If future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8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Before obtaining marketing approval from regulatory authorities for the sale of product candidates, we or our strategic alliance partners must conduct extensive clinical trials to demonstrate the safety and efficacy of the product candidates in humans. Clinical trials are expensive, difficult to design and implement, can take many years to complete and are uncertain as to the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for their products.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Events which may result in a delay or unsuccessful completion of clinical development include:</w:t>
      </w:r>
    </w:p>
    <w:p>
      <w:pPr>
        <w:spacing w:after="0" w:line="131" w:lineRule="exact"/>
        <w:rPr>
          <w:sz w:val="20"/>
          <w:szCs w:val="20"/>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delays in reaching an agreement with the FDA or other regulatory authorities on final trial design;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imposition of a clinical hold of our clinical trial operations or trial sites by the FDA or other regulatory authorities;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contract research organizations, or CROs, and clinical trial sites;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inability to adhere to clinical trial requirements directly or with third parties such as CROs;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approval at each clinical trial site;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a trial;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delays caused by patients dropping out of a trial due to protocol procedures or requirements, product side effects or disease progression;</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clinical sites dropping out of a trial to the detriment of enrollment;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time required to add new clinical sites;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delays by our contract manufacturers to produce and deliver sufficient supply of clinical trial materials.</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If we or our strategic alliance partners are required to conduct additional clinical trials or other testing of any product candidates beyond those that are currently contemplated, are unable to successfully complete clinical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trials of any such product candidates or other testing, or if the results of these trials or tests are not positive, are only modestly positive or if there are safety concerns, we or our strategic alliance partners may:</w:t>
      </w:r>
    </w:p>
    <w:p>
      <w:pPr>
        <w:spacing w:after="0" w:line="76" w:lineRule="exact"/>
        <w:rPr>
          <w:sz w:val="20"/>
          <w:szCs w:val="20"/>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future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originally intended or desired;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product development costs will also increase if we experience delays in testing or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and results of operations. Any inability to successfully complete preclinical and clinical development, whether independently or with our strategic alliance partners, could result in additional costs to us or impair our ability to generate revenues from product sales, regulatory and commercialization milestones and royalties.</w:t>
      </w:r>
    </w:p>
    <w:p>
      <w:pPr>
        <w:spacing w:after="0" w:line="189"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b w:val="1"/>
          <w:bCs w:val="1"/>
          <w:i w:val="1"/>
          <w:iCs w:val="1"/>
          <w:color w:val="auto"/>
        </w:rPr>
        <w:t>Any of our product candidates may cause undesirable side effects or have other properties impacting safety that could delay or prevent their regulatory approval or limit the scope of any approved label or market acceptance.</w:t>
      </w:r>
    </w:p>
    <w:p>
      <w:pPr>
        <w:spacing w:after="0" w:line="17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While we have not yet initiated clinical trials for any of our product candidates, it is likely that there may be side effects associated with their use.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product candidates for any or all targeted indications. Such side effects could also affect patient recruitment, the ability of enrolled patients to complete the trial or result in potential product liability claims. Any of these occurrences may materially and adversely affect our business, financial condition, results of operations and prospects.</w:t>
      </w:r>
    </w:p>
    <w:p>
      <w:pPr>
        <w:spacing w:after="0" w:line="192"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w:t>
      </w:r>
    </w:p>
    <w:p>
      <w:pPr>
        <w:spacing w:after="0" w:line="181"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If any of our future products, if and when approved for commercial sale, cause serious or unexpected side effects, a number of potentially significant negative consequences could result, including:</w:t>
      </w:r>
    </w:p>
    <w:p>
      <w:pPr>
        <w:spacing w:after="0" w:line="76" w:lineRule="exact"/>
        <w:rPr>
          <w:sz w:val="20"/>
          <w:szCs w:val="20"/>
          <w:color w:val="auto"/>
        </w:rPr>
      </w:pPr>
    </w:p>
    <w:p>
      <w:pPr>
        <w:ind w:left="1060" w:right="320" w:hanging="316"/>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impose restrictions on its distribution in the form of a modified risk evaluation and mitigation strategy;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warnings or contraindications;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Any of these events could prevent us or our partners from achieving or maintaining market acceptance of the affected product and could substantially increase the costs of commercializing our future products and impair our ability to generate revenues from the commercialization of these products either by us or by our strategic alliance partners.</w:t>
      </w:r>
    </w:p>
    <w:p>
      <w:pPr>
        <w:spacing w:after="0" w:line="181"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we cannot predict whether or when we will obtain regulatory approval to commercialize a product candidate and we cannot, therefore, predict the timing of any revenue from a future product.</w:t>
      </w:r>
    </w:p>
    <w:p>
      <w:pPr>
        <w:spacing w:after="0" w:line="124"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Neither we nor our strategic alliance partners can commercialize a product until the appropriate regulatory authorities, such as the FDA, have reviewed and approved the product candidate. The regulatory agencies may not complete their review processes in a timely manner, or we may not be able to obtain regulatory approval. Additional delays may result if an FDA Advisory Committee recommends restrictions on approval or recommends non-approval. In addition, we or our strategic alliance partners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193"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a product candidate, we will still face extensive regulatory requirements and our products may face future development and regulatory difficulties.</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Even if we obtain regulatory approval in the United States, the FDA may still impose significant restrictions on the indicated uses or marketing of our product candidates, or impose ongoing requirements for potentially costly post-approval studies or post-market surveillance. The holder of an approved new drug application (“NDA”) is obligated to monitor and report adverse events, or AEs, and any failure of a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78"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In addition, drug product manufacturers and their facilities are subject to payment of user fees and continual review and periodic inspections by the FDA and other regulatory authorities for compliance with current good manufacturing practices, or cGMP, and adherence to commitments made in the NDA. If we or a regulatory agency discovers previously unknown problems with a product such as AEs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158"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If we or our partners fail to comply with applicable regulatory requirements following approval of any of our product candidates, a regulatory agency may:</w:t>
      </w:r>
    </w:p>
    <w:p>
      <w:pPr>
        <w:spacing w:after="0" w:line="76" w:lineRule="exact"/>
        <w:rPr>
          <w:sz w:val="20"/>
          <w:szCs w:val="20"/>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refuse to approve a pending NDA or supplements to an NDA submitted by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seize product or require a product recall; or</w:t>
      </w:r>
    </w:p>
    <w:p>
      <w:pPr>
        <w:spacing w:after="0" w:line="130" w:lineRule="exact"/>
        <w:rPr>
          <w:rFonts w:ascii="Arial" w:cs="Arial" w:eastAsia="Arial" w:hAnsi="Arial"/>
          <w:sz w:val="18"/>
          <w:szCs w:val="18"/>
          <w:color w:val="auto"/>
        </w:rPr>
      </w:pPr>
    </w:p>
    <w:p>
      <w:pPr>
        <w:ind w:left="5620" w:right="4260" w:hanging="4876"/>
        <w:spacing w:after="0" w:line="449" w:lineRule="auto"/>
        <w:tabs>
          <w:tab w:leader="none" w:pos="10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 29</w:t>
      </w:r>
    </w:p>
    <w:p>
      <w:pPr>
        <w:sectPr>
          <w:pgSz w:w="11900" w:h="16838" w:orient="portrait"/>
          <w:cols w:equalWidth="0" w:num="1">
            <w:col w:w="11160"/>
          </w:cols>
          <w:pgMar w:left="24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future products and generate revenues.</w:t>
      </w:r>
    </w:p>
    <w:p>
      <w:pPr>
        <w:spacing w:after="0" w:line="18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may use our financial and human resources to pursue a particular research program or product candidate and fail to capitalize on programs or product candidates that may be more profitable or for which there is a greater likelihood of success.</w:t>
      </w:r>
    </w:p>
    <w:p>
      <w:pPr>
        <w:spacing w:after="0" w:line="170" w:lineRule="exact"/>
        <w:rPr>
          <w:sz w:val="20"/>
          <w:szCs w:val="20"/>
          <w:color w:val="auto"/>
        </w:rPr>
      </w:pPr>
    </w:p>
    <w:p>
      <w:pPr>
        <w:ind w:left="200" w:right="220" w:firstLine="441"/>
        <w:spacing w:after="0" w:line="290" w:lineRule="auto"/>
        <w:rPr>
          <w:sz w:val="20"/>
          <w:szCs w:val="20"/>
          <w:color w:val="auto"/>
        </w:rPr>
      </w:pPr>
      <w:r>
        <w:rPr>
          <w:rFonts w:ascii="Arial" w:cs="Arial" w:eastAsia="Arial" w:hAnsi="Arial"/>
          <w:sz w:val="16"/>
          <w:szCs w:val="16"/>
          <w:color w:val="auto"/>
        </w:rPr>
        <w:t>As a result of our limited financial and human resources, we will have to make strategic decisions as to which targets and product candidates to pursue and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strategic alliance, licensing or other royalty arrangements in cases in which it would have been more advantageous for us to retain sole development and commercialization rights to such product candidate, or we may allocate internal resources to a product candidate in a therapeutic area in which it would have been more advantageous to enter into a partnering arrangement.</w:t>
      </w:r>
    </w:p>
    <w:p>
      <w:pPr>
        <w:spacing w:after="0" w:line="166"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b w:val="1"/>
          <w:bCs w:val="1"/>
          <w:i w:val="1"/>
          <w:iCs w:val="1"/>
          <w:color w:val="auto"/>
        </w:rPr>
        <w:t>We depend upon our third-party alliances with partners and contract organizations for the development, manufacture and eventual commercialization of certain nucleic acid product candidates. If these third-party alliances are unsuccessful or are terminated, we may be unable to commercialize certain product candidates and we may be unable to generate revenues from our development programs.</w:t>
      </w:r>
    </w:p>
    <w:p>
      <w:pPr>
        <w:spacing w:after="0" w:line="166"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depend upon third party alliance partners for financial and scientific resources for the clinical development, manufacture and commercialization of certain of our nucleic acid product candidates. These alliances will likely provide us with limited control over the course of development of a nucleic acid product candidate, especially once a candidate has reached the stage of clinical development. For example, in our alliance with Ultragenyx, Ultragenyx has the option to obtain an exclusive worldwide license to develop, manufacture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97" w:lineRule="auto"/>
        <w:rPr>
          <w:sz w:val="20"/>
          <w:szCs w:val="20"/>
          <w:color w:val="auto"/>
        </w:rPr>
      </w:pPr>
      <w:r>
        <w:rPr>
          <w:rFonts w:ascii="Arial" w:cs="Arial" w:eastAsia="Arial" w:hAnsi="Arial"/>
          <w:sz w:val="16"/>
          <w:szCs w:val="16"/>
          <w:color w:val="auto"/>
        </w:rPr>
        <w:t>and commercialize product candidates upon the achievement of relevant endpoints in preclinical studies and clinical trials. However, Ultragenyx is not under any obligation to exercise these options to progress any of our nucleic acid product candidates. While Ultragenyx has development obligations with respect to programs that it may elect to pursue under our agreement, our ability to ultimately recognize revenue from this and future relationships will depend upon the ability and willingness of our alliance partners to successfully meet their respective responsibilities under our agreements with them. Our ability to recognize revenues from successful strategic alliances may be impaired by several factors including:</w:t>
      </w:r>
    </w:p>
    <w:p>
      <w:pPr>
        <w:spacing w:after="0" w:line="64" w:lineRule="exact"/>
        <w:rPr>
          <w:sz w:val="20"/>
          <w:szCs w:val="20"/>
          <w:color w:val="auto"/>
        </w:rPr>
      </w:pPr>
    </w:p>
    <w:p>
      <w:pPr>
        <w:ind w:left="1060" w:right="640" w:hanging="316"/>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alliance partner may shift its priorities and resources away from our programs due to a change in business strategies, or a merger, acquisition, sale or downsizing of its company or business unit;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alliance partner may cease development in therapeutic areas which are the subject of our strategic alliances;</w:t>
      </w:r>
    </w:p>
    <w:p>
      <w:pPr>
        <w:spacing w:after="0" w:line="130"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alliance partner may change the success criteria for a particular program or potential product candidate thereby delaying or ceasing development of such program or candidate;</w:t>
      </w:r>
    </w:p>
    <w:p>
      <w:pPr>
        <w:spacing w:after="0" w:line="75"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significant delay in initiation of certain development activities by an alliance partner will also delay payment of milestones tied to such activities, thereby impacting our ability to fund our own activities;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alliance partner could develop a product that competes, either directly or indirectly, with an alliance product;</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alliance partner with commercialization obligations may not commit sufficient financial or human resources to the marketing, distribution or sale of a product;</w:t>
      </w:r>
    </w:p>
    <w:p>
      <w:pPr>
        <w:spacing w:after="0" w:line="75"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alliance partner with manufacturing responsibilities may encounter regulatory, resource or quality issues and be unable to meet demand requirements;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alliance partner may exercise its rights under the agreement to terminate a strategic alliance;</w:t>
      </w:r>
    </w:p>
    <w:p>
      <w:pPr>
        <w:spacing w:after="0" w:line="130" w:lineRule="exact"/>
        <w:rPr>
          <w:rFonts w:ascii="Arial" w:cs="Arial" w:eastAsia="Arial" w:hAnsi="Arial"/>
          <w:sz w:val="18"/>
          <w:szCs w:val="18"/>
          <w:color w:val="auto"/>
        </w:rPr>
      </w:pPr>
    </w:p>
    <w:p>
      <w:pPr>
        <w:ind w:left="1060" w:right="120" w:hanging="316"/>
        <w:spacing w:after="0" w:line="264"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dispute may arise between us and an alliance partner concerning the research, development or commercialization of a program or product candidate resulting in a delay in milestones, royalty payments or termination of a program and possibly resulting in costly litigation or arbitration which may divert management attention and resources; and</w:t>
      </w:r>
    </w:p>
    <w:p>
      <w:pPr>
        <w:spacing w:after="0" w:line="86"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alliance partner may use our proprietary information or intellectual property in such a way as to invite litigation from a third party or fail to maintain or prosecute intellectual property rights such that our rights in such property are jeopardized.</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any of our alliance partners do not elect to pursue the development and commercialization of our nucleic acid development candidates or if they terminate the strategic alliance, then, depending on the event:</w:t>
      </w:r>
    </w:p>
    <w:p>
      <w:pPr>
        <w:spacing w:after="0" w:line="76" w:lineRule="exact"/>
        <w:rPr>
          <w:sz w:val="20"/>
          <w:szCs w:val="20"/>
          <w:color w:val="auto"/>
        </w:rPr>
      </w:pPr>
    </w:p>
    <w:p>
      <w:pPr>
        <w:ind w:left="1060" w:hanging="316"/>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product candidates subject to our alliances may be terminated or significantly delayed;</w:t>
      </w:r>
    </w:p>
    <w:p>
      <w:pPr>
        <w:spacing w:after="0" w:line="130" w:lineRule="exact"/>
        <w:rPr>
          <w:rFonts w:ascii="Arial" w:cs="Arial" w:eastAsia="Arial" w:hAnsi="Arial"/>
          <w:sz w:val="18"/>
          <w:szCs w:val="18"/>
          <w:color w:val="auto"/>
        </w:rPr>
      </w:pPr>
    </w:p>
    <w:p>
      <w:pPr>
        <w:jc w:val="both"/>
        <w:ind w:left="1060" w:right="180" w:hanging="316"/>
        <w:spacing w:after="0" w:line="342" w:lineRule="auto"/>
        <w:tabs>
          <w:tab w:leader="none" w:pos="10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our cash expenditures could increase significantly if it is necessary for us to hire additional employees and allocate scarce resources to the development and commercialization of product candidates that were previously funded, or expected to be funded, by our alliance partners;</w:t>
      </w:r>
    </w:p>
    <w:p>
      <w:pPr>
        <w:spacing w:after="0" w:line="29" w:lineRule="exact"/>
        <w:rPr>
          <w:rFonts w:ascii="Arial" w:cs="Arial" w:eastAsia="Arial" w:hAnsi="Arial"/>
          <w:sz w:val="16"/>
          <w:szCs w:val="16"/>
          <w:color w:val="auto"/>
        </w:rPr>
      </w:pPr>
    </w:p>
    <w:p>
      <w:pPr>
        <w:ind w:left="1060" w:right="20" w:hanging="316"/>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would bear all of the risks and costs related to the further development and commercialization of product candidates that were previously the subject of our strategic alliance, including the reimbursement of third parties; and</w:t>
      </w:r>
    </w:p>
    <w:p>
      <w:pPr>
        <w:spacing w:after="0" w:line="75" w:lineRule="exact"/>
        <w:rPr>
          <w:rFonts w:ascii="Arial" w:cs="Arial" w:eastAsia="Arial" w:hAnsi="Arial"/>
          <w:sz w:val="18"/>
          <w:szCs w:val="18"/>
          <w:color w:val="auto"/>
        </w:rPr>
      </w:pPr>
    </w:p>
    <w:p>
      <w:pPr>
        <w:ind w:left="1060" w:right="40" w:hanging="316"/>
        <w:spacing w:after="0" w:line="259"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order to fund further development and commercialization, we may need to seek out and establish alternative strategic alliances with third-party partners; this may not be possible, or we may not be able to do so on terms which are acceptable to us, in which case it may be necessary for us to limit the size or scope of one or more of our programs, increase our expenditures, or seek additional funding by other means.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 these events would have a material adverse effect on our results of operations and financial condition.</w:t>
      </w:r>
    </w:p>
    <w:p>
      <w:pPr>
        <w:spacing w:after="0" w:line="225"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On February 11, 2019, the Company announced the termination of the obligations of CureVac AG (“CureVac”) for the preclinical development of ARCT-810, effective 180 days from February 5, 2019 and the re-assumption by the Company of the worldwide rights thereto. Arcturus will reassume 100% global rights for its flagship asset, clinical development candidate ARCT-810, a messenger RNA (mRNA) drug to treat ornithine transcarbamylase (OTC) deficiency. ARCT-810 was previously subject to a 50/50 collaboration between Arcturus and CureVac AG. CureVac elected not to continue its obligations for the preclinical development of ARCT-810 under and pursuant to the terms of the collaboration.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preclinical development program for ARCT-810, including Investigational New Drug Application (IND) enabling studies, remains on track.</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Arcturus is planning to file an IND for ARCT-810 with the U.S. Food and Drug Administration (FDA) in the fourth quarter of 2019.</w:t>
      </w:r>
    </w:p>
    <w:p>
      <w:pPr>
        <w:spacing w:after="0" w:line="21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Pursuant to the terms of the Co-Development Agreement, CureVac is obligated to continue to fund its share of the preclinical expenses for the OTC program until August of 2019. We expect that Curevac’s share of these preclinical expenses for 2019 will be between $6 and $7.5 million. However, CureVac’s decision to terminate its participation in our OTC deficiency program will require that we finance additional preclinical and clinical activities to develop and commercialize OTC products. We will be materially harmed if we are unable to obtain such additional funds.</w:t>
      </w:r>
    </w:p>
    <w:p>
      <w:pPr>
        <w:spacing w:after="0" w:line="17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Certain agreements with our alliance partners may impair or prevent entirely our ability to generate revenues from the development, manufacture and commercialization of certain product candidates.</w:t>
      </w:r>
    </w:p>
    <w:p>
      <w:pPr>
        <w:spacing w:after="0" w:line="17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Under the Development and Option Agreement with CureVac, as amended (the “CureVac Agreement”), CureVac may be entitled to trigger an option to license certain of our product candidates. CureVac may identify certain of our development candidates as targets under the CureVac Agreement and exercise an option to enter into an exclusive or non-exclusive license agreement with us with respect to these identified targets, subject to the limitations given in the CureVac Agreement. The exercise of this option by CureVac may impair or prevent entirely our ability to generate revenues from the commercialization of these development candidates, as the licensing agreement may give CureVac the right to receive some or all of the revenues from the development, manufacture and/or commercialization of these development candidates. Our inability to realize the benefits from developing, manufacturing or marketing our development candidates with our alliance partners, including with CureVac, may have a material adverse impact on our business, financial condition and prospects.</w:t>
      </w:r>
    </w:p>
    <w:p>
      <w:pPr>
        <w:spacing w:after="0" w:line="192" w:lineRule="exact"/>
        <w:rPr>
          <w:sz w:val="20"/>
          <w:szCs w:val="20"/>
          <w:color w:val="auto"/>
        </w:rPr>
      </w:pPr>
    </w:p>
    <w:p>
      <w:pPr>
        <w:ind w:left="200" w:right="360"/>
        <w:spacing w:after="0" w:line="342" w:lineRule="auto"/>
        <w:rPr>
          <w:sz w:val="20"/>
          <w:szCs w:val="20"/>
          <w:color w:val="auto"/>
        </w:rPr>
      </w:pPr>
      <w:r>
        <w:rPr>
          <w:rFonts w:ascii="Arial" w:cs="Arial" w:eastAsia="Arial" w:hAnsi="Arial"/>
          <w:sz w:val="16"/>
          <w:szCs w:val="16"/>
          <w:b w:val="1"/>
          <w:bCs w:val="1"/>
          <w:i w:val="1"/>
          <w:iCs w:val="1"/>
          <w:color w:val="auto"/>
        </w:rPr>
        <w:t>We rely on third parties to conduct some aspects of our compound formulation, research and preclinical studies, and those third parties may not perform satisfactorily, including failing to meet deadlines for the completion of such formulation, research or testing.</w:t>
      </w:r>
    </w:p>
    <w:p>
      <w:pPr>
        <w:spacing w:after="0" w:line="124"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We do not expect to independently conduct all aspects of our drug discovery activities, compound formulation research or preclinical studies of product candidates. We currently rely and expect to continue to rely on third parties to conduct some aspects of our preclinical studies and formulation development.</w:t>
      </w:r>
    </w:p>
    <w:p>
      <w:pPr>
        <w:spacing w:after="0" w:line="18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Any of these third parties may terminate their engagements with us at any time. If we need to enter into alternative arrangements, it would delay our product development activities. Our reliance on these third parties for research and development activities will reduce our control over these activities but will not relieve us of our responsibilities. For example, for product candidates that we develop and commercialize on our own, we will remain responsible for ensuring that each of our IND-enabling studies and clinical trials are conducted in accordance with the study plan and protocols for the trial.</w:t>
      </w:r>
    </w:p>
    <w:p>
      <w:pPr>
        <w:spacing w:after="0" w:line="18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studies in accordance with regulatory requirements or our stated study plans and protocols, we will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not be able to complete, or may be delayed in completing, the necessary preclinical studies to enable us or our strategic alliance partners to select viable product candidates for IND submissions and will not be able to, or may be delayed in our efforts to, successfully develop and commercialize such product candidates.</w:t>
      </w:r>
    </w:p>
    <w:p>
      <w:pPr>
        <w:spacing w:after="0" w:line="181" w:lineRule="exact"/>
        <w:rPr>
          <w:sz w:val="20"/>
          <w:szCs w:val="20"/>
          <w:color w:val="auto"/>
        </w:rPr>
      </w:pPr>
    </w:p>
    <w:p>
      <w:pPr>
        <w:ind w:left="200" w:right="120"/>
        <w:spacing w:after="0" w:line="381" w:lineRule="auto"/>
        <w:rPr>
          <w:sz w:val="20"/>
          <w:szCs w:val="20"/>
          <w:color w:val="auto"/>
        </w:rPr>
      </w:pPr>
      <w:r>
        <w:rPr>
          <w:rFonts w:ascii="Arial" w:cs="Arial" w:eastAsia="Arial" w:hAnsi="Arial"/>
          <w:sz w:val="15"/>
          <w:szCs w:val="15"/>
          <w:b w:val="1"/>
          <w:bCs w:val="1"/>
          <w:i w:val="1"/>
          <w:iCs w:val="1"/>
          <w:color w:val="auto"/>
        </w:rPr>
        <w:t>We rely on third-party manufacturers to produce the supply of our preclinical product candidates, and we intend to rely on third parties to produce future clinical supplies of product candidates that we advance into clinical trials and commercial supplies of any approved product candidates.</w:t>
      </w:r>
    </w:p>
    <w:p>
      <w:pPr>
        <w:spacing w:after="0" w:line="10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Reliance on third-party manufacturers entails risks, including risks that we would not be subject to if we manufactured the product candidates ourselves, including:</w:t>
      </w:r>
    </w:p>
    <w:p>
      <w:pPr>
        <w:spacing w:after="0" w:line="76" w:lineRule="exact"/>
        <w:rPr>
          <w:sz w:val="20"/>
          <w:szCs w:val="20"/>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inability to meet any product specifications and quality requirements consistently;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delay or inability to procure or expand sufficient manufacturing capacity;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manufacturing and product quality issues related to scale-up of manufacturing;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and validation of new equipment and facilities required for scale-up;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failure to comply with cGMP and similar foreign standards;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inability to negotiate manufacturing or supply agreements with third parties under commercially reasonable terms;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w:t>
      </w:r>
    </w:p>
    <w:p>
      <w:pPr>
        <w:spacing w:after="0" w:line="142" w:lineRule="exact"/>
        <w:rPr>
          <w:rFonts w:ascii="Arial" w:cs="Arial" w:eastAsia="Arial" w:hAnsi="Arial"/>
          <w:sz w:val="17"/>
          <w:szCs w:val="17"/>
          <w:color w:val="auto"/>
        </w:rPr>
      </w:pPr>
    </w:p>
    <w:p>
      <w:pPr>
        <w:ind w:left="1060" w:right="200" w:hanging="316"/>
        <w:spacing w:after="0" w:line="264"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reliance on a limited number of sources, and in some cases, single sources for raw materials, such that if we are unable to secure a sufficient supply of these product components, we will be unable to manufacture and sell future product candidates in a timely fashion, in sufficient quantities or under acceptable terms;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lack of qualified backup suppliers for any raw materials that are currently purchased from a single source supplier;</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failure to deliver products under specified storage conditions and in a timely manner.</w:t>
      </w:r>
    </w:p>
    <w:p>
      <w:pPr>
        <w:spacing w:after="0" w:line="225" w:lineRule="exact"/>
        <w:rPr>
          <w:sz w:val="20"/>
          <w:szCs w:val="20"/>
          <w:color w:val="auto"/>
        </w:rPr>
      </w:pPr>
    </w:p>
    <w:p>
      <w:pPr>
        <w:jc w:val="both"/>
        <w:ind w:left="200" w:firstLine="441"/>
        <w:spacing w:after="0" w:line="342" w:lineRule="auto"/>
        <w:rPr>
          <w:sz w:val="20"/>
          <w:szCs w:val="20"/>
          <w:color w:val="auto"/>
        </w:rPr>
      </w:pPr>
      <w:r>
        <w:rPr>
          <w:rFonts w:ascii="Arial" w:cs="Arial" w:eastAsia="Arial" w:hAnsi="Arial"/>
          <w:sz w:val="16"/>
          <w:szCs w:val="16"/>
          <w:color w:val="auto"/>
        </w:rPr>
        <w:t>Any of these events could lead to clinical study delays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124"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We rely on limited sources of supply for the drug substance of product candidates and any disruption in the chain of supply may cause a delay in developing and commercializing these product candidates.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have established manufacturing relationships with a limited number of suppliers to manufacture raw materials and the drug substance used to create our product candidates. The availability of such suppliers to manufacture raw materials for our product candidates may be limited. Further, each supplier may require licenses to manufacture such components if such processes are not owned by the supplier or in the public domain. As part of any marketing approval, a manufacturer and its processes are required to be qualified by the FDA prior to commercialization.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 addition, if our alliance partners elect to pursue the development and commercialization of certain programs, we will lose control over the manufacturing of the product candidate subject to the agreement. Also, we will not be able to ensure that the product candidates will be manufactured under the correct conditions to permit the product candidates to be used in such clinical trials.</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Furthermore, if our suppliers fail to deliver the required commercial quantities of active pharmaceutical ingredients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Manufacturing issues may arise that could increase product and regulatory approval costs or delay commercialization.</w:t>
      </w:r>
    </w:p>
    <w:p>
      <w:pPr>
        <w:spacing w:after="0" w:line="225"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As we scale-up manufacturing of product candidates and conduct required stability testing, product, packaging, equipment and process-related issues may require refinement or resolution in order to proceed with any clinical trials and obtain regulatory approval for commercial marketing. We may identify significant impurities, which could result in increased scrutiny by the regulatory agencies, delays in clinical programs and regulatory approval, increases in our operating expenses, or failure to obtain or maintain approval for product candidates or any approved products.</w:t>
      </w:r>
    </w:p>
    <w:p>
      <w:pPr>
        <w:spacing w:after="0" w:line="154"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b w:val="1"/>
          <w:bCs w:val="1"/>
          <w:i w:val="1"/>
          <w:iCs w:val="1"/>
          <w:color w:val="auto"/>
        </w:rPr>
        <w:t>We intend to rely on third parties to conduct, supervise and monitor our clinical trials, and if those third parties perform in an unsatisfactory manner, it may harm our business.</w:t>
      </w:r>
    </w:p>
    <w:p>
      <w:pPr>
        <w:spacing w:after="0" w:line="170"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or our strategic alliance partners intend to rely on contract research organizations (“CROs”) and clinical trial sites to ensure the proper and timely conduct of our clinical trials. While we will have agreements governing their activities, we and our strategic alliance partners have limited influence over their actual performance. We will control only certain aspects of our CROs’ activities. Nevertheless, we or our strategic alliance partners will be responsible for ensuring that each of our clinical trials are conducted in accordance with the applicable protocol, legal, regulatory and scientific standards and our reliance on the CROs will not relieve us of our regulatory responsibilities.</w:t>
      </w:r>
    </w:p>
    <w:p>
      <w:pPr>
        <w:spacing w:after="0" w:line="1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our alliance partners and our CROs will be required to comply with the FDA’s or other regulatory agency’s good clinical practices, or GCPs, for conducting, recording and reporting the results of IND-enabling studies and clinical trials to assure that data and reported results are credible and accurate and that the rights, integrity and confidentiality of future clinical trial participants are protected. The FDA and non-U.S. regulatory agencies enforce these GCPs through periodic inspections of trial sponsors, principal investigators and clinical trial sites. If we or our future CROs fail to comply with applicable GCPs, the clinical data generated in our clinical trials may be deemed unreliable and the FDA or applicable non-U.S. regulatory agency may require us to perform additional clinical trials before approving any marketing applications for the relevant jurisdiction. Upon inspection, the FDA or applicable non-U.S. regulatory agency may determine that our future clinical trials did not comply with GCPs. In addition, our future clinical trials will require a sufficiently large number of test subjects to evaluate the safety and effectiveness of a potential drug product. Accordingly, if our future CROs fail to comply with these regulations or fail to recruit a sufficient number of patients, we may be required to repeat such clinical trials, which would delay the regulatory approval process.</w:t>
      </w:r>
    </w:p>
    <w:p>
      <w:pPr>
        <w:spacing w:after="0" w:line="17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Our future CROs will not be our employees, and we will not be able to control whether or not they devote sufficient time and resources to our future clinical and nonclinical programs. These CROs may also have relationships with other commercial entities, including our competitors, for whom they may also be conducting clinical trials, or other drug development activities which could harm our competitive position. If our future CROs do not successfully carry out their contractual duties or obligations, fail to meet expected deadlines, or if</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24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our financial results and the commercial prospects for such products and any product candidates that we develop would be harmed, our costs could increase, and our ability to generate revenues could be delayed.</w:t>
      </w:r>
    </w:p>
    <w:p>
      <w:pPr>
        <w:spacing w:after="0" w:line="154"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intend to rely on other third parties to store and distribute drug products for any clinical trials that we may conduct. Any performance failure on the part of our distributors could delay clinical development or marketing approval of our product candidates or commercialization of our products, if approved, producing additional losses and depriving us of potential product revenue.</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If we are unable to obtain or protect intellectual property rights related to our future products and product candidates, we may not be able to compete effectively in our markets.</w:t>
      </w:r>
    </w:p>
    <w:p>
      <w:pPr>
        <w:spacing w:after="0" w:line="170"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As of March 1, 2019, we are the sole owner of 152 patents and pending patent applications including 18 U.S. patents, 24 pending U.S. patent applications, 7 pending international under the Patent Cooperation Treaty (“PCT”), 44 foreign patents and 59 pending foreign patent applications. The strength of patents in the biotechnology and pharmaceutical field involves complex legal and scientific questions and can be uncertain. The patent applications that we own or in-license may fail to result in patents with claims that cover the products in the United States or in other countries. There is no assurance that all of the potentially relevant prior art relating to our patents and patent applications has been found; such prior art can invalidate a patent or prevent a patent from issuing based on a pending patent application. Even if patents do successfully issue, third parties may challenge their validity, enforceability or scope, which may result in such patents being narrowed or invalidated. Furthermore, even if they are unchallenged, our patents and patent applications may not adequately protect our intellectual property or prevent others from designing around our claims.</w:t>
      </w:r>
    </w:p>
    <w:p>
      <w:pPr>
        <w:spacing w:after="0" w:line="180"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If the patent applications we hold or have in-licensed with respect to our programs or product candidates fail to issue or if their breadth or strength of protection is threatened, it could dissuade companies from collaborating with us to develop product candidates, and threaten our ability to commercialize, future products. We cannot offer any assurances about which, if any, patents will issue or whether any issued patents will be found invalid and unenforceable or will be threatened by third parties. A patent may be challenged through one or more of several administrative proceedings including post-grant challenges, re-examination or opposition before the U.S. PTO or foreign patent offices. For example, re-examination of, or oppositions to, patents owned by or licensed to us have previously been initiated, and while we believe these concluded proceedings did not result in a commercially relevant impact on the individual patents, any successful challenge of patents or any other patents owned by or licensed to us could deprive us of rights necessary for the successful commercialization of any product candidates that we or our strategic alliance partners may develop.</w:t>
      </w:r>
    </w:p>
    <w:p>
      <w:pPr>
        <w:spacing w:after="0" w:line="166"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Since patent applications in the United States and most other countries are confidential for a period of time after filing, and some remain so until issued, we cannot be certain that we were the first to file any patent application related to a product candidate. Furthermore, in certain situations, if we and one or more third parties have filed patent applications in the United States and claiming the same subject matter, an administrative proceeding, known as an interference, can be initiated to determine which applicant is entitled to the patent on</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that subject matter. Such an interference proceeding provoked by third parties or brought by us may be necessary to determine the priority of inventions with respect to our patents or patent applications, or those of our alliance partners or licensors. An unfavorable outcome could require us to cease using the related technology or to require us to license rights to it from the prevailing party. Our business could be harmed if the prevailing party does not offer us a license at all, or on commercially reasonable terms. Our defense of a patent or patent application in such a proceeding may not be successful and, even if successful, may result in substantial costs and distract our management and other employees.</w:t>
      </w:r>
    </w:p>
    <w:p>
      <w:pPr>
        <w:spacing w:after="0" w:line="173"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In addition, patents have a limited lifespan. In the United States, the natural expiration of a patent is generally 20 years after it is filed. Various extensions may be available however the life of a patent, and the protection it affords is limited. Once the patent life has expired for a product, we may be open to competition from generic medications. Further, if we encounter delays in regulatory approvals, the period of time during which we could market a product candidate under patent protection could be reduced.</w:t>
      </w:r>
    </w:p>
    <w:p>
      <w:pPr>
        <w:spacing w:after="0" w:line="187"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including processes for which patents are difficult to enforce and any other elements of our drug discovery and development processes that involve proprietary know-how, information or technology that is not covered by patents. Although each of our employees agrees to assign their inventions to us through an employee inventions agreement, and all of our employees, consultants, advisors and any third parties who have access to our proprietary know-how, information or technology are required to enter into confidentiality agreements, we cannot provide any assurances that all such agreements have been duly executed, that our trade secrets and other confidential proprietary information will not be disclosed or that competitors will not otherwise gain access to our trade secrets or independently develop substantially equivalent information and techniques.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69"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22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Numerous U.S. and foreign issued patents and pending patent applications, which are owned by third parties, exist in the fields in which we and our strategic alliance partners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93"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Third parties may assert that we are employing their proprietary technology without authorization. There may be third-party patents or patent applications with claims to materials, formulations, methods of manufacture or methods for treatment related to the use or manufacture of our product candidates. Because patent applications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0" w:lineRule="auto"/>
        <w:rPr>
          <w:sz w:val="20"/>
          <w:szCs w:val="20"/>
          <w:color w:val="auto"/>
        </w:rPr>
      </w:pPr>
      <w:r>
        <w:rPr>
          <w:rFonts w:ascii="Arial" w:cs="Arial" w:eastAsia="Arial" w:hAnsi="Arial"/>
          <w:sz w:val="16"/>
          <w:szCs w:val="16"/>
          <w:color w:val="auto"/>
        </w:rPr>
        <w:t>can take many years to issue, there may be currently pending patent applications which may later result in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66"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58" w:lineRule="exact"/>
        <w:rPr>
          <w:sz w:val="20"/>
          <w:szCs w:val="20"/>
          <w:color w:val="auto"/>
        </w:rPr>
      </w:pPr>
    </w:p>
    <w:p>
      <w:pPr>
        <w:ind w:left="200" w:right="20"/>
        <w:spacing w:after="0" w:line="381" w:lineRule="auto"/>
        <w:rPr>
          <w:sz w:val="20"/>
          <w:szCs w:val="20"/>
          <w:color w:val="auto"/>
        </w:rPr>
      </w:pPr>
      <w:r>
        <w:rPr>
          <w:rFonts w:ascii="Arial" w:cs="Arial" w:eastAsia="Arial" w:hAnsi="Arial"/>
          <w:sz w:val="15"/>
          <w:szCs w:val="15"/>
          <w:b w:val="1"/>
          <w:bCs w:val="1"/>
          <w:i w:val="1"/>
          <w:iCs w:val="1"/>
          <w:color w:val="auto"/>
        </w:rPr>
        <w:t>If we fail to obtain licenses or comply with our obligations in these agreements under which we license intellectual property rights from third parties or otherwise experience disruptions to our business relationships with our licensors, we could lose license rights that are important to our business.</w:t>
      </w:r>
    </w:p>
    <w:p>
      <w:pPr>
        <w:spacing w:after="0" w:line="101"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We are a party to intellectual property license agreements that are important to our business and expect to enter into additional license agreements in the future. Our existing license agreements impose, and we expect that future license agreements will impose, various obligations on us, as described in “Other Material Agreements” and “Collaboration Agreements” under Part I, Item 1 and elsewhere in this annual report.</w:t>
      </w:r>
    </w:p>
    <w:p>
      <w:pPr>
        <w:spacing w:after="0" w:line="166"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do not exist which might be enforced against our future products, resulting in either an injunction prohibiting our sales, or, with respect to our sales, an obligation on our part to pay royalties and/or other forms of compensation to third parties.</w:t>
      </w:r>
    </w:p>
    <w:p>
      <w:pPr>
        <w:spacing w:after="0" w:line="158"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licensees, which could be expensive, time consuming and unsuccessful.</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Competitors may infringe our patents or the patents of our licensees. To counter infringement or unauthorized use, we may be required to file infringement claims, which can be expensive and time-consuming. In addition, in an infringement proceeding, a court may decide that a patent of ours or of our licensees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defense in a lawsuit may fail and, even if successful, may result in substantial costs and distract our management and other employees. We may not be able to prevent, alone or with our licensees, misappropriation of our intellectual property rights, particularly in countries where the laws may not protect those rights as fully as in the United States.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Ordinary Shares.</w:t>
      </w:r>
    </w:p>
    <w:p>
      <w:pPr>
        <w:spacing w:after="0" w:line="18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employ individuals who were previously employed at other biotechnology or pharmaceutical companies.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if we are successful, litigation could result in substantial cost and be a distraction to our management and other employees.</w:t>
      </w:r>
    </w:p>
    <w:p>
      <w:pPr>
        <w:spacing w:after="0" w:line="3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COMMERCIALIZATION OF PRODUCT CANDIDATES</w:t>
      </w:r>
    </w:p>
    <w:p>
      <w:pPr>
        <w:spacing w:after="0" w:line="229"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b w:val="1"/>
          <w:bCs w:val="1"/>
          <w:i w:val="1"/>
          <w:iCs w:val="1"/>
          <w:color w:val="auto"/>
        </w:rPr>
        <w:t>The commercial success of our programs that are part of our strategic alliance agreements will depend in large part on the development and marketing efforts of our alliance partners. If our alliance partners are unable or unwilling to perform in accordance with the terms of our agreements, our potential to generate future revenue from these programs would be significantly reduced and our business would be materially and adversely harmed.</w:t>
      </w:r>
    </w:p>
    <w:p>
      <w:pPr>
        <w:spacing w:after="0" w:line="18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If or when our strategic alliance partners elect to further pursue the development and commercialization of any of the product candidates that are subject to its strategic alliance agreement with us, we will have limited influence and/or control over their approaches to development and commercialization. If strategic alliance partners do not perform in the manner that we expect or fail to fulfill their responsibilities in a timely manner, or at all, the clinical development, regulatory approval and commercialization efforts related to product candidates we have licensed to such strategic alliance partners could be delayed or terminated. If we terminate any of our strategic alliances or any program thereunder, we may have the right to assume the responsibility at our own expense for the development of the applicable product candidates. Assuming sole responsibility for further development will increase our expenditures, and may mean we will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p>
    <w:p>
      <w:pPr>
        <w:spacing w:after="0" w:line="182"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We have competitors both in the United States and internationally, including major multinational pharmaceutical companies, biotechnology companies and universities and other research institutions. Our competitors may have substantially greater financial, technical and other resources, such as larger research and development staff and experienced marketing and manufacturing organizations. Additional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any product candidate that we may develop.</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All of our programs are preclinical and targeted toward indications for which there are product candidates in clinical development. We will face competition from other drugs currently approved or that may be approved in the future for the same therapeutic indications. For example, both Synlogic and Ultragenyx are currently conducting clinical trials with therapies to treat ornithine transcarbamylase, or OTC, deficiency. Currently approved therapies for these patients include the small molecule nitrogen scavengers sodium benzoate, sodium phenylacetate, and sodium phenylbutyrate, and glycerol phenylbutyrate (brand name Ravicti</w:t>
      </w:r>
      <w:r>
        <w:rPr>
          <w:rFonts w:ascii="Arial" w:cs="Arial" w:eastAsia="Arial" w:hAnsi="Arial"/>
          <w:sz w:val="15"/>
          <w:szCs w:val="15"/>
          <w:color w:val="auto"/>
        </w:rPr>
        <w:t>®</w:t>
      </w:r>
      <w:r>
        <w:rPr>
          <w:rFonts w:ascii="Arial" w:cs="Arial" w:eastAsia="Arial" w:hAnsi="Arial"/>
          <w:sz w:val="18"/>
          <w:szCs w:val="18"/>
          <w:color w:val="auto"/>
        </w:rPr>
        <w:t>). Our ability to compete successfully will depend largely on our ability to leverage our experience in drug discovery and development to:</w:t>
      </w:r>
    </w:p>
    <w:p>
      <w:pPr>
        <w:spacing w:after="0" w:line="99" w:lineRule="exact"/>
        <w:rPr>
          <w:sz w:val="20"/>
          <w:szCs w:val="20"/>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discover and develop therapeutics that are superior to other products in the market;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obtain patent and/or other proprietary protection for our nucleic acid product platform and future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successfully collaborate with pharmaceutical companies in the discovery, development and commercialization of new therapeutics.</w:t>
      </w:r>
    </w:p>
    <w:p>
      <w:pPr>
        <w:spacing w:after="0" w:line="23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products that we may develop and commercialize. We will not achieve our business plan if the acceptance of any of these products is inhibited by price competition or the reluctance of physicians to switch from existing drug products to our products, or if physicians switch to other new drug products or choose to reserve our future products for use in limited circumstances. The inability to compete with existing or subsequently introduced drug products would have a material adverse impact on our business, financial condition and prospects.</w:t>
      </w:r>
    </w:p>
    <w:p>
      <w:pPr>
        <w:spacing w:after="0" w:line="188" w:lineRule="exact"/>
        <w:rPr>
          <w:sz w:val="20"/>
          <w:szCs w:val="20"/>
          <w:color w:val="auto"/>
        </w:rPr>
      </w:pPr>
    </w:p>
    <w:p>
      <w:pPr>
        <w:ind w:left="200" w:right="300" w:firstLine="441"/>
        <w:spacing w:after="0" w:line="276" w:lineRule="auto"/>
        <w:rPr>
          <w:sz w:val="20"/>
          <w:szCs w:val="20"/>
          <w:color w:val="auto"/>
        </w:rPr>
      </w:pPr>
      <w:r>
        <w:rPr>
          <w:rFonts w:ascii="Arial" w:cs="Arial" w:eastAsia="Arial" w:hAnsi="Arial"/>
          <w:sz w:val="17"/>
          <w:szCs w:val="17"/>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receiving FDA approval or discovering, developing and commercializing product candidates before we do, which would have a material adverse impact on our business.</w:t>
      </w:r>
    </w:p>
    <w:p>
      <w:pPr>
        <w:spacing w:after="0" w:line="173"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acceptance of these product candidates by the medical community, including physicians, patients and healthcare payors.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degree of market acceptance of any product candidates will depend on a number of factors, including:</w:t>
      </w:r>
    </w:p>
    <w:p>
      <w:pPr>
        <w:spacing w:after="0" w:line="131" w:lineRule="exact"/>
        <w:rPr>
          <w:sz w:val="20"/>
          <w:szCs w:val="20"/>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demonstration of clinical safety and efficacy compared to other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relative convenience, ease of administration and acceptance by physicians, patients and healthcare payors;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prevalence and severity of any AEs;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limitations or warnings contained in the FDA-approved label for such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effectiveness of our, or any of our collaborators’, sales and marketing strategies;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obtain hospital formulary approval;</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and adequate reimbursement;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Unless other formulations are developed in the future, we expect our compounds to be formulated in an injectable form. Injectable medications may be disfavored by patients or their physicians in the event drugs which are easy to administer, such as oral medications, are available. If a product is approved, but does not achieve an adequate level of acceptance by physicians, patients and healthcare payors, we may not generate sufficient revenues from such product and we may not become or remain profitable. Such increased competition may decrease any future potential revenue for future product candidates due to increasing pressure for lower pricing and higher discounts in the commercialization of our product.</w:t>
      </w:r>
    </w:p>
    <w:p>
      <w:pPr>
        <w:spacing w:after="0" w:line="158"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17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We currently do not have an organization for the sales, marketing and distribution of pharmaceutical products and the cost of establishing and maintaining such an organization may exceed the cost-effectiveness of doing so. In order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we intend to enter into strategic alliances with third parties to commercialize other product candidates, including in markets outside of the United States or for other large markets that are beyond our resources. Although we intend to establish a sales organization if we are able to obtain approval to market any product candidates for niche markets in the United States, we will also consider the option to enter into strategic alliances for future product candidates in the United States if commercialization requirements exceed our available resources. This will reduce the revenue generated from the sales of these products.</w:t>
      </w:r>
    </w:p>
    <w:p>
      <w:pPr>
        <w:spacing w:after="0" w:line="19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Our current and 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own marketing and sales force, or if our potential future strategic alliance partners do not successfully commercialize the product candidates, our ability to generate revenues from product sales will be adversely affected.</w:t>
      </w:r>
    </w:p>
    <w:p>
      <w:pPr>
        <w:spacing w:after="0" w:line="188" w:lineRule="exact"/>
        <w:rPr>
          <w:sz w:val="20"/>
          <w:szCs w:val="20"/>
          <w:color w:val="auto"/>
        </w:rPr>
      </w:pPr>
    </w:p>
    <w:p>
      <w:pPr>
        <w:jc w:val="both"/>
        <w:ind w:left="200" w:right="240" w:firstLine="441"/>
        <w:spacing w:after="0" w:line="259" w:lineRule="auto"/>
        <w:rPr>
          <w:sz w:val="20"/>
          <w:szCs w:val="20"/>
          <w:color w:val="auto"/>
        </w:rPr>
      </w:pPr>
      <w:r>
        <w:rPr>
          <w:rFonts w:ascii="Arial" w:cs="Arial" w:eastAsia="Arial" w:hAnsi="Arial"/>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8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any approved products outside of the United States, a variety of risks associated with international operations could materially adversely affect our business.</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If we obtain approval to commercialize any approved products outside of the United States, we expect that we will be subject to additional risks related to entering into international business relationships, including:</w:t>
      </w:r>
    </w:p>
    <w:p>
      <w:pPr>
        <w:spacing w:after="0" w:line="76" w:lineRule="exact"/>
        <w:rPr>
          <w:sz w:val="20"/>
          <w:szCs w:val="20"/>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30"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our product candidates, which could make it difficult for us to sell products profitably.</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Market acceptance and sales of any product candidates that we develop will depend on coverage and reimbursement policies and may be affected by future healthcare reform measures. Government authorities and third-party payors, such as private health insurers, government payors and health maintenance organizations, decide which drugs they will pay for and establish reimbursement levels. We cannot be sure that coverage and adequate reimbursement will be available for any future product candidates. Also, inadequate reimbursement amounts may reduce the demand for, or the price of, our future products. Further, one payor’s determination to provide coverage for a product does not assure that other payors will also provide coverage for the product. If reimbursement is not available, or is available only at limited levels, we may not be able to successfully commercialize product candidates that we develop.</w:t>
      </w:r>
    </w:p>
    <w:p>
      <w:pPr>
        <w:spacing w:after="0" w:line="189"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addition, we cannot be certain if and when we will obtain formulary approval to allow us to sell any products that we may develop and commercialize into our target markets. Obtaining formulary approval from hospitals and from payors can be an expensive and time-consuming process. Failure to obtain timely formulary approval will limit our commercial success.</w:t>
      </w:r>
    </w:p>
    <w:p>
      <w:pPr>
        <w:spacing w:after="0" w:line="181" w:lineRule="exact"/>
        <w:rPr>
          <w:sz w:val="20"/>
          <w:szCs w:val="20"/>
          <w:color w:val="auto"/>
        </w:rPr>
      </w:pPr>
    </w:p>
    <w:p>
      <w:pPr>
        <w:ind w:left="200" w:right="160" w:firstLine="441"/>
        <w:spacing w:after="0" w:line="271" w:lineRule="auto"/>
        <w:rPr>
          <w:sz w:val="20"/>
          <w:szCs w:val="20"/>
          <w:color w:val="auto"/>
        </w:rPr>
      </w:pPr>
      <w:r>
        <w:rPr>
          <w:rFonts w:ascii="Arial" w:cs="Arial" w:eastAsia="Arial" w:hAnsi="Arial"/>
          <w:sz w:val="17"/>
          <w:szCs w:val="17"/>
          <w:color w:val="auto"/>
        </w:rPr>
        <w:t>There have been a number of legislative and regulatory proposals to change the healthcare system in the United States and in some foreign jurisdictions that could affect our ability to sell products profitably. These legislative and/or regulatory changes may negatively impact the reimbursement for drug products, following approval. The availability of numerous generic treatments may also substantially reduce the likelihood of reimbursement for our future products. The potential application of user fees to generic drug products may expedite the approval of additional generic drug treatments. We expect to experience pricing pressures in connection with the sale of any products that we develop, due to the trend toward managed healthcare, the increasing influence of health maintenance organizations and additional legislative changes. If we fail to successfully secure and maintain reimbursement coverage for our future products or are significantly delayed in doing so, we will have difficulty achieving market acceptance of our future products and our business will be harmed.</w:t>
      </w:r>
    </w:p>
    <w:p>
      <w:pPr>
        <w:spacing w:after="0" w:line="179"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In addition,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80"/>
          </w:cols>
          <w:pgMar w:left="24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U.S. and generally tend to be priced significantly lower.</w:t>
      </w:r>
    </w:p>
    <w:p>
      <w:pPr>
        <w:spacing w:after="0" w:line="3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future success depends on our ability to attract and retain key executives and to attract, retain and motivate qualified personnel.</w:t>
      </w:r>
    </w:p>
    <w:p>
      <w:pPr>
        <w:spacing w:after="0" w:line="237"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We are highly dependent on principal members of our executive team, and any reduction or loss of their services may adversely impact the achievement of our objectives. While we have entered into employment agreements with each of our executive officers, any of them could leave our employment at any time, as all of our employees are “at will” employees. Recruiting and retaining other qualified employees for our business, including scientific and technical personnel, will also be critical to our success. There is currently a shortage of skilled executives in our industry, which is likely to continue. As a result, competition for skilled personnel is intense and the turnover rate can be high. We may not be able to attract and retain personnel on acceptable terms given the competition among numerous pharmaceutical companies for individuals with similar skill sets. In addition, failure to succeed in preclinical studies and clinical trials may make it more challenging to recruit and retain qualified personnel. The inability to recruit any executive or key employee or the loss of the services of any executive or key employee might impede the progress of our research, development and commercialization objectives.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may need to expand our organization and may experience difficulties in managing this growth, which could disrupt our operations.</w:t>
      </w:r>
    </w:p>
    <w:p>
      <w:pPr>
        <w:spacing w:after="0" w:line="23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As of December 31, 2018, we had 72 employees. In the future we may expand our employee base to increase our managerial, scientific, operational, commercial, financial and other resources and we may hire more consultants and contractors.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or give rise to operational mistakes, loss of business opportunities, loss of employees or reduced productivity among remaining employees. Our expected growth could require significant capital expenditures and may divert financial resources from other projects, such as the development of additional product candidates. Moreover,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183"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7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or nonintentional failures to comply with the regulations of the FDA and non-U.S. regulators, to provide accurate information to the FDA and non-U.S. regulators, to comply with healthcare fraud and abuse laws and regulations in the United States and abroad, to report financial information or data accurately or to</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cause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fines, possible exclusion from Medicare, Medicaid and other government healthcare programs, additional reporting requirements and/or oversight, particularly if we become subject to a corporate integrity agreement or similar agreement to resolve allegations of non-compliance, disgorgement, imprisonment, and contractual damages.</w:t>
      </w:r>
    </w:p>
    <w:p>
      <w:pPr>
        <w:spacing w:after="0" w:line="18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We intend to redomicile to the U.S. and such redomiciliation may result in disruptions to our business or otherwise materially harm our results of operations or financial condition.</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are incorporated in Israel, while all of our offices, assets, management, board members and most of our business partners are located in the United States. We have begun proceedings in Israel to reincorporate in the State of Delaware, in the United States, while maintaining our Nasdaq listing. Such reincorporation may require a significant amount of time, cost and focus from management and other employees, which may divert attention from our research and commercial activities. If any reincorporation activities we undertake in the future fail to achieve some or all of the expected benefits therefrom, our business, results of operations and financial condition could be materially and adversely affected.</w:t>
      </w:r>
    </w:p>
    <w:p>
      <w:pPr>
        <w:spacing w:after="0" w:line="17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addition, a redomiciliation of the company will be subject to all corporate approvals, which will include an approval of our shareholders, and such redomiciliation may result in certain shareholders recognizing taxable income in the jurisdiction in which such shareholders are tax residents or in, in certain cases, in which their members or partners are resident. Shareholders may be subject to withholding taxes or other taxes with respect to their ownership of the company after the reincorporation. If a plan to redomicile the company is adopted and executed, we do not intend to make any cash distributions to shareholders to pay such taxes.</w:t>
      </w:r>
    </w:p>
    <w:p>
      <w:pPr>
        <w:spacing w:after="0" w:line="188"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b w:val="1"/>
          <w:bCs w:val="1"/>
          <w:i w:val="1"/>
          <w:iCs w:val="1"/>
          <w:color w:val="auto"/>
        </w:rPr>
        <w:t>Certain current and future relationships with customers and third-party payors as well as certain of our business operations may be subject, directly or indirectly, to federal and state healthcare fraud and abuse laws, false claims laws and health information privacy and security laws. If we are unable to comply, or have not fully complied, with such laws, we could face criminal sanctions, civil penalties, contractual damages, reputational harm and diminished profits and future earnings.</w:t>
      </w:r>
    </w:p>
    <w:p>
      <w:pPr>
        <w:spacing w:after="0" w:line="187"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If we obtain FDA approval for any of our product candidates and begin commercializing those products in the United States, our operations may be directly, or indirectly through our customers, further subject to various federal and state fraud and abuse laws, including, without limitation, the federal Anti-Kickback Statute and the federal False Claims Act. These laws may impact, among other things, our proposed sales, marketing and education programs. In addition, we may be subject to patient privacy regulation by the federal government and by the U.S. states and foreign jurisdictions in which we conduct our business. The healthcare laws and regulations that may affect our ability to operate include:</w:t>
      </w:r>
    </w:p>
    <w:p>
      <w:pPr>
        <w:spacing w:after="0" w:line="64" w:lineRule="exact"/>
        <w:rPr>
          <w:sz w:val="20"/>
          <w:szCs w:val="20"/>
          <w:color w:val="auto"/>
        </w:rPr>
      </w:pPr>
    </w:p>
    <w:p>
      <w:pPr>
        <w:ind w:left="1060" w:right="560" w:hanging="316"/>
        <w:spacing w:after="0" w:line="259"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remuneration, directly or indirectly, to induce, or in return for, either the referral of an individual, or the purchase or recommendation of an item or service for which payment may be made under a federal healthcare program, such as the Medicare and Medicaid programs;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20" w:hanging="316"/>
        <w:spacing w:after="0" w:line="264"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including the federal False Claims Act, which prohibit, among other things, individuals or entities from knowingly presenting, or causing to be presented, claims for payment to the federal government, including Medicare or Medicaid, that are false or fraudulent;</w:t>
      </w:r>
    </w:p>
    <w:p>
      <w:pPr>
        <w:spacing w:after="0" w:line="86" w:lineRule="exact"/>
        <w:rPr>
          <w:rFonts w:ascii="Arial" w:cs="Arial" w:eastAsia="Arial" w:hAnsi="Arial"/>
          <w:sz w:val="18"/>
          <w:szCs w:val="18"/>
          <w:color w:val="auto"/>
        </w:rPr>
      </w:pPr>
    </w:p>
    <w:p>
      <w:pPr>
        <w:ind w:left="1060" w:right="200" w:hanging="316"/>
        <w:spacing w:after="0" w:line="264"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that prohibit, among other things, executing a scheme to defraud any healthcare benefit program and making false statements relating to healthcare matters;</w:t>
      </w:r>
    </w:p>
    <w:p>
      <w:pPr>
        <w:spacing w:after="0" w:line="86" w:lineRule="exact"/>
        <w:rPr>
          <w:rFonts w:ascii="Arial" w:cs="Arial" w:eastAsia="Arial" w:hAnsi="Arial"/>
          <w:sz w:val="18"/>
          <w:szCs w:val="18"/>
          <w:color w:val="auto"/>
        </w:rPr>
      </w:pPr>
    </w:p>
    <w:p>
      <w:pPr>
        <w:ind w:left="1060" w:right="40" w:hanging="316"/>
        <w:spacing w:after="0" w:line="297" w:lineRule="auto"/>
        <w:tabs>
          <w:tab w:leader="none" w:pos="1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implementing regulations, which imposes certain requirements on certain types of individuals and entities, such as healthcare providers, health plans and healthcare clearing houses, known as “covered entities,” as well as their “business associates”, independent contractors or agents of covered entities that receive or obtain individually identifiable health information in connection with providing a service on behalf of a covered entity, relating to the privacy, security and transmission of individually identifiable health information;</w:t>
      </w:r>
    </w:p>
    <w:p>
      <w:pPr>
        <w:spacing w:after="0" w:line="63" w:lineRule="exact"/>
        <w:rPr>
          <w:rFonts w:ascii="Arial" w:cs="Arial" w:eastAsia="Arial" w:hAnsi="Arial"/>
          <w:sz w:val="16"/>
          <w:szCs w:val="16"/>
          <w:color w:val="auto"/>
        </w:rPr>
      </w:pPr>
    </w:p>
    <w:p>
      <w:pPr>
        <w:ind w:left="1060" w:right="280" w:hanging="316"/>
        <w:spacing w:after="0" w:line="297" w:lineRule="auto"/>
        <w:tabs>
          <w:tab w:leader="none" w:pos="1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and further requires applicable manufacturers and applicable group purchasing organizations to report annually to CMS ownership and investment interests held by physicians and their immediate family members; and</w:t>
      </w:r>
    </w:p>
    <w:p>
      <w:pPr>
        <w:spacing w:after="0" w:line="63" w:lineRule="exact"/>
        <w:rPr>
          <w:rFonts w:ascii="Arial" w:cs="Arial" w:eastAsia="Arial" w:hAnsi="Arial"/>
          <w:sz w:val="16"/>
          <w:szCs w:val="16"/>
          <w:color w:val="auto"/>
        </w:rPr>
      </w:pPr>
    </w:p>
    <w:p>
      <w:pPr>
        <w:ind w:left="1060" w:hanging="316"/>
        <w:spacing w:after="0" w:line="291" w:lineRule="auto"/>
        <w:tabs>
          <w:tab w:leader="none" w:pos="1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such as: anti-kickback and false claims laws which may apply to items or services reimbursed by any third party payor, including commercial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6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In addition, the European Union, or EU, has established its own data security and privacy legal framework, including but not limited to Directive 95/46/EC, or the Data Protection Directive. The European General Data Protection Regulation, or GDPR, took effect on May 25, 2018,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regulation due to the GDPR.</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without limitation, civil, criminal and administrative penalties, damages, fines, possible exclusion from Medicare, Medicaid and other government healthcare programs, additional reporting requirements and/or oversight, particularly if we become subject to a corporate integrity agreement or similar agreement to resolve allegations of non-compliance, disgorgement, imprisonment, contractual damages, reputational harm, diminished profits and future earnings, and curtailment or restructuring of our operations, any of which could adversely affect our ability to operate our business and our results of operations.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and future healthcare legislation may further impact our business operations.</w:t>
      </w:r>
    </w:p>
    <w:p>
      <w:pPr>
        <w:spacing w:after="0" w:line="225"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 For example, in March 2010, the Patient Protection and Affordable Care Act, as amended by the Health Care and Education Reconciliation Act of 2010, or collectively the ACA, was enacted, which made a number of substantial changes in the way healthcare is financed by both governmental and private insurers. Since its passage, there have been judicial and Congressional challenges to certain aspects of the ACA, as well as recent efforts by the Trump administration to repeal or replace certain aspects of the ACA. Since January 2017, President Trump has signed two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On December 22, 2017, President Trump signed into law H.R. 1, “An Act to provide for reconciliation pursuant to titles II and V of the concurrent resolution on the budget for fiscal year 2018,” informally titled the Tax Cuts and Jobs Act, which significantly revises the U.S. Internal Revenue Code of 1986, as amended (the Code).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 As a result, there is significant uncertainty regarding future healthcare reform and its impact on our operations.</w:t>
      </w:r>
    </w:p>
    <w:p>
      <w:pPr>
        <w:spacing w:after="0" w:line="180" w:lineRule="exact"/>
        <w:rPr>
          <w:sz w:val="20"/>
          <w:szCs w:val="20"/>
          <w:color w:val="auto"/>
        </w:rPr>
      </w:pPr>
    </w:p>
    <w:p>
      <w:pPr>
        <w:ind w:left="200" w:right="100" w:firstLine="441"/>
        <w:spacing w:after="0" w:line="269" w:lineRule="auto"/>
        <w:rPr>
          <w:sz w:val="20"/>
          <w:szCs w:val="20"/>
          <w:color w:val="auto"/>
        </w:rPr>
      </w:pPr>
      <w:r>
        <w:rPr>
          <w:rFonts w:ascii="Arial" w:cs="Arial" w:eastAsia="Arial" w:hAnsi="Arial"/>
          <w:sz w:val="17"/>
          <w:szCs w:val="17"/>
          <w:color w:val="auto"/>
        </w:rPr>
        <w:t>Further,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to encourage importation from other countries and bulk purchasing.</w:t>
      </w:r>
    </w:p>
    <w:p>
      <w:pPr>
        <w:spacing w:after="0" w:line="180" w:lineRule="exact"/>
        <w:rPr>
          <w:sz w:val="20"/>
          <w:szCs w:val="20"/>
          <w:color w:val="auto"/>
        </w:rPr>
      </w:pPr>
    </w:p>
    <w:p>
      <w:pPr>
        <w:ind w:left="200" w:right="1000" w:firstLine="441"/>
        <w:spacing w:after="0" w:line="277" w:lineRule="auto"/>
        <w:rPr>
          <w:sz w:val="20"/>
          <w:szCs w:val="20"/>
          <w:color w:val="auto"/>
        </w:rPr>
      </w:pPr>
      <w:r>
        <w:rPr>
          <w:rFonts w:ascii="Arial" w:cs="Arial" w:eastAsia="Arial" w:hAnsi="Arial"/>
          <w:sz w:val="18"/>
          <w:szCs w:val="18"/>
          <w:color w:val="auto"/>
        </w:rPr>
        <w:t>We expect that healthcare reform measures that may be adopted in the future may result in more rigorous coverage criteria and lower reimbursement, and in additional downward pressure on the price that we receive for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any approved product. Any reduction in reimbursement from Medicare or other government-funded programs may result in a similar reduction in payments from private payors.</w:t>
      </w:r>
    </w:p>
    <w:p>
      <w:pPr>
        <w:spacing w:after="0" w:line="170"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We cannot predict what healthcare reform initiatives may be adopted in the future. Further federal, state and foreign legislative and regulatory developments are likely, and we expect ongoing initiatives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potential product liability, and, if successful claims are brought against us, we may incur substantial liability and costs.</w:t>
      </w:r>
    </w:p>
    <w:p>
      <w:pPr>
        <w:spacing w:after="0" w:line="225"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use of our product candidates in future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For example, unanticipated adverse effects could result from the use of our future products or product candidates which may result in a potential product liability claim. If we cannot successfully defend against product liability claims, we could incur substantial liability and costs. In addition, regardless of merit or eventual outcome, product liability claims may result in:</w:t>
      </w:r>
    </w:p>
    <w:p>
      <w:pPr>
        <w:spacing w:after="0" w:line="64" w:lineRule="exact"/>
        <w:rPr>
          <w:sz w:val="20"/>
          <w:szCs w:val="20"/>
          <w:color w:val="auto"/>
        </w:rPr>
      </w:pPr>
    </w:p>
    <w:p>
      <w:pPr>
        <w:ind w:left="1060" w:hanging="316"/>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plan to obtain product liability insurance relating to the use of our therapeutics in future clinical trials. However, such insurance coverage may not be sufficient to reimburse us for any expenses or losses we may suffer. Moreover, insurance coverage is becoming increasingly expensive and in the future we may not be able to obtain or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that had unanticipated adverse effects. A successful product liability claim or series of claims brought against us could cause our share price to decline and, if judgments exceed our insurance coverage, could adversely affect our results of operations and business.</w:t>
      </w:r>
    </w:p>
    <w:p>
      <w:pPr>
        <w:spacing w:after="0" w:line="179" w:lineRule="exact"/>
        <w:rPr>
          <w:sz w:val="20"/>
          <w:szCs w:val="20"/>
          <w:color w:val="auto"/>
        </w:rPr>
      </w:pPr>
    </w:p>
    <w:p>
      <w:pPr>
        <w:ind w:left="200" w:right="400"/>
        <w:spacing w:after="0" w:line="342" w:lineRule="auto"/>
        <w:rPr>
          <w:sz w:val="20"/>
          <w:szCs w:val="20"/>
          <w:color w:val="auto"/>
        </w:rPr>
      </w:pPr>
      <w:r>
        <w:rPr>
          <w:rFonts w:ascii="Arial" w:cs="Arial" w:eastAsia="Arial" w:hAnsi="Arial"/>
          <w:sz w:val="16"/>
          <w:szCs w:val="16"/>
          <w:b w:val="1"/>
          <w:bCs w:val="1"/>
          <w:i w:val="1"/>
          <w:iCs w:val="1"/>
          <w:color w:val="auto"/>
        </w:rPr>
        <w:t>Cyber security risks and the failure to maintain the confidentiality, integrity, and availability of our computer hardware, software, and Internet applications and related tools and functions could result in damage to our reputation and/or subject us to costs, fines or lawsuits.</w:t>
      </w:r>
    </w:p>
    <w:p>
      <w:pPr>
        <w:spacing w:after="0" w:line="124"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Our business requires manipulating, analyzing and storing large amounts of data. In addition, we rely on a global enterprise software system to operate and manage our business. We also maintain personally identifiable information about our employees. Our business therefore depends on the continuous, effective, reliable, and secure operation of our computer hardware, software, networks, Internet servers, and related infrastructure. To the extent that our hardware or software malfunctions or access to our data by internal research personnel is interrupted, our business could suffer. The integrity and protection of our employee and company data is critical</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60"/>
          </w:cols>
          <w:pgMar w:left="24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to our business and employees have a high expectation that we will adequately protect their personal information. The regulatory environment governing information, security and privacy laws is increasingly demanding and continues to evolve. Maintaining compliance with applicable security and privacy regulations may increase our operating costs. Although our computer and communications hardware is protected through physical and software safeguards, it is still vulnerable to fire, storm, flood, power loss, earthquakes, telecommunications failures, physical or software break-ins, software viruses, and similar events. These events could lead to the unauthorized access, disclosure and use of non-public information. The techniques used by criminal elements to attack computer systems are sophisticated, change frequently and may originate from less regulated and remote areas of the world. As a result, we may not be able to address these techniques proactively or implement adequate preventative measures. If our computer systems are compromised, we could be subject to fines, damages, litigation and enforcement actions, and we could lose trade secrets, the occurrence of which could harm our business. In addition, any sustained disruption in internet access provided by other companies could harm our business.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interruptions could delay us in the process of developing our future products.</w:t>
      </w:r>
    </w:p>
    <w:p>
      <w:pPr>
        <w:spacing w:after="0" w:line="22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Our headquarters are located in San Diego, California. We are vulnerable to natural disasters such as earthquakes and wild fires, as well as other events that could disrupt our operations. We do not carry insurance for earthquakes or other natural disasters and we may not carry sufficient business interruption insurance to compensate us for losses that may occur. Any losses or damages we incur could have a material adverse effect on our business operations.</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OUR ORDINARY SHARES</w:t>
      </w:r>
    </w:p>
    <w:p>
      <w:pPr>
        <w:spacing w:after="0" w:line="229"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may be highly volatile and investors may not be able to resell shares at or above the price at which they purchase the shares.</w:t>
      </w:r>
    </w:p>
    <w:p>
      <w:pPr>
        <w:spacing w:after="0" w:line="17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Since our merger on November 15, 2017 through March 1, 2019, our closing share price as reported on The Nasdaq Global Market (“Nasdaq”), has ranged from $4.11 to $10.22. The trading price of our Ordinary Shares is likely to continue to be volatile.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Our share price could be subject to wide fluctuations in response to a variety of factors, including but not limited to the following factors:</w:t>
      </w:r>
    </w:p>
    <w:p>
      <w:pPr>
        <w:spacing w:after="0" w:line="131" w:lineRule="exact"/>
        <w:rPr>
          <w:sz w:val="20"/>
          <w:szCs w:val="20"/>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delay in filing an IND or BLA for any of our product candidates and any adverse development or perceived adverse development with respect to the FDA’s review of that IND or BLA;</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failure to maintain our existing strategic alliances or enter into new alliances;</w:t>
      </w:r>
    </w:p>
    <w:p>
      <w:pPr>
        <w:spacing w:after="0" w:line="130" w:lineRule="exact"/>
        <w:rPr>
          <w:rFonts w:ascii="Arial" w:cs="Arial" w:eastAsia="Arial" w:hAnsi="Arial"/>
          <w:sz w:val="18"/>
          <w:szCs w:val="18"/>
          <w:color w:val="auto"/>
        </w:rPr>
      </w:pPr>
    </w:p>
    <w:p>
      <w:pPr>
        <w:ind w:left="1060" w:right="480" w:hanging="316"/>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failure of our strategic alliance partners to elect to develop and commercialize product candidates under our alliance agreements or the termination of any programs under our alliance agreements;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failure by us or our licensors and strategic alliance partners to prosecute, maintain or enforce our intellectual property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preclinical and clinical development activities, product candidates or future products;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inability to obtain adequate product supply for our product candidates or the inability to do so at acceptable prices;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introduction of new products, services or technologies by our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may provide to the public;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failure to meet or exceed the estimates and projections of the investment community;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alliance partners or our competitors;</w:t>
      </w:r>
    </w:p>
    <w:p>
      <w:pPr>
        <w:spacing w:after="0" w:line="75"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significant lawsuits, including patent or licensing matters;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sales of our Ordinary Shares by us or our shareholders in the future;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trading volume of our Ordinary Shares.</w:t>
      </w:r>
    </w:p>
    <w:p>
      <w:pPr>
        <w:spacing w:after="0" w:line="225"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our Ordinary Shares, regardless of our actual operating performance.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requirements of being a publicly traded company may strain our resources and divert management’s attention.</w:t>
      </w:r>
    </w:p>
    <w:p>
      <w:pPr>
        <w:spacing w:after="0" w:line="225"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As a publicly traded company, we have incurred, and will continue to incur, significant legal, accounting and other expenses that we did not incur as a private company. In addition, the Sarbanes-Oxley Act, as well as rules subsequently implemented by the SEC and Nasdaq have imposed various requirements on public companies.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these rules and regulations to make it more difficult and more expensive for us to obtain director and officer liability insurance and we may be required to incur substantial costs to maintain our current levels of such coverage. In addition, most of our personnel consists of the Arcturus Therapeutics, Inc. employees prior to the merger, some of whom may not have previously managed and operated a public company. These employees will need to devote substantial time to gaining expertise regarding operations as a public company and compliance with applicable laws and regulations including the costs associated with the filing requirements under Section 16 of the Exchange Act.</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24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b w:val="1"/>
          <w:bCs w:val="1"/>
          <w:i w:val="1"/>
          <w:iCs w:val="1"/>
          <w:color w:val="auto"/>
        </w:rPr>
        <w:t>We are no longer an “emerging growth company” and are therefore subject to the auditor attestation requirement in the assessment of our internal controls over financial reporting and certain other increased disclosure and governance requirements.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At the end of fiscal year 2018, we lost our status as an “emerging growth company” as defined in the Jumpstart Our Business Startups Act of 2012 (the “JOBS Act”). As a result, we are no longer able to take advantage of certain exemptions from various reporting requirements. Therefore, we are now subject to certain requirements that apply to other public companies that did not previously apply to us, due to our previous status as an emerging growth company. These requirements include:</w:t>
      </w:r>
    </w:p>
    <w:p>
      <w:pPr>
        <w:spacing w:after="0" w:line="92" w:lineRule="exact"/>
        <w:rPr>
          <w:sz w:val="20"/>
          <w:szCs w:val="20"/>
          <w:color w:val="auto"/>
        </w:rPr>
      </w:pPr>
    </w:p>
    <w:p>
      <w:pPr>
        <w:ind w:left="1060" w:right="820" w:hanging="424"/>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compliance with the auditor attestation requirement in the assessment of our internal controls over financial reporting pursuant to Section 404 of the Sarbanes-Oxley Act;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compliance with any new rules that may be adopted by the Public Company Accounting Oversight Board;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compliance with any new or revised financial accounting standards applicable to public companies without an extended transition period;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full disclosure regarding executive compensation required of larger public companies; and</w:t>
      </w:r>
    </w:p>
    <w:p>
      <w:pPr>
        <w:spacing w:after="0" w:line="130"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compliance with the requirement of holding a nonbinding advisory vote on executive compensation and obtaining shareholder approval of any golden parachute payments not previously approved.</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Failure to comply with these requirements could subject us to enforcement actions by the SEC, divert management’s attention, damage our reputation, and adversely affect our business, results of operations, or financial condition. In particular, if our independent registered public accounting firm is not able to render the required attestation, it could result in a loss of investor confidence in the accuracy, reliability, and completeness of our financial reports. We expect that the loss of “emerging growth company” status and compliance with these additional requirements will require management to expend additional time while also condensing the time frame available to comply with certain requirements, which may further increase our legal and financial compliance costs.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225"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We may be at risk of securities class action litigation. This risk is especially relevant for us due to our dependence on positive clinical trial outcomes and regulatory approvals of each of our product candidates. In the past, medicines, biotechnology and pharmaceutical companies have experienced significant stock price volatility, particularly when associated with binary events such as clinical trials and product approvals. If we face such litigation, it could result in substantial costs, divert management’s attention and resources, or have a material adverse effect on our business, operating results and prospects.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Sales of a substantial number of our Ordinary Shares in the public market by our existing shareholders could cause our share price to fall.</w:t>
      </w:r>
    </w:p>
    <w:p>
      <w:pPr>
        <w:spacing w:after="0" w:line="24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If our existing shareholders sell, or indicate an intention to sell, substantial amounts of those Ordinary Shares in the public market, the trading price of our Ordinary Shares could decline. In particular, the former shareholders, warrant holders and noteholders of Arcturus Therapeutics, Inc. received an aggregate of 6,631,712 of our Ordinary Shares pursuant to the merger in an unregistered transaction, which shares may be sold pursuant to Rule 144 under the Securities Act. Those shareholders are eligible to sell those shares in the public market without restriction, except for shareholders who are deemed “affiliates” of the Company under Rule 144 under the Securities Act. In addition, Ordinary Shares that are either subject to outstanding options or reserved for future issuance under our employee benefit plans are or may become eligible for sale in the public market to the extent permitted by the provisions of various vesting schedules and Rule 144 under the Securities Act. If these Ordinary Shares are sold, or if it is perceived that they will be sold, in the public market, that could create downward pressure on the trading price of our Ordinary Shares and cause the trading price to decline.</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08" w:lineRule="auto"/>
        <w:rPr>
          <w:sz w:val="20"/>
          <w:szCs w:val="20"/>
          <w:color w:val="auto"/>
        </w:rPr>
      </w:pPr>
      <w:r>
        <w:rPr>
          <w:rFonts w:ascii="Arial" w:cs="Arial" w:eastAsia="Arial" w:hAnsi="Arial"/>
          <w:sz w:val="17"/>
          <w:szCs w:val="17"/>
          <w:b w:val="1"/>
          <w:bCs w:val="1"/>
          <w:i w:val="1"/>
          <w:iCs w:val="1"/>
          <w:color w:val="auto"/>
        </w:rPr>
        <w:t>Future sales and issuances of our Ordinary Shares or rights to purchase Ordinary Shares, including pursuant to our equity incentive plans, could result in additional dilution of the percentage ownership of our shareholders and could cause our share price to fall.</w:t>
      </w:r>
    </w:p>
    <w:p>
      <w:pPr>
        <w:spacing w:after="0" w:line="14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To the extent we raise additional capital by issuing equity securities, our shareholders may experience substantial dilution. Pursuant to our 2018 Omnibus Equity Incentive Plan, or the 2018 Plan, our management is authorized to grant options and other equity-based awards to our employees, directors and consultants. We may sell Ordinary Shares, convertible securities or other equity securities in one or more transactions at prices and in a manner we determine from time to time, any of which may result in material dilution to investors and/or our existing shareholders. New investors could also be issued securities with rights superior to those of our existing shareholders.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unable to comply with the applicable continued listing requirements of Nasdaq.</w:t>
      </w:r>
    </w:p>
    <w:p>
      <w:pPr>
        <w:spacing w:after="0" w:line="225"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Our Ordinary Shares are currently listed on Nasdaq. In order to maintain this listing, we must satisfy minimum financial and other continued listing requirements and standards, including a minimum closing bid price requirement for our Ordinary Shares of $1.00 per share. There can be no assurance that we will be able to comply with the applicable listing standards. For example, if we were to fail to meet the minimum bid price requirement for 30 consecutive business days, we could become subject to delisting. Although Nasdaq may provide us with a compliance period in which to regain compliance with the minimum bid price requirement, we cannot assure you that we would be able to regain compliance within the period provided by Nasdaq. In order to regain compliance with such requirement, the closing bid price of our Ordinary Shares would need to meet or exceed $1.00 per share for at least 10 consecutive business days during the compliance period. If we were not able to regain compliance within the allotted compliance period for this requirement or any other applicable listing standard, including any extensions that may be granted by Nasdaq, our Ordinary Shares would be subject to delisting. In the event that our Ordinary Shares are delisted from Nasdaq and are not eligible for quotation or listing on another market or exchange, trading of our Ordinary Shares could be conducted only in the over-the-counter market or on an electronic bulletin board established for unlisted securities such as the Pink Sheets or the OTC Bulletin Board. In such event, it could become more difficult to dispose of, or obtain accurate price quotations for our Ordinary Shares and there would likely also be a reduction in our coverage by securities analysts and the news media, which could cause the price of our Ordinary Shares to decline further.</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treated as a U.S. corporation for U.S. federal tax purposes.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Pursuant to Section 7874 of the Code, we are treated as a U.S. corporation for U.S. federal income tax purposes. As a result, we are subject to U.S. federal corporate income tax as if we were incorporated in the United States. Shareholders should consult their tax advisers regarding the tax consequences of holding our Ordinary Shares based on their particular circumstances.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recently enacted U.S. federal income tax reform bill could adversely affect our business and financial condition.</w:t>
      </w:r>
    </w:p>
    <w:p>
      <w:pPr>
        <w:spacing w:after="0" w:line="225"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As noted above, on December 22, 2017, President Trump signed into law the Tax Cuts and Jobs Act, which significantly revises the Code. The Tax Cuts and Jobs Act, among other things, contains significant changes to U.S. federal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reduction in the corporate income tax rate, the overall impact of the Tax Cuts and Jobs Act is uncertain and our business and financial condition could be adversely affected. In addition, it is uncertain if and to what extent various states will conform to the newly enacted federal tax law. The impact of the Tax Cuts and Jobs Act on holders of our Ordinary Shares is also uncertain and could be adverse. We urge our shareholders to consult with their legal and tax advisors with respect to this legislation and the potential tax consequences of investing in or holding our Ordinary Shares.</w:t>
      </w:r>
    </w:p>
    <w:p>
      <w:pPr>
        <w:spacing w:after="0" w:line="154"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b w:val="1"/>
          <w:bCs w:val="1"/>
          <w:i w:val="1"/>
          <w:iCs w:val="1"/>
          <w:color w:val="auto"/>
        </w:rPr>
        <w:t>Unlike in prior years, as of January 1, 2019, we are required to comply with the domestic reporting regime under the Exchange Act and will incur significant legal, accounting and other expenses, and our management will be required to devote substantial additional time to new compliance initiatives and corporate governance matters.</w:t>
      </w:r>
    </w:p>
    <w:p>
      <w:pPr>
        <w:spacing w:after="0" w:line="181"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We determined that, effective as of January 1, 2019, we no longer qualified as a “foreign private issuer” under the rules and regulations of the SEC. While we were a foreign private issuer, we were exempt from compliance with certain laws and regulations of the SEC, including the proxy rules, the short-swing profits recapture rules and certain governance requirements, such as independent director oversight of the nomination of directors and executive compensation. In addition, we were not required to file annual, quarterly and current reports and financial statements with the SEC as frequently or as promptly as U.S. companies registered under the Exchange Act. As a result of this determination, beginning on January 1, 2019, we were no longer entitled to “foreign private issuer” exemptions and we plan to report as a domestic U.S. filer, including filing quarterly reports on Form 10-Q, current reports on Form 8-K and proxy statements under Section 14 of the Exchange Act. In addition, commencing January 1, 2019, our “insiders” are subject to the reporting and short-swing profit recovery provisions contained in Section 16 of the Exchange Act and will be no longer exempt from the requirements of Regulation FD promulgated by the SEC under the Exchange Act. Moreover, beginning January 1, 2019, we were no longer permitted to follow our home country rules in lieu of the corporate governance obligations imposed by Nasdaq, and will be required to comply with the governance practices required of U.S. domestic issuers.</w:t>
      </w:r>
    </w:p>
    <w:p>
      <w:pPr>
        <w:spacing w:after="0" w:line="183"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The regulatory and compliance costs associated with the reporting and governance requirements applicable to U.S. domestic issuers may be significantly higher than the costs we previously incurred as a foreign private issuer. As a result, we expect that the loss of foreign private issuer status will increase our legal and financial compliance costs and will make some activities highly time consuming and costly. In addition, we need to develop our reporting and compliance infrastructure and may face challenges in complying with the new requirements applicable to us.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Under the Tax Cuts and Jobs Act, U.S. federal net operating losses, or NOLs, incurred in 2018 and in future years may be carried forward indefinitely, but the deductibility of such federal NOLs is limited. It is uncertain if and to what extent various states will conform to the Tax Cuts and Jobs Act. To the extent that we continue to generate taxable losses for United States federal income tax purposes, unused NOLs will carry forward to offset future taxable income (subject to any applicable limitations), if any. Under Sections 382 and 383 of the Code, as amended,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believe we may have triggered an “ownership change” limitation at the completion of our merger with Arcturus Therapeutics, Inc. in November 2017, however we have not completed a study in accordance with Sections 382 and 383 of the Code to determine whether this ownership change has occurred. We may also experience ownership changes in the future as a result of subsequent shifts in our share ownership. As a result, if we earn net taxable income, our ability to use our pre-change NOL carryforwards to offset U.S. federal taxable income may be subject to limitations, which could potentially result in increased future tax liability to us. Similar provisions of U.S. state tax law may also apply to limit our use of accumulated state tax attributes, including our state</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NOLs.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negatively impact our future cash flows</w:t>
      </w:r>
      <w:r>
        <w:rPr>
          <w:rFonts w:ascii="Arial" w:cs="Arial" w:eastAsia="Arial" w:hAnsi="Arial"/>
          <w:sz w:val="18"/>
          <w:szCs w:val="18"/>
          <w:b w:val="1"/>
          <w:bCs w:val="1"/>
          <w:i w:val="1"/>
          <w:iCs w:val="1"/>
          <w:color w:val="auto"/>
        </w:rPr>
        <w: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do not intend to pay dividends on our Ordinary Shares so any returns will be limited to the value of our shares.</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never declared or paid any cash dividends on our Ordinary Shares. We currently anticipate that we will retain future earnings for the development, operation and expansion of our business and do not anticipate declaring or paying any cash dividends for the foreseeable future. Moreover, the Companies Law, imposes certain restrictions on our ability to declare and pay dividends. See “Comparison of Rights of Israel Shareholders and Delaware Stockholders” of our Annual Report on Form 20-F for the fiscal year ended December 31, 2017 for more information. Any return to shareholders will therefore be limited to the appreciation of their shares.</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RISKS RELATED TO ISRAELI LAW AND OUR OPERATIONS IN ISRAEL</w:t>
      </w:r>
    </w:p>
    <w:p>
      <w:pPr>
        <w:spacing w:after="0" w:line="229" w:lineRule="exact"/>
        <w:rPr>
          <w:sz w:val="20"/>
          <w:szCs w:val="20"/>
          <w:color w:val="auto"/>
        </w:rPr>
      </w:pPr>
    </w:p>
    <w:p>
      <w:pPr>
        <w:ind w:left="200" w:right="280"/>
        <w:spacing w:after="0" w:line="381" w:lineRule="auto"/>
        <w:rPr>
          <w:sz w:val="20"/>
          <w:szCs w:val="20"/>
          <w:color w:val="auto"/>
        </w:rPr>
      </w:pPr>
      <w:r>
        <w:rPr>
          <w:rFonts w:ascii="Arial" w:cs="Arial" w:eastAsia="Arial" w:hAnsi="Arial"/>
          <w:sz w:val="15"/>
          <w:szCs w:val="15"/>
          <w:b w:val="1"/>
          <w:bCs w:val="1"/>
          <w:i w:val="1"/>
          <w:iCs w:val="1"/>
          <w:color w:val="auto"/>
        </w:rPr>
        <w:t>Provisions of Israeli law may make it easy for our shareholders to demand that we convene a shareholders meeting, and/or allow shareholders to convene a shareholder meeting without the consent of our management, which may disrupt our management’s ability to run our company.</w:t>
      </w:r>
    </w:p>
    <w:p>
      <w:pPr>
        <w:spacing w:after="0" w:line="101"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Section 63(b) of the Companies Law may allow any one or more of our shareholders holding at least 5% of our voting rights to demand that we convene an extraordinary shareholders meeting. Also, in the event that we deny to convene an extraordinary shareholders meeting pursuant to such a request, Section 64 of the Companies Law provides that such shareholders may independently convene an extraordinary shareholders meeting and require us to cover the costs. If our shareholders decide to exercise these rights in a way inconsistent with our management’s strategic plans, our management’s ability to run our company may be disrupted, and this process may entail significant costs to us.</w:t>
      </w:r>
    </w:p>
    <w:p>
      <w:pPr>
        <w:spacing w:after="0" w:line="158" w:lineRule="exact"/>
        <w:rPr>
          <w:sz w:val="20"/>
          <w:szCs w:val="20"/>
          <w:color w:val="auto"/>
        </w:rPr>
      </w:pPr>
    </w:p>
    <w:p>
      <w:pPr>
        <w:ind w:left="200" w:right="580"/>
        <w:spacing w:after="0" w:line="264" w:lineRule="auto"/>
        <w:rPr>
          <w:sz w:val="20"/>
          <w:szCs w:val="20"/>
          <w:color w:val="auto"/>
        </w:rPr>
      </w:pPr>
      <w:r>
        <w:rPr>
          <w:rFonts w:ascii="Arial" w:cs="Arial" w:eastAsia="Arial" w:hAnsi="Arial"/>
          <w:sz w:val="18"/>
          <w:szCs w:val="18"/>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181" w:lineRule="exact"/>
        <w:rPr>
          <w:sz w:val="20"/>
          <w:szCs w:val="20"/>
          <w:color w:val="auto"/>
        </w:rPr>
      </w:pPr>
    </w:p>
    <w:p>
      <w:pPr>
        <w:ind w:left="200" w:right="120" w:firstLine="441"/>
        <w:spacing w:after="0" w:line="269"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our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183"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Furthermore, Israeli tax considerations may make potential transactions unappealing to us or to our shareholders whose country of residence does not have a tax treaty with Israel exempting such shareholders from Israeli tax. See “Certain Material Israeli Tax Consequences of the Transaction,” of our Annual Report on Form 20-F for the fiscal year ended December 31, 2017 for additional information.</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Our amended and restated articles of association also contain provisions that could delay or prevent changes in control or changes in our management without the consent of our Board of Directors. These provisions include the following:</w:t>
      </w:r>
    </w:p>
    <w:p>
      <w:pPr>
        <w:spacing w:after="0" w:line="76" w:lineRule="exact"/>
        <w:rPr>
          <w:sz w:val="20"/>
          <w:szCs w:val="20"/>
          <w:color w:val="auto"/>
        </w:rPr>
      </w:pPr>
    </w:p>
    <w:p>
      <w:pPr>
        <w:ind w:left="1060" w:hanging="316"/>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no cumulative voting in the election of directors, which limits the ability of minority shareholders to elect director candidates; and</w:t>
      </w:r>
    </w:p>
    <w:p>
      <w:pPr>
        <w:spacing w:after="0" w:line="142" w:lineRule="exact"/>
        <w:rPr>
          <w:rFonts w:ascii="Arial" w:cs="Arial" w:eastAsia="Arial" w:hAnsi="Arial"/>
          <w:sz w:val="17"/>
          <w:szCs w:val="17"/>
          <w:color w:val="auto"/>
        </w:rPr>
      </w:pPr>
    </w:p>
    <w:p>
      <w:pPr>
        <w:ind w:left="1060" w:right="360" w:hanging="316"/>
        <w:spacing w:after="0" w:line="342" w:lineRule="auto"/>
        <w:tabs>
          <w:tab w:leader="none" w:pos="10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right of our Board of Directors to appoint a director to fill a vacancy created by the expansion of the Board of Directors or the resignation, death or removal of a director, which may prevent shareholders from being able to fill vacancies on our Board of Directors.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 a domiciliary of Israel, our results may be adversely affected by political, economic and military instability in Israel.</w:t>
      </w:r>
    </w:p>
    <w:p>
      <w:pPr>
        <w:spacing w:after="0" w:line="22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As an Israeli company, political, economic and military conditions in Israel may directly affect our business. Since the establishment of the State of Israel in 1948, a number of armed conflicts have taken place between Israel and its neighboring countries, the Hamas militant group and the Hezbollah. Any hostilities involving Israel or the interruption or curtailment of trade between Israel and its trading partners could adversely affect our operations and results of operations.</w:t>
      </w:r>
    </w:p>
    <w:p>
      <w:pPr>
        <w:spacing w:after="0" w:line="18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addition, since 2010 political uprisings and conflicts have arisen in various countries in the Middle East. Such instability may lead to deterioration in the political and trade relationships that exist between the State of Israel and certain other countries. Several countries, principally in the Middle East, still restrict doing business with Israel and Israeli companies, and additional countries may impose restrictions on doing business with Israel and Israeli companies if hostilities in Israel or political instability in the region continues or increases. Similarly, Israeli companies are limited in conducting business with entities from countries that are considered to be in a state of war with Israel.</w:t>
      </w:r>
    </w:p>
    <w:p>
      <w:pPr>
        <w:spacing w:after="0" w:line="173"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conditions or the expansion of our business.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It may be difficult to enforce a judgment of a U.S. court against us and the Israeli experts named herein in Israel or the United States, to assert U.S.</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securities laws claims in Israel or to serve process on certain of our officers and directors and these experts.</w:t>
      </w:r>
    </w:p>
    <w:p>
      <w:pPr>
        <w:spacing w:after="0" w:line="21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were incorporated in Israel. Therefore, a judgment obtained against us, or any directors that reside outside of the United States,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70"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The rights and responsibilities of the holders of our Ordinary Shares are governed by our amended and restated articles of association and by Israeli law. These rights and responsibilities differ in some material respects from the rights and responsibilities of shareholders in typical U.S.-based corporations. In particular, a shareholder of an Israeli company has certain duties to act in good faith and fairness towards the Company and other shareholders, and to refrain from abusing its power in the Company. See Comparison of Rights of Israeli Shareholders and Delaware Stockholders” of our Annual Report on Form 20-F for the fiscal year ended December 31,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stockholders of U.S. corporations.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subject to anti-takeover provisions that could delay or prevent our acquisition by another entity.</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Provisions of Israeli corporate and tax law and of our amended and restated articles of association may have the effect of delaying, preventing or making more difficult any merger or acquisition of us. In addition, any merger or acquisition of us may require the prior consent of the Israel Innovation Authority (formerly known as the Office of the Chief Scientist), as well as the Investment Center of the Israeli Ministry of Industry, Trade and Employment, or the Investment Center. Israeli law regulates mergers, votes required to approve a merger, acquisition of shares through tender offers and transactions involving significant shareholders. Any of these provisions may make it more difficult to acquire us. Accordingly, our acquisition by another entity could be delayed or prevented even if it would be beneficial to our shareholders.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24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ARCTURUS REDOMICILIATION PROPOSAL</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420" w:firstLine="441"/>
        <w:spacing w:after="0" w:line="312" w:lineRule="auto"/>
        <w:rPr>
          <w:sz w:val="20"/>
          <w:szCs w:val="20"/>
          <w:color w:val="auto"/>
        </w:rPr>
      </w:pPr>
      <w:r>
        <w:rPr>
          <w:rFonts w:ascii="Arial" w:cs="Arial" w:eastAsia="Arial" w:hAnsi="Arial"/>
          <w:sz w:val="16"/>
          <w:szCs w:val="16"/>
          <w:color w:val="auto"/>
        </w:rPr>
        <w:t>As explained in more detail below, the Scheme of Arrangement on which we are asking you to vote, in connection with the other steps of the Transaction described in this proxy statement/prospectus, will restructure our corporate group to cause the parent company of the group to be a Delaware corporation. The Transaction cannot occur without the Scheme Shareholders’ approval of the Arcturus Redomiciliation Proposal.</w:t>
      </w:r>
    </w:p>
    <w:p>
      <w:pPr>
        <w:spacing w:after="0" w:line="14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On February 7, 2019, the Board approved the Transaction and the entry by Arcturus-Israel into the Exchange Agreement. On February 11, 2019, we submitted a request to the Israel Court to order the convening of the Special Meeting to approve the Scheme of Arrangement. We will hold the Special Meeting to approve the Scheme of Arrangement on May 17, 2019. If we obtain the necessary shareholder approvals, we will request the Israel Court to approve the Scheme of Arrangement. As part of the Exchange Agreement, we will seek the Tax Ruling from the ITA on behalf of our shareholders. Assuming we receive the necessary approvals of the Scheme of Arrangement from Arcturus-Israel’s shareholders and the Israel Court and the other conditions to consummate the Transaction are satisfied (including the Tax Ruling from the ITA), the Scheme of Arrangement will become effective and binding in accordance with its terms and conditions.</w:t>
      </w:r>
    </w:p>
    <w:p>
      <w:pPr>
        <w:spacing w:after="0" w:line="17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a result of the Transaction, the ordinary shareholders of Arcturus-Israel will become stockholders of Arcturus-Delaware and holders of options to purchase ordinary shares of Arcturus-Israel will become optionholders of Arcturus-Delaware and such stockholders’ and optionholders’ rights will be governed by Delaware law and Arcturus-Delaware’s certificate of incorporation and bylaws, in substantially the forms attached hereto as Annex C and Annex D, respectively. In addition, as part of the Transaction, Arcturus-Israel intends to transfer all of its holdings of shares in Private Arcturus to Arcturus-Delaware by way of a dividend distribution in kind so that Private Arcturus will become a wholly owned subsidiary of Arcturus-Delaware. The Company may decide to proceed with this second step distribution in kind, or not to proceed with such distribution, at any time after the effective time of the Scheme of Arrangement, but no later than December 31, 2019. The Company will decide, in its sole discretion, if it is in the best interests of the Company to effect the second step distribution in kind and will consider all relevant factors, including potential tax consequences to the Company that may result from this distribution.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and Reasons for the Transaction</w:t>
      </w:r>
    </w:p>
    <w:p>
      <w:pPr>
        <w:spacing w:after="0" w:line="117"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On November 15, 2017, our predecessor company, Alcobra Ltd. (“</w:t>
      </w:r>
      <w:r>
        <w:rPr>
          <w:rFonts w:ascii="Arial" w:cs="Arial" w:eastAsia="Arial" w:hAnsi="Arial"/>
          <w:sz w:val="17"/>
          <w:szCs w:val="17"/>
          <w:b w:val="1"/>
          <w:bCs w:val="1"/>
          <w:color w:val="auto"/>
        </w:rPr>
        <w:t>Alcobra</w:t>
      </w:r>
      <w:r>
        <w:rPr>
          <w:rFonts w:ascii="Arial" w:cs="Arial" w:eastAsia="Arial" w:hAnsi="Arial"/>
          <w:sz w:val="17"/>
          <w:szCs w:val="17"/>
          <w:color w:val="auto"/>
        </w:rPr>
        <w:t>”), now named Arcturus Therapeutics Ltd., completed its merger with Arcturus Therapeutics, Inc. (“</w:t>
      </w:r>
      <w:r>
        <w:rPr>
          <w:rFonts w:ascii="Arial" w:cs="Arial" w:eastAsia="Arial" w:hAnsi="Arial"/>
          <w:sz w:val="17"/>
          <w:szCs w:val="17"/>
          <w:b w:val="1"/>
          <w:bCs w:val="1"/>
          <w:color w:val="auto"/>
        </w:rPr>
        <w:t>Private Arcturus</w:t>
      </w:r>
      <w:r>
        <w:rPr>
          <w:rFonts w:ascii="Arial" w:cs="Arial" w:eastAsia="Arial" w:hAnsi="Arial"/>
          <w:sz w:val="17"/>
          <w:szCs w:val="17"/>
          <w:color w:val="auto"/>
        </w:rPr>
        <w:t>”), in accordance with the terms of the Agreement and Plan of Merger and Reorganization, dated as of September 27, 2017, among Alcobra, Aleph MergerSub, Inc. and Private Arcturus (as amended, the “</w:t>
      </w:r>
      <w:r>
        <w:rPr>
          <w:rFonts w:ascii="Arial" w:cs="Arial" w:eastAsia="Arial" w:hAnsi="Arial"/>
          <w:sz w:val="17"/>
          <w:szCs w:val="17"/>
          <w:b w:val="1"/>
          <w:bCs w:val="1"/>
          <w:color w:val="auto"/>
        </w:rPr>
        <w:t>merger agreement</w:t>
      </w:r>
      <w:r>
        <w:rPr>
          <w:rFonts w:ascii="Arial" w:cs="Arial" w:eastAsia="Arial" w:hAnsi="Arial"/>
          <w:sz w:val="17"/>
          <w:szCs w:val="17"/>
          <w:color w:val="auto"/>
        </w:rPr>
        <w:t>”). In connection with the merger, Alcobra agreed to acquire all of the outstanding common stock of Private Arcturus in exchange for issuing to the Private Arcturus stockholders an aggregate 6,631,712 of Alcobra’s ordinary shares, par value 0.07 NIS per share, after giving effect to a 1-for-7 reverse split effected immediately prior to the merger. As a result of the merger, Private Arcturus became a wholly-owned subsidiary of Alcobra. While Alcobra was the legal acquirer in the transaction, Private Arcturus was deemed the accounting acquirer. Immediately after giving effect to the merger, on November 15, 2017, Alcobra changed its name to Arcturus Therapeutics Ltd.</w:t>
      </w:r>
    </w:p>
    <w:p>
      <w:pPr>
        <w:spacing w:after="0" w:line="176"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Therefore, we have been incorporated in Israel since February 7, 2018. While our incorporation in Israel has served us and our shareholders well, there are compelling reasons that support restructuring our corporate group to cause the parent company of our group to be an entity organized in the United States at this time.</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operations are focused in the United States, and we expect to continue to invest in our operations in the United States. All of Arcturus’ employees and our operating assets are in the United States. Further, we believe that a significant majority of our shareholders are U.S.-based investors. As a result, we think it makes sense to have our parent company based in the United States.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Following a thorough review, we have determined that having our ultimate parent company incorporated in the United States is best for us, our shareholders and our employees.</w:t>
      </w:r>
    </w:p>
    <w:p>
      <w:pPr>
        <w:spacing w:after="0" w:line="170"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After considering various factors, our board of directors determined that it was advisable to proceed with the Transaction. Our board of directors’ determination that Delaware is the preferred jurisdiction of incorporation of the parent of the Arcturus group was based on many factors, including the following:</w:t>
      </w:r>
    </w:p>
    <w:p>
      <w:pPr>
        <w:spacing w:after="0" w:line="87" w:lineRule="exact"/>
        <w:rPr>
          <w:sz w:val="20"/>
          <w:szCs w:val="20"/>
          <w:color w:val="auto"/>
        </w:rPr>
      </w:pPr>
    </w:p>
    <w:p>
      <w:pPr>
        <w:ind w:left="1060" w:hanging="316"/>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Delaware offers predictable and well-established corporate laws;</w:t>
      </w:r>
    </w:p>
    <w:p>
      <w:pPr>
        <w:spacing w:after="0" w:line="130" w:lineRule="exact"/>
        <w:rPr>
          <w:rFonts w:ascii="Arial" w:cs="Arial" w:eastAsia="Arial" w:hAnsi="Arial"/>
          <w:sz w:val="18"/>
          <w:szCs w:val="18"/>
          <w:color w:val="auto"/>
        </w:rPr>
      </w:pPr>
    </w:p>
    <w:p>
      <w:pPr>
        <w:ind w:left="1060" w:right="880" w:hanging="316"/>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Delaware has a well-developed legal system which we believe encourages high standards of corporate governance and provides stockholders with substantial rights;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perception of a Delaware corporation among regulatory authorities, investors and creditors as being highly favorable; and</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Delaware corporate law provides significant flexibility around corporate transactions, including the issuance of equity and the payment of dividends, while at the same time protecting the rights of stockholders.</w:t>
      </w:r>
    </w:p>
    <w:p>
      <w:pPr>
        <w:spacing w:after="0" w:line="170"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We cannot assure you that the anticipated benefits of the Transaction will be realized. In addition, despite the potential benefits described above, the Transaction will expose you and us to potential risks, including relating to future income tax policy in the United States. Please see the discussion under “Risk Factors.”</w:t>
      </w:r>
    </w:p>
    <w:p>
      <w:pPr>
        <w:spacing w:after="0" w:line="18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Board has considered both the potential advantages of the Transaction and these potential risks and has unanimously approved the Scheme of Arrangement and recommends that shareholders vote for the approval of the Scheme of Arrangement.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Scheme of Arrangement may be amended, modified or supplemented at any time before or after its approval by the shareholders of Arcturus-Israel at the Special Meeting. However, after approval, no amendment, modification or supplement may be made or effected that legally requires further approval by Arcturus-Israel shareholders without obtaining such approval.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Consummation of the Transaction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Transaction will not be completed unless the following conditions are satisfied:</w:t>
      </w:r>
    </w:p>
    <w:p>
      <w:pPr>
        <w:spacing w:after="0" w:line="131" w:lineRule="exact"/>
        <w:rPr>
          <w:sz w:val="20"/>
          <w:szCs w:val="20"/>
          <w:color w:val="auto"/>
        </w:rPr>
      </w:pPr>
    </w:p>
    <w:p>
      <w:pPr>
        <w:ind w:left="1060" w:hanging="316"/>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Scheme of Arrangement is approved by the requisite vote of the shareholders of Arcturus-Israel at the Special Meeting;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requisite court order approving the Scheme of Arrangement is obtained from the Israel Court;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Tax Ruling has been received from the ITA;</w:t>
      </w:r>
    </w:p>
    <w:p>
      <w:pPr>
        <w:spacing w:after="0" w:line="130"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statute, rule or regulation is enacted or promulgated by any governmental entity of competent jurisdiction which prohibits or makes illegal the consummation of the Scheme of Arrangement;</w:t>
      </w:r>
    </w:p>
    <w:p>
      <w:pPr>
        <w:spacing w:after="0" w:line="75" w:lineRule="exact"/>
        <w:rPr>
          <w:rFonts w:ascii="Arial" w:cs="Arial" w:eastAsia="Arial" w:hAnsi="Arial"/>
          <w:sz w:val="18"/>
          <w:szCs w:val="18"/>
          <w:color w:val="auto"/>
        </w:rPr>
      </w:pPr>
    </w:p>
    <w:p>
      <w:pPr>
        <w:ind w:left="1060" w:right="360" w:hanging="316"/>
        <w:spacing w:after="0" w:line="259"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Registration Statement on Form S-4 of which this joint proxy statement/prospectus forms a part shall have become effective in accordance with the provisions of the Securities Act of 1933, as amended and shall not be subject to any stop order or proceeding (or threatened proceeding by the Securities and Exchange Commission) seeking a stop order with respect to this Registration Statement on Form S-4.</w:t>
      </w:r>
    </w:p>
    <w:p>
      <w:pPr>
        <w:spacing w:after="0" w:line="92" w:lineRule="exact"/>
        <w:rPr>
          <w:rFonts w:ascii="Arial" w:cs="Arial" w:eastAsia="Arial" w:hAnsi="Arial"/>
          <w:sz w:val="18"/>
          <w:szCs w:val="18"/>
          <w:color w:val="auto"/>
        </w:rPr>
      </w:pPr>
    </w:p>
    <w:p>
      <w:pPr>
        <w:ind w:left="1060" w:right="80" w:hanging="316"/>
        <w:spacing w:after="0" w:line="308"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NASDAQ Listing Application shall have been approved and the shares of Arcturus-Delaware to be issued in the Transaction shall have been approved for listing on NASDAQ as of the Effective Time, in each case subject to official notice of issuance; and</w:t>
      </w:r>
    </w:p>
    <w:p>
      <w:pPr>
        <w:spacing w:after="0" w:line="51" w:lineRule="exact"/>
        <w:rPr>
          <w:rFonts w:ascii="Arial" w:cs="Arial" w:eastAsia="Arial" w:hAnsi="Arial"/>
          <w:sz w:val="17"/>
          <w:szCs w:val="17"/>
          <w:color w:val="auto"/>
        </w:rPr>
      </w:pPr>
    </w:p>
    <w:p>
      <w:pPr>
        <w:ind w:left="5620" w:right="40" w:hanging="4876"/>
        <w:spacing w:after="0" w:line="449" w:lineRule="auto"/>
        <w:tabs>
          <w:tab w:leader="none" w:pos="1064"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order or injunction of a court of competent jurisdiction shall be in effect that prevents the consummation of the Scheme of Arrangement. 56</w:t>
      </w:r>
    </w:p>
    <w:p>
      <w:pPr>
        <w:sectPr>
          <w:pgSz w:w="11900" w:h="16838" w:orient="portrait"/>
          <w:cols w:equalWidth="0" w:num="1">
            <w:col w:w="11160"/>
          </w:cols>
          <w:pgMar w:left="24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Approval of the Scheme of Arrangement by the Israel Court</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Arcturus-Israel has made an application to the Israel Court for an order to convene the Special Meeting. Subsequent and subject to approval of the Arcturus Redomiciliation Proposal by the shareholders of Arcturus-Israel at the Special Meeting, Arcturus-Israel must apply for the Israel Court Order for its approval of the Scheme of Arrangement. If (i) the Israel Court Order is granted, and (ii) the conditions to closing contained in the Exchange Agreement are satisfied, the Scheme of Arrangement will become effective on the date that the Israel Court Order is granted.</w:t>
      </w:r>
    </w:p>
    <w:p>
      <w:pPr>
        <w:spacing w:after="0" w:line="154"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approval by the shareholders of Arcturus-Israel and/or the Israel Court of the Scheme of Arrangement shall remain valid notwithstanding any change in our business or financial condition or any transactions undertaken by us (including any changes arising as a result of our proposed acquisition of Qualcomm).</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Effective Date of the Transaction</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Assuming we receive the necessary approvals from Arcturus-Israel’s shareholders and the Israel Court and the other conditions to consummate the Transaction are satisfied, the Scheme of Arrangement will become effective and binding in accordance with its terms and conditions. We currently expect to complete the Transaction no later than May 31, 2019 (the “</w:t>
      </w:r>
      <w:r>
        <w:rPr>
          <w:rFonts w:ascii="Arial" w:cs="Arial" w:eastAsia="Arial" w:hAnsi="Arial"/>
          <w:sz w:val="18"/>
          <w:szCs w:val="18"/>
          <w:b w:val="1"/>
          <w:bCs w:val="1"/>
          <w:color w:val="auto"/>
        </w:rPr>
        <w:t>Long Stop Date</w:t>
      </w:r>
      <w:r>
        <w:rPr>
          <w:rFonts w:ascii="Arial" w:cs="Arial" w:eastAsia="Arial" w:hAnsi="Arial"/>
          <w:sz w:val="18"/>
          <w:szCs w:val="18"/>
          <w:color w:val="auto"/>
        </w:rPr>
        <w:t>”).</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accordance with the terms of the Exchange Agreement, Arcturus-Israel, without obtaining any further approval of Arcturus-Israel shareholders, may select the effective time of the Transaction (including the Scheme of Arrangement), provided the effective time occurs on or prior to the Long-Stop Date, notwithstanding Arcturus-Israel shareholder or Israel Court approval of the Scheme of Arrangement and/or the satisfaction of all of the other conditions to the Transaction.</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Subject to the satisfaction of the conditions set forth in the Exchange Agreement, we will be consummate the Transaction by the Long-Stop Date. However, if the conditions set forth in the Exchange Agreement are not satisfied by such date, the Scheme of Arrangement will lapse pursuant to its terms and the Transaction will not be effected.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 of Arcturus-Delaware</w:t>
      </w:r>
    </w:p>
    <w:p>
      <w:pPr>
        <w:spacing w:after="0" w:line="12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When the Transaction is completed, the executives and directors of Arcturus-Israel immediately prior to the completion of the Transaction will be the executives and directors of Arcturus-Delaware. Arcturus-Delaware’s certificate of incorporation and bylaws, as they will be in effect after the Transaction, provide for a single class of directors, just as Arcturus-Israel currently has, and Arcturus-Delaware’s directors will be subject to re-election at the next annual meeting of stockholders of Arcturus-Delaware following the completion of the Transaction.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Companies Law provides that Israeli companies may indemnify their office holders</w:t>
      </w:r>
      <w:r>
        <w:rPr>
          <w:rFonts w:ascii="Arial" w:cs="Arial" w:eastAsia="Arial" w:hAnsi="Arial"/>
          <w:sz w:val="15"/>
          <w:szCs w:val="15"/>
          <w:color w:val="auto"/>
        </w:rPr>
        <w:t>3</w:t>
      </w:r>
      <w:r>
        <w:rPr>
          <w:rFonts w:ascii="Arial" w:cs="Arial" w:eastAsia="Arial" w:hAnsi="Arial"/>
          <w:sz w:val="18"/>
          <w:szCs w:val="18"/>
          <w:color w:val="auto"/>
        </w:rPr>
        <w:t xml:space="preserve"> and purchase an insurance policy to cover certain liabilities, if provisions for that purpose are included in their articles of association. Our Articles of Association allow us to indemnify and insure our office holders to the fullest extent permitted by the Companies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73025</wp:posOffset>
            </wp:positionV>
            <wp:extent cx="694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4" w:lineRule="exact"/>
        <w:rPr>
          <w:sz w:val="20"/>
          <w:szCs w:val="20"/>
          <w:color w:val="auto"/>
        </w:rPr>
      </w:pPr>
    </w:p>
    <w:p>
      <w:pPr>
        <w:ind w:left="420" w:right="220" w:hanging="216"/>
        <w:spacing w:after="0" w:line="264" w:lineRule="auto"/>
        <w:tabs>
          <w:tab w:leader="none" w:pos="420" w:val="left"/>
        </w:tabs>
        <w:numPr>
          <w:ilvl w:val="0"/>
          <w:numId w:val="82"/>
        </w:numPr>
        <w:rPr>
          <w:rFonts w:ascii="Arial" w:cs="Arial" w:eastAsia="Arial" w:hAnsi="Arial"/>
          <w:sz w:val="15"/>
          <w:szCs w:val="15"/>
          <w:color w:val="auto"/>
        </w:rPr>
      </w:pPr>
      <w:r>
        <w:rPr>
          <w:rFonts w:ascii="Arial" w:cs="Arial" w:eastAsia="Arial" w:hAnsi="Arial"/>
          <w:sz w:val="18"/>
          <w:szCs w:val="18"/>
          <w:color w:val="auto"/>
        </w:rPr>
        <w:t>Office Holders are defined by the Companies Law as: a director, general manager, chief business manager, deputy general manager, vice-general manager, any person filling any of these positions in a company even if he holds a different title, and any other manager directly subordinate to the general manager;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Office Holders’ Exemption</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Under the Companies Law, an Israeli company may not exempt an office holder from liability for a breach of his or her duty of loyalty, but may exempt in advance an office holder from his or her liability to the company, in whole or in part, for a breach of his or her duty of care (except in connection with distributions), provided that the articles of association allow it to do so. Our Articles of Association allow us to exempt our office holders to the fullest extent permitted by the Companies law.</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Office Holders’ Insurance</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Articles of Association provide that, subject to the provisions of the Companies Law, we may enter into a contract for the insurance of all or part of the liability of any of our office holders imposed on the office holder in respect of an act or omission performed by him or her in his or her capacity as an office holder, regarding each of the following:</w:t>
      </w:r>
    </w:p>
    <w:p>
      <w:pPr>
        <w:spacing w:after="0" w:line="87" w:lineRule="exact"/>
        <w:rPr>
          <w:sz w:val="20"/>
          <w:szCs w:val="20"/>
          <w:color w:val="auto"/>
        </w:rPr>
      </w:pPr>
    </w:p>
    <w:p>
      <w:pPr>
        <w:ind w:left="1060" w:hanging="316"/>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breach of his or her duty of care to us or to another person;</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breach of his or her duty of loyalty to us, provided that the office holder acted in good faith and had reasonable cause to assume that his or her act would not prejudice our interests;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financial liability imposed upon him or her in favor of another person; and/or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other event, occurrence or circumstance in respect of which we may lawfully insure an office holder.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Without derogating from the aforementioned, subject to the provisions of the Companies Law and the Israeli Securities Law, 5728-1968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Israeli Securities Law</w:t>
      </w:r>
      <w:r>
        <w:rPr>
          <w:rFonts w:ascii="Arial" w:cs="Arial" w:eastAsia="Arial" w:hAnsi="Arial"/>
          <w:sz w:val="16"/>
          <w:szCs w:val="16"/>
          <w:color w:val="auto"/>
        </w:rPr>
        <w:t>”), we may also enter into a contract to insure an office holder, in respect of expenses, including reasonable litigation expenses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legal fees, incurred by an office holder in relation to an administrative proceeding instituted against such office holder or payment required to be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made to an injured party, pursuant to certain provisions of the Israeli Securities Law.</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Office Holder’s Indemnification</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Articles of Association provide that, subject to the provisions of the Companies Law and the Israeli Securities Law, we may indemnify any of our office holders for an obligation or expense specified below, imposed on or incurred by the office holder in respect of an act or omission performed in his or her capacity as an office holder, as follows:</w:t>
      </w:r>
    </w:p>
    <w:p>
      <w:pPr>
        <w:spacing w:after="0" w:line="87" w:lineRule="exact"/>
        <w:rPr>
          <w:sz w:val="20"/>
          <w:szCs w:val="20"/>
          <w:color w:val="auto"/>
        </w:rPr>
      </w:pPr>
    </w:p>
    <w:p>
      <w:pPr>
        <w:ind w:left="1060" w:right="560" w:hanging="316"/>
        <w:spacing w:after="0" w:line="277" w:lineRule="auto"/>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financial liability imposed on him or her in favor of another person by any judgment, including a settlement or an arbitration award approved by a court.</w:t>
      </w:r>
    </w:p>
    <w:p>
      <w:pPr>
        <w:spacing w:after="0" w:line="75" w:lineRule="exact"/>
        <w:rPr>
          <w:rFonts w:ascii="Arial" w:cs="Arial" w:eastAsia="Arial" w:hAnsi="Arial"/>
          <w:sz w:val="18"/>
          <w:szCs w:val="18"/>
          <w:color w:val="auto"/>
        </w:rPr>
      </w:pPr>
    </w:p>
    <w:p>
      <w:pPr>
        <w:ind w:left="1060" w:right="20" w:hanging="316"/>
        <w:spacing w:after="0" w:line="293"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as a result of an investigation or proceeding instituted against him by a competent authority which concluded without the filing of an indictment against him and without the imposition of any financial liability in lieu of criminal proceedings, or which concluded without the filing of an indictment against him but with the imposition of a financial liability in lieu of criminal proceedings concerning a criminal offense that does not require proof of criminal intent or in connection with a financial sanction (the phrases “proceeding concluded without the filing of an indictment” and “financial liability in lieu of criminal proceeding” shall have the meaning ascribed to such phrases in section 260(a)(1a) of the Companies Law);</w:t>
      </w:r>
    </w:p>
    <w:p>
      <w:pPr>
        <w:spacing w:after="0" w:line="70" w:lineRule="exact"/>
        <w:rPr>
          <w:rFonts w:ascii="Arial" w:cs="Arial" w:eastAsia="Arial" w:hAnsi="Arial"/>
          <w:sz w:val="16"/>
          <w:szCs w:val="16"/>
          <w:color w:val="auto"/>
        </w:rPr>
      </w:pPr>
    </w:p>
    <w:p>
      <w:pPr>
        <w:ind w:left="1060" w:right="40" w:hanging="316"/>
        <w:spacing w:after="0" w:line="259" w:lineRule="auto"/>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expended by an office holder or charged to the office holder by a court, in a proceeding instituted against the office holder by the Company or on its behalf or by another person, or in a criminal charge from which the office holder was acquitted, or in a criminal proceeding in which the office holder was convicted of an offense that does not require proof of criminal intent;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64"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an office holder in relation to an administrative proceeding instituted against such office holder, or payment required to be made to an injured party, pursuant to certain provisions of the Securities Law; and/or</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other event, occurrence or circumstance in respect of which we may lawfully indemnify an office holder.</w:t>
      </w:r>
    </w:p>
    <w:p>
      <w:pPr>
        <w:spacing w:after="0" w:line="225"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An Israeli company may undertake to indemnify an office holder as aforesaid: (a) prospectively, provided that, in respect of the first act (financial liability) the undertaking is limited to events which in the opinion of the board of directors are foreseeable in light of the company’s actual operations when the undertaking to indemnify is given, and to an amount or criteria set by the board of directors as reasonable under the circumstances, and further provided that such events and amount or criteria are set forth in the indemnification undertaking; and (b) retroactively.</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Limitations on Insurance and Indemnification</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Companies Law provides that a company may not exempt or indemnify an office holder nor enter into an insurance contract which would provide coverage for any monetary liability incurred as a result of any of the following:</w:t>
      </w:r>
    </w:p>
    <w:p>
      <w:pPr>
        <w:spacing w:after="0" w:line="76" w:lineRule="exact"/>
        <w:rPr>
          <w:sz w:val="20"/>
          <w:szCs w:val="20"/>
          <w:color w:val="auto"/>
        </w:rPr>
      </w:pPr>
    </w:p>
    <w:p>
      <w:pPr>
        <w:jc w:val="both"/>
        <w:ind w:left="1060" w:right="380" w:hanging="316"/>
        <w:spacing w:after="0" w:line="342" w:lineRule="auto"/>
        <w:tabs>
          <w:tab w:leader="none" w:pos="10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breach by the office holder of his or her duty of loyalty, except that the company may enter into an insurance contract or indemnify an office holder if the office holder acted in good faith and had a reasonable basis to believe that the act would not prejudice the company;</w:t>
      </w:r>
    </w:p>
    <w:p>
      <w:pPr>
        <w:spacing w:after="0" w:line="29" w:lineRule="exact"/>
        <w:rPr>
          <w:rFonts w:ascii="Arial" w:cs="Arial" w:eastAsia="Arial" w:hAnsi="Arial"/>
          <w:sz w:val="16"/>
          <w:szCs w:val="16"/>
          <w:color w:val="auto"/>
        </w:rPr>
      </w:pPr>
    </w:p>
    <w:p>
      <w:pPr>
        <w:ind w:left="1060" w:right="700" w:hanging="316"/>
        <w:spacing w:after="0" w:line="277" w:lineRule="auto"/>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breach by the office holder of his or her duty of care, if such breach was intentional or reckless, but unless such breach was solely negligent;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act or omission intended to derive an illegal personal benefit;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fine levied against the office holder.</w:t>
      </w:r>
    </w:p>
    <w:p>
      <w:pPr>
        <w:spacing w:after="0" w:line="225"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addition, under the Companies Law, exemption and indemnification of, and procurement of insurance coverage for, our office holders must be approved by our Compensation Committee and our Board of Directors and, with respect to an office holder who is CEO or a director, also by our shareholders. However, according to regulations promulgated under the Companies Law with respect to relief in approval of certain related party transactions, shareholders’ and Board approvals for the procurement of such insurance coverage are not required if the insurance policy is approved by our Compensation Committee and: (i) the terms of such policy are within the framework for insurance coverage as approved by our shareholders and set forth in our Compensation Policy; (ii) the premium paid under the insurance policy is at fair market value; and (iii) the insurance policy does not and may not have a substantial effect on the Company’s profitability, assets or obligations.</w:t>
      </w:r>
    </w:p>
    <w:p>
      <w:pPr>
        <w:spacing w:after="0" w:line="178"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Each of the Arcturus-Delaware certificate of incorporation and bylaws will provide that we are required to indemnify the directors and officers of Arcturus-Delaware, in each case to the fullest extent permitted by Delaware law. The Arcturus-Delaware bylaws will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into agreements with the Arcturus-Israel directors, officers and other employees and expect to enter into agreements to indemnify the Arcturus-Delaware directors, executive officers and other employees as determined by the Arcturus-Delaware board of directors. With specified exceptions, these agreements provide for indemnification for related expenses including, among other things, attorneys’ fees, judgments, fines and settlement amounts incurred by any of these individuals in any action or proceeding to the fullest extent permitted by applicable law.</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In connection with the Transaction, we expect that we enter into a customary indemnification agreement with each of Arcturus-Delaware’s directors and certain officers, as well as with individuals serving as directors or officers of our subsidiaries.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Certain Persons in the Transaction</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Except for the indemnification arrangements described above, no person who has been a director or executive officer of Arcturus-Israel at any time since the beginning of the last fiscal year, or any associate of any such person, has any substantial interest in the Transaction, except for any interest arising from his or her ownership of securities of Arcturus-Israel or the Partnership.</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Other than court approval of the Scheme of Arrangement, we are not aware of any other governmental approvals or actions that are required to complete the Transaction other than compliance with U.S. federal and state securities laws and Israel and Delaware corporate law. We do not believe that any significant regulatory approvals will be required to effect the Transaction.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Once the Arcturus Redomiciliation Proposal is approved by the requisite Scheme Shareholders, is approved by the Israel Court, the Scheme of Arrangement becomes effective and will be binding on all shareholders of Arcturus. Holders of Arcturus-Israel ordinary shares may file an objection with the Israel Court against the approval of the Scheme of Arrangement, but no appraisal or dissenting rights are available to such holders in connection with a scheme of arrangement effected under Israel law.</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Action Required to Transfer Arcturus-Israel Ordinary Shares and Receive Arcturus-Delaware Shares of Common Stock.</w:t>
      </w:r>
    </w:p>
    <w:p>
      <w:pPr>
        <w:spacing w:after="0" w:line="121" w:lineRule="exact"/>
        <w:rPr>
          <w:sz w:val="20"/>
          <w:szCs w:val="20"/>
          <w:color w:val="auto"/>
        </w:rPr>
      </w:pPr>
    </w:p>
    <w:p>
      <w:pPr>
        <w:ind w:left="200" w:right="100" w:firstLine="441"/>
        <w:spacing w:after="0" w:line="253" w:lineRule="auto"/>
        <w:rPr>
          <w:sz w:val="20"/>
          <w:szCs w:val="20"/>
          <w:color w:val="auto"/>
        </w:rPr>
      </w:pPr>
      <w:r>
        <w:rPr>
          <w:rFonts w:ascii="Arial" w:cs="Arial" w:eastAsia="Arial" w:hAnsi="Arial"/>
          <w:sz w:val="18"/>
          <w:szCs w:val="18"/>
          <w:color w:val="auto"/>
        </w:rPr>
        <w:t>Assuming the Transaction becomes effective, your Arcturus-Israel ordinary shares will be exchanged by Arcturus-Delaware in consideration of shares of common stock of Arcturus-Delaware, which will be issued to you in uncertificated book-entry form. Arcturus-Israel stock certificates outstanding immediately prior to the effective time of the Transaction will no longer be evidence of title of Arcturus-Israel ordinary shares represented by such certificates, and following the Transaction, will only represent the right to receive a corresponding number of uncertificated book-entry shares of common stock of Arcturus-Delaware. Our transfer agent will request that you return such share certificates for cancellation, together with a properly completed and executed letter of transmittal, in exchange for shares of common stock of Arcturus-Delaware following completion of the Transaction. Arcturus-Israel ordinary shares held in “street name” through a bank, broker, custodian or other nominee will be automatically exchanged for uncertificated book-entry shares of common stock of Arcturus-Delaware without any action required on the part of the beneficial holder of such ordinary shares.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If the Transaction is completed, Arcturus-Delaware will adopt an equity incentive plan and issue new options to purchase Arcturus-Delaware common stock in the same amounts and under substantially the same terms as the options issued to purchase ordinary shares of Arcturus-Israel common stock you currently hold. Shareholder approval of the Transaction will also constitute shareholder approval of the adoption of the equity incentive plans by Arcturus-Delaware and issuance of the options to purchase Arcturus-Delaware common stock to current holders of options to purchase ordinary shares of Arcturus-Israel as contemplated by this proxy statement/prospectus.</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Holders of outstanding options may be subject to tax as a result of the exchange of options to purchase Arcturus-Israel ordinary shares for options to purchase Arcturus-Delaware shares of common stock as of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consummation of the Transaction, depending on the country where the holders are citizens or tax residents or the country where they resided during the life of such equity awards. In general, however, U.S. taxpayers should not recognize ordinary income at the time Arcturus-Delaware issues their equity awards. Tax withholding and/or reporting may be required by Arcturus-Delaware or one of its affiliates and/or the holder of the applicable equity award, and certain employer social insurance contributions or other taxes may be due as a result of the conversion of the equity awards. Depending on the country where the holders are citizens or residents or the country where they resided during the life of the Arcturus-Israel awards, the conversion of equity awards may trigger certain regulatory filings or notices to employees concerning the tax or regulatory consequences of the Transaction.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Arcturus-Israel’s ordinary shares are currently listed on NASDAQ. There is currently no established public trading market for the shares of common stock of Arcturus-Delaware. We will submit a notification form with NASDAQ and expect that, immediately following the consummation of the Transaction, the Arcturus-Delaware shares of common stock will be listed on NASDAQ under the symbol “ARCT,” the same symbol under which your Arcturus-Israel ordinary shares are currently listed.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 of the Transaction</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Under U.S. GAAP, the Scheme of Arrangement represents a transaction between entities under common control. Assets and liabilities are transferred at carrying value between entities under common control. Accordingly, the assets and liabilities of Arcturus-Delaware will be reflected at the same carrying amounts as in the accounts of Arcturus-Israel at the effective time of the Scheme of Arrangement.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 of the Transaction on Reporting Obligations of the Arcturus Corporate Group</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Upon completion of the Transaction, Arcturus-Delaware will be subject to the same reporting requirements of the SEC, the mandates of the Sarbanes-Oxley Act and the applicable corporate governance rules of NASDAQ as Arcturus-Israel before the Transaction, and Arcturus-Delaware will continue to report our consolidated financial results in U.S. dollars and in accordance with U.S. GAAP. Arcturus-Delaware will continue to file reports on Form 10-K, 10-Q and 8-K with the SEC and comply with the proxy rules, as we currently do. We will also comply with any additional reporting requirements of Delaware law.</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80"/>
          </w:cols>
          <w:pgMar w:left="24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TAXATION</w:t>
      </w:r>
    </w:p>
    <w:p>
      <w:pPr>
        <w:spacing w:after="0" w:line="225" w:lineRule="exact"/>
        <w:rPr>
          <w:sz w:val="20"/>
          <w:szCs w:val="20"/>
          <w:color w:val="auto"/>
        </w:rPr>
      </w:pPr>
    </w:p>
    <w:p>
      <w:pPr>
        <w:ind w:left="200" w:right="980"/>
        <w:spacing w:after="0" w:line="282" w:lineRule="auto"/>
        <w:rPr>
          <w:sz w:val="20"/>
          <w:szCs w:val="20"/>
          <w:color w:val="auto"/>
        </w:rPr>
      </w:pPr>
      <w:r>
        <w:rPr>
          <w:rFonts w:ascii="Arial" w:cs="Arial" w:eastAsia="Arial" w:hAnsi="Arial"/>
          <w:sz w:val="18"/>
          <w:szCs w:val="18"/>
          <w:b w:val="1"/>
          <w:bCs w:val="1"/>
          <w:color w:val="auto"/>
        </w:rPr>
        <w:t>MATERIAL U.S. FEDERAL INCOME TAX CONSIDERATIONS OF THE SCHEME OF ARRANGEMENT TO HOLDERS OF ARCTURUS-ISRAEL ORDINARY SHARES</w:t>
      </w:r>
    </w:p>
    <w:p>
      <w:pPr>
        <w:spacing w:after="0" w:line="166"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following discussion is a summary of the material U.S. federal income tax consequences to U.S. Holders and to Non-U.S. Holders (each as defined below) of (i) transferring Arcturus-Israel ordinary shares to Arcturus-Delaware for Arcturus-Delaware shares of common stock pursuant to the Scheme of Arrangement and (ii) owning and disposing of Arcturus-Delaware shares of common stock that are received pursuant to the Scheme of Arrangement. This discussion is based on and subject to the U.S.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the U.S. Treasury Regulations promulgated thereunder (“</w:t>
      </w:r>
      <w:r>
        <w:rPr>
          <w:rFonts w:ascii="Arial" w:cs="Arial" w:eastAsia="Arial" w:hAnsi="Arial"/>
          <w:sz w:val="17"/>
          <w:szCs w:val="17"/>
          <w:b w:val="1"/>
          <w:bCs w:val="1"/>
          <w:color w:val="auto"/>
        </w:rPr>
        <w:t>Regulations</w:t>
      </w:r>
      <w:r>
        <w:rPr>
          <w:rFonts w:ascii="Arial" w:cs="Arial" w:eastAsia="Arial" w:hAnsi="Arial"/>
          <w:sz w:val="17"/>
          <w:szCs w:val="17"/>
          <w:color w:val="auto"/>
        </w:rPr>
        <w:t>”), published guidance of the U.S. Internal Revenue Service (the “</w:t>
      </w:r>
      <w:r>
        <w:rPr>
          <w:rFonts w:ascii="Arial" w:cs="Arial" w:eastAsia="Arial" w:hAnsi="Arial"/>
          <w:sz w:val="17"/>
          <w:szCs w:val="17"/>
          <w:b w:val="1"/>
          <w:bCs w:val="1"/>
          <w:color w:val="auto"/>
        </w:rPr>
        <w:t>IRS</w:t>
      </w:r>
      <w:r>
        <w:rPr>
          <w:rFonts w:ascii="Arial" w:cs="Arial" w:eastAsia="Arial" w:hAnsi="Arial"/>
          <w:sz w:val="17"/>
          <w:szCs w:val="17"/>
          <w:color w:val="auto"/>
        </w:rPr>
        <w:t>”) and court decisions, in each case, as of the date hereof, all of which are subject to change, possibly with retroactive effect, and to differing interpretations. The following discussion assumes that the Scheme of Arrangement will be consummated as described in this proxy statement/prospectus and applies only to U.S. Holders and Non-U.S. Holders that hold their Arcturus-Israel ordinary shares, and that will hold their Arcturus-Delaware shares of common stock received pursuant to the Scheme of Arrangement, as “capital assets” within the meaning of Section 1221 of the Code (generally, property held for investment). This discussion does not constitute tax advice and does not address all aspects of U.S. federal income taxation that may be relevant to any particular holders in light of their personal circumstances, including any tax consequences arising under the tax on net investment income, or to any holders subject to special treatment under the Code, such as:</w:t>
      </w:r>
    </w:p>
    <w:p>
      <w:pPr>
        <w:spacing w:after="0" w:line="85" w:lineRule="exact"/>
        <w:rPr>
          <w:sz w:val="20"/>
          <w:szCs w:val="20"/>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banks, thrifts, mutual funds and other financial institutions;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real estate investment trusts and regulated investment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traders in securities who elect to apply a mark-to-market method of accounting;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dealers or brokers in securities or foreign currency;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individual retirement and other deferred accounts;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U.S. expatriates and former citizens or long-term residents of the United States subject to Sections 877 or Section 877A of the Code;</w:t>
      </w:r>
    </w:p>
    <w:p>
      <w:pPr>
        <w:spacing w:after="0" w:line="142" w:lineRule="exact"/>
        <w:rPr>
          <w:rFonts w:ascii="Arial" w:cs="Arial" w:eastAsia="Arial" w:hAnsi="Arial"/>
          <w:sz w:val="17"/>
          <w:szCs w:val="17"/>
          <w:color w:val="auto"/>
        </w:rPr>
      </w:pPr>
    </w:p>
    <w:p>
      <w:pPr>
        <w:ind w:left="1060" w:right="440" w:hanging="316"/>
        <w:spacing w:after="0" w:line="27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“passive foreign investment companies” or “controlled foreign corporations,” and corporations that accumulate earnings to avoid U.S. federal income tax;</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who hold their shares as part of a straddle, hedging, conversion, constructive sale or other risk reduction transaction;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who purchase or sell their shares as part of a wash sale for tax purposes;</w:t>
      </w:r>
    </w:p>
    <w:p>
      <w:pPr>
        <w:spacing w:after="0" w:line="130"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 or other pass-through entities (and investors therein);</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who received their shares through the exercise of employee stock options or otherwise as compensation or through a tax-qualified retirement plan;</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Arcturus-Delaware shares of common stock being taken into account in a financial statement; and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40" w:hanging="316"/>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who own (directly, indirectly or constructively) five percent or more, by vote or value, of Arcturus-Israel stock or, after completion of the Scheme of Arrangement, Arcturus-Delaware shares of common stock.</w:t>
      </w:r>
    </w:p>
    <w:p>
      <w:pPr>
        <w:spacing w:after="0" w:line="17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Unless otherwise specifically indicated, this discussion does not address the U.S. federal income tax consequences of transactions effectuated prior or subsequent to, or concurrently with, the Scheme of Arrangement. This discussion also does not address any considerations under the U.S. federal tax laws other than those pertaining to the income tax (for example, it does not address estate or gift taxes), nor does it address any state, local or non-U.S. tax considerations. We do not intend to seek any rulings from the IRS with respect to the Scheme of Arrangement, and there can be no assurance that the IRS will not take a position contrary to the tax consequences described herein or that such a contrary position would not be sustained by a court.</w:t>
      </w:r>
    </w:p>
    <w:p>
      <w:pPr>
        <w:spacing w:after="0" w:line="154" w:lineRule="exact"/>
        <w:rPr>
          <w:sz w:val="20"/>
          <w:szCs w:val="20"/>
          <w:color w:val="auto"/>
        </w:rPr>
      </w:pPr>
    </w:p>
    <w:p>
      <w:pPr>
        <w:ind w:left="200" w:right="40" w:firstLine="441"/>
        <w:spacing w:after="0" w:line="266" w:lineRule="auto"/>
        <w:rPr>
          <w:sz w:val="20"/>
          <w:szCs w:val="20"/>
          <w:color w:val="auto"/>
        </w:rPr>
      </w:pPr>
      <w:r>
        <w:rPr>
          <w:rFonts w:ascii="Arial" w:cs="Arial" w:eastAsia="Arial" w:hAnsi="Arial"/>
          <w:sz w:val="18"/>
          <w:szCs w:val="18"/>
          <w:color w:val="auto"/>
        </w:rPr>
        <w:t>For purposes of this discussion, a “</w:t>
      </w:r>
      <w:r>
        <w:rPr>
          <w:rFonts w:ascii="Arial" w:cs="Arial" w:eastAsia="Arial" w:hAnsi="Arial"/>
          <w:sz w:val="18"/>
          <w:szCs w:val="18"/>
          <w:b w:val="1"/>
          <w:bCs w:val="1"/>
          <w:color w:val="auto"/>
        </w:rPr>
        <w:t>U.S. Holder</w:t>
      </w:r>
      <w:r>
        <w:rPr>
          <w:rFonts w:ascii="Arial" w:cs="Arial" w:eastAsia="Arial" w:hAnsi="Arial"/>
          <w:sz w:val="18"/>
          <w:szCs w:val="18"/>
          <w:color w:val="auto"/>
        </w:rPr>
        <w:t>” means a beneficial owner of Arcturus-Israel ordinary shares or, after the completion of the Scheme of Arrangement, Arcturus-Delaware shares of common stock received in the Scheme of Arrangement, that for U.S. federal income tax purposes is:</w:t>
      </w:r>
    </w:p>
    <w:p>
      <w:pPr>
        <w:spacing w:after="0" w:line="86" w:lineRule="exact"/>
        <w:rPr>
          <w:sz w:val="20"/>
          <w:szCs w:val="20"/>
          <w:color w:val="auto"/>
        </w:rPr>
      </w:pPr>
    </w:p>
    <w:p>
      <w:pPr>
        <w:ind w:left="1060" w:hanging="316"/>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60" w:right="80" w:hanging="316"/>
        <w:spacing w:after="0" w:line="264"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the trust has a valid election in effect under applicable Regulations to be treated as a U.S. person for U.S. federal income tax purposes.</w:t>
      </w:r>
    </w:p>
    <w:p>
      <w:pPr>
        <w:spacing w:after="0" w:line="177" w:lineRule="exact"/>
        <w:rPr>
          <w:sz w:val="20"/>
          <w:szCs w:val="20"/>
          <w:color w:val="auto"/>
        </w:rPr>
      </w:pPr>
    </w:p>
    <w:p>
      <w:pPr>
        <w:ind w:left="200" w:right="20" w:firstLine="441"/>
        <w:spacing w:after="0" w:line="261" w:lineRule="auto"/>
        <w:rPr>
          <w:sz w:val="20"/>
          <w:szCs w:val="20"/>
          <w:color w:val="auto"/>
        </w:rPr>
      </w:pPr>
      <w:r>
        <w:rPr>
          <w:rFonts w:ascii="Arial" w:cs="Arial" w:eastAsia="Arial" w:hAnsi="Arial"/>
          <w:sz w:val="18"/>
          <w:szCs w:val="18"/>
          <w:color w:val="auto"/>
        </w:rPr>
        <w:t>For purposes of this discussion, a “</w:t>
      </w:r>
      <w:r>
        <w:rPr>
          <w:rFonts w:ascii="Arial" w:cs="Arial" w:eastAsia="Arial" w:hAnsi="Arial"/>
          <w:sz w:val="18"/>
          <w:szCs w:val="18"/>
          <w:b w:val="1"/>
          <w:bCs w:val="1"/>
          <w:color w:val="auto"/>
        </w:rPr>
        <w:t>Non-U.S. Holder</w:t>
      </w:r>
      <w:r>
        <w:rPr>
          <w:rFonts w:ascii="Arial" w:cs="Arial" w:eastAsia="Arial" w:hAnsi="Arial"/>
          <w:sz w:val="18"/>
          <w:szCs w:val="18"/>
          <w:color w:val="auto"/>
        </w:rPr>
        <w:t>” means a beneficial owner of Arcturus-Israel ordinary shares or, after the completion of the Scheme of Arrangement, Arcturus-Delaware shares of common stock received in the Scheme of Arrangement, that is not a U.S. Holder (except that, with respect to an entity (or other arrangement taxable as a partnership for U.S. federal income tax purposes), a “</w:t>
      </w:r>
      <w:r>
        <w:rPr>
          <w:rFonts w:ascii="Arial" w:cs="Arial" w:eastAsia="Arial" w:hAnsi="Arial"/>
          <w:sz w:val="18"/>
          <w:szCs w:val="18"/>
          <w:b w:val="1"/>
          <w:bCs w:val="1"/>
          <w:color w:val="auto"/>
        </w:rPr>
        <w:t>Non-U.S. Holder</w:t>
      </w:r>
      <w:r>
        <w:rPr>
          <w:rFonts w:ascii="Arial" w:cs="Arial" w:eastAsia="Arial" w:hAnsi="Arial"/>
          <w:sz w:val="18"/>
          <w:szCs w:val="18"/>
          <w:color w:val="auto"/>
        </w:rPr>
        <w:t>” refers to any partner in such partnership that is not a U.S. Holder as defined in the previous sentence).</w:t>
      </w:r>
    </w:p>
    <w:p>
      <w:pPr>
        <w:spacing w:after="0" w:line="184"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If a partnership, including for this purpose any arrangement or entity that is treated as a partnership for U.S. federal income tax purposes, holds Arcturus-Israel ordinary shares or, after the completion of the Scheme of Arrangement, Arcturus-Delaware shares of common stock, the tax treatment of a partner in the partnership will generally depend upon the status of the partner and the activities of the partnership. A holder that is a partnership for U.S. federal income tax purposes and the partners in such partnership are urged to consult their tax advisors about the U.S. federal income tax consequences of the Scheme of Arrangement and of the ownership and disposition of Arcturus-Delaware shares of common stock.</w:t>
      </w:r>
    </w:p>
    <w:p>
      <w:pPr>
        <w:spacing w:after="0" w:line="158"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Arcturus-Israel is treated as a U.S. corporation for U.S. federal income tax purposes pursuant to Section 7874 of the Code, and this discussion assumes that Arcturus-Israel is properly classified as a U.S. corporation for U.S. federal income tax purposes.</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THIS DISCUSSION IS FOR INFORMATIONAL PURPOSES ONLY AND IS NOT TAX ADVICE. HOLDERS OF ARCTURUS-ISRAEL ORDINARY SHARES OR, AFTER THE COMPLETION OF THE SCHEME, ARCTURUS-DELAWARE SHARES OF COMMON STOCK SHOULD CONSULT THEIR TAX ADVISORS WITH RESPECT TO THE U.S. FEDERAL INCOME TAX CONSEQUENCES OF THE SCHEME OF ARRANGEMENT AND OF THE OWNERSHIP AND DISPOSITION OF ARCTURUS-DELAWARE SHARES OF COMMON STOCK IN LIGHT OF THEIR PARTICULAR CIRCUMSTANCES, AS WELL AS ANY TAX CONSEQUENCES ARISING UNDER U.S. FEDERAL TAX LAWS OTHER THAN THOSE PERTAINING TO INCOME TAX, INCLUDING ESTATE OR GIFT TAX LAWS, OR UNDER ANY STATE, LOCAL OR NON-U.S. TAX LAWS OR UNDER ANY APPLICABLE INCOME TAX TREATY.</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Characterization of the Exchange of Arcturus-Israel Ordinary Shares for Arcturus-Delaware Shares of Common Stock Pursuant to the Scheme of Arrangement</w:t>
      </w:r>
    </w:p>
    <w:p>
      <w:pPr>
        <w:spacing w:after="0" w:line="170"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For U.S. federal income tax purposes, the Scheme of Arrangement is expected to qualify as a tax-deferred exchange under the Code. The Scheme of Arrangement is not conditioned on the receipt of a tax opinion, and we do not intend to request a ruling from the IRS regarding the U.S. federal income tax treatment of the Scheme of Arrangement. Consequently, no assurance can be given that the IRS will not challenge the qualification of the Scheme of Arrangement as a tax-deferred exchange under the Code, or that a court would not sustain such challenge.</w:t>
      </w:r>
    </w:p>
    <w:p>
      <w:pPr>
        <w:spacing w:after="0" w:line="17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If the non-liquidating distribution by Arcturus-Israel of the Private Arcturus shares, as is contemplated and described under the caption “STRUCTURE OF THE TRANSACTION” on page 2 of this proxy statement/prospectus, is not treated as a part of the Scheme of Arrangement, such distribution generally will be treated as a dividend to Arcturus-Delaware to the extent of current and accumulated earnings and profits and Arcturus-Israel should recognize gain (to the extent the value of the Private Arcturus Shares distributed exceeds its tax basis in such shares for U.S. federal tax purposes). However, due to special consolidated return rules under the Code and the Regulations thereunder, such gain should be deferred (“</w:t>
      </w:r>
      <w:r>
        <w:rPr>
          <w:rFonts w:ascii="Arial" w:cs="Arial" w:eastAsia="Arial" w:hAnsi="Arial"/>
          <w:sz w:val="17"/>
          <w:szCs w:val="17"/>
          <w:b w:val="1"/>
          <w:bCs w:val="1"/>
          <w:color w:val="auto"/>
        </w:rPr>
        <w:t>deferred</w:t>
      </w:r>
      <w:r>
        <w:rPr>
          <w:rFonts w:ascii="Arial" w:cs="Arial" w:eastAsia="Arial" w:hAnsi="Arial"/>
          <w:sz w:val="17"/>
          <w:szCs w:val="17"/>
          <w:color w:val="auto"/>
        </w:rPr>
        <w:t xml:space="preserve"> </w:t>
      </w:r>
      <w:r>
        <w:rPr>
          <w:rFonts w:ascii="Arial" w:cs="Arial" w:eastAsia="Arial" w:hAnsi="Arial"/>
          <w:sz w:val="17"/>
          <w:szCs w:val="17"/>
          <w:b w:val="1"/>
          <w:bCs w:val="1"/>
          <w:color w:val="auto"/>
        </w:rPr>
        <w:t>intercompany gain</w:t>
      </w:r>
      <w:r>
        <w:rPr>
          <w:rFonts w:ascii="Arial" w:cs="Arial" w:eastAsia="Arial" w:hAnsi="Arial"/>
          <w:sz w:val="17"/>
          <w:szCs w:val="17"/>
          <w:color w:val="auto"/>
        </w:rPr>
        <w:t>”), any dividend to Arcturus-Delaware should be eliminated and certain corresponding basis adjustments will be made. Importantly,</w:t>
      </w:r>
      <w:r>
        <w:rPr>
          <w:rFonts w:ascii="Arial" w:cs="Arial" w:eastAsia="Arial" w:hAnsi="Arial"/>
          <w:sz w:val="17"/>
          <w:szCs w:val="17"/>
          <w:b w:val="1"/>
          <w:bCs w:val="1"/>
          <w:color w:val="auto"/>
        </w:rPr>
        <w:t xml:space="preserve"> </w:t>
      </w:r>
      <w:r>
        <w:rPr>
          <w:rFonts w:ascii="Arial" w:cs="Arial" w:eastAsia="Arial" w:hAnsi="Arial"/>
          <w:sz w:val="17"/>
          <w:szCs w:val="17"/>
          <w:color w:val="auto"/>
        </w:rPr>
        <w:t>the deferred intercompany gain (or loss) can be triggered should certain future transactions occur.</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Material U.S. Federal Income Tax Consequences of the Scheme of Arrangement to U.S. Holders of Arcturus-Israel Ordinary Shares</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Receipt of Arcturus-Delaware Shares of Common Stock</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Assuming that the Scheme of Arrangement qualifies as a tax-deferred exchange under the Code, a U.S. Holder that transfers Arcturus-Israel ordinary shares for Arcturus-Delaware shares of common stock pursuant to the Scheme of Arrangement should not recognize any gain or loss with respect to such exchange. Such U.S. Holder will have an adjusted tax basis in the Arcturus-Delaware shares of common stock received pursuant to the Scheme of Arrangement equal to the adjusted tax basis of the Arcturus-Israel ordinary shares surrendered in exchange therefor by that U.S. Holder pursuant to the Scheme of Arrangement. The holding period for Arcturus-Delaware shares of common stock received pursuant to the Scheme of Arrangement will include the U.S. Holder’s holding period for the Arcturus-Israel ordinary shares surrendered in exchange therefor.</w:t>
      </w:r>
    </w:p>
    <w:p>
      <w:pPr>
        <w:spacing w:after="0" w:line="165"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U.S. Holders should consult their tax advisors about any reporting requirements and information statements that could be applicable with respect to the Scheme of Arrangement and any potential consequences, including penalties, associated with a failure to satisfy such requirements.</w:t>
      </w:r>
    </w:p>
    <w:p>
      <w:pPr>
        <w:spacing w:after="0" w:line="124"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auto"/>
        </w:rPr>
        <w:t>Material U.S. Federal Income Tax Consequences to U.S. Holders of Owning and Disposing of Arcturus-Delaware Shares of Common Stock Received in the Scheme of Arrangement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Dividends and Other Distributions on Arcturus-Delaware Shares of Common Stock</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Any distribution made by Arcturus-Delaware to a U.S. Holder with respect to Arcturus-Delaware shares of common stock will generally be includible in the U.S. Holder’s gross income, in the year actually or constructively received, as a dividend to the extent that such distribution is paid out of Arcturus-Delaware’s current or accumulated earnings and profits (as determined under U.S. federal income tax principles). To the extent that the amount of the distribution exceeds Arcturus-Delaware’s current and accumulated earnings and profits (as determined under U.S. federal income tax principles), such excess will be treated first as a tax-free return of the U.S. Holder’s tax basis in the Arcturus-Delaware shares of common stock, and then, to the extent such excess amount exceeds the U.S. Holder’s tax basis in the Arcturus-Delaware shares of common stock, as capital gain. Subject to applicable limitations and requirements, dividends received on Arcturus-Delaware’s shares of common stock generally should be eligible for the “dividends received deduction” available to corporate shareholders. A dividend paid by Arcturus-Delaware to certain non-corporate U.S. Holders, including</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60"/>
          </w:cols>
          <w:pgMar w:left="24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individuals, generally will be subject to taxation at preferential rates if certain holding period requirements are met.</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Dispositions of Arcturus-Delaware Shares of Common Stock</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 U.S. Holder will generally recognize taxable gain or loss on any sale, taxable exchange or other taxable disposition of Arcturus-Delaware shares of common stock equal to the difference between the amount realized for such Arcturus-Delaware shares of common stock and the U.S. Holder’s adjusted tax basis in such Arcturus-Delaware shares of common stock. Any such gain or loss will generally be capital gain or loss and will be long-term capital gain or loss if, on the date of the disposition, the U.S. Holder has a holding period in such Arcturus-Delaware shares of common stock that exceeds one year. Long-term capital gains derived by certain non-corporate U.S. Holders, including individuals, are generally subject to taxation at preferential rates. The deductibility of capital losses is subject to limitations.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Dividend payments with respect to Arcturus-Delaware shares of common stock and proceeds of a disposition of Arcturus-Delaware shares of common stock will generally be subject to information reporting to the IRS and may be subject to U.S. backup withholding (currently, at a rate of 24%) unless a U.S. Holder furnishes such U.S. Holder’s correct U.S. taxpayer identification number (generally on IRS Form W-9) and complies with other applicable certification requirements, or otherwise establishes an exemption. Backup withholding is not an additional tax. Amounts withheld under the backup withholding rules will be credited against a U.S. Holder’s federal income tax liability, and may entitle a U.S. Holder to a refund, provided that the required information is furnished to the IRS in a timely manner.</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Material U.S. Federal Income Tax Consequences of the Scheme of Arrangement to Non-U.S. Holders of Arcturus-Israel Ordinary Shares</w:t>
      </w:r>
    </w:p>
    <w:p>
      <w:pPr>
        <w:spacing w:after="0" w:line="23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Assuming that the transfer of Arcturus-Israel ordinary shares for Arcturus-Delaware shares of common stock pursuant to the Scheme of Arrangement qualifies as a tax-deferred exchange under the Code, a Non-U.S. Holder that receives Arcturus-Delaware shares of common stock pursuant to the Scheme of Arrangement will not recognize any gain or loss with respect to the receipt of such Arcturus-Delaware shares of common stock for U.S. federal income tax purposes. Such Non-U.S. Holder will, for U.S. federal income tax purposes, have an adjusted tax basis in the Arcturus-Delaware shares of common stock received pursuant to the Scheme of Arrangement equal to the adjusted tax basis of the Arcturus-Israel ordinary shares surrendered in exchange therefor by that Non-U.S. Holder pursuant to the Scheme of Arrangement. The holding period for Arcturus-Delaware shares of common stock received pursuant to the Scheme of Arrangement will include the Non-U.S. Holder’s holding period for the Arcturus-Israel ordinary shares surrendered in exchange therefor.</w:t>
      </w:r>
    </w:p>
    <w:p>
      <w:pPr>
        <w:spacing w:after="0" w:line="192"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Non-U.S. Holders should consult their tax advisors about reporting requirements and information statements that could be applicable with respect to the Scheme of Arrangement and any potential consequences, including penalties, associated with a failure to satisfy such requirements.</w:t>
      </w:r>
    </w:p>
    <w:p>
      <w:pPr>
        <w:spacing w:after="0" w:line="124"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Material U.S. Federal Income Tax Considerations to Non-U.S. Holders of Owning and Disposing of Arcturus-Delaware Shares of Common Stock Received in the Scheme of Arrangement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Dividends and Other Distributions on Arcturus-Delaware Shares of Common Stock</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Any distribution made by Arcturus-Delaware to a Non-U.S. Holder with respect to Arcturus-Delaware shares of common stock will generally constitute a dividend for U.S. federal income tax purposes to the extent that such distribution is paid out of Arcturus-Delaware’s current or accumulated earnings and profits (as determined under U.S. federal income tax principles). To the extent that the amount of the distribution exceeds Arcturus-Delaware’s current and accumulated earnings and profits (as determined under U.S. federal income tax principles), such excess will be treated first as a tax-free return of the Non-U.S. Holder’s tax basis in the Arcturus-Delaware shares of common stock, and then, to the extent such excess amount exceeds the Non-U.S.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Holder’s tax basis in the Arcturus-Delaware shares of common stock, as capital gain and will be treated as described below under “Dispositions of Arcturus-Delaware Shares of Common Stock.”</w:t>
      </w:r>
    </w:p>
    <w:p>
      <w:pPr>
        <w:spacing w:after="0" w:line="170"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Subject to the discussion below regarding effectively connected income, dividends paid to a Non-U.S. Holder with respect to such Non-U.S. Holder’s Arcturus-Delaware shares of common stock generally will be subject to U.S. federal withholding tax at a rate of 30% (or such lower rate as may be specified by an applicable income tax treaty between the United States and such holder’s country of residence). Non-U.S. Holders should consult their tax advisors regarding their entitlement to benefits under any applicable income tax treaty and the procedures for claiming such benefits.</w:t>
      </w:r>
    </w:p>
    <w:p>
      <w:pPr>
        <w:spacing w:after="0" w:line="15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Dividends paid to a Non-U.S. Holder with respect to Arcturus-Delaware shares of common stock that are effectively connected with its conduct of a trade or business within the United States (and, if required by an applicable tax treaty, are attributable to a U.S. permanent establishment or a fixed base maintained by such Non-U.S. Holder) will generally be exempt from the U.S. federal withholding tax, as described above, if the Non-U.S. Holder complies with applicable certification and disclosure requirements (generally including provision of a valid IRS Form W-8ECI (or applicable successor form) certifying that the dividends are effectively connected with the Non-U.S. Holder’s conduct of a trade or business within the United States). Instead, such dividends generally will be subject to U.S. federal income tax on a net income basis, at regular U.S. federal income tax rates as would apply if such holder were a U.S. person (as defined in the Code). Any U.S. effectively connected income received by a Non-U.S. Holder that is classified as a corporation for U.S. federal income tax purposes, may also be subject to an additional “branch profits tax” at a rate of 30% (or such lower rate as may be specified by an applicable income tax treaty).</w:t>
      </w:r>
    </w:p>
    <w:p>
      <w:pPr>
        <w:spacing w:after="0" w:line="182" w:lineRule="exact"/>
        <w:rPr>
          <w:sz w:val="20"/>
          <w:szCs w:val="20"/>
          <w:color w:val="auto"/>
        </w:rPr>
      </w:pPr>
    </w:p>
    <w:p>
      <w:pPr>
        <w:jc w:val="both"/>
        <w:ind w:left="200" w:right="60" w:firstLine="441"/>
        <w:spacing w:after="0" w:line="279" w:lineRule="auto"/>
        <w:rPr>
          <w:sz w:val="20"/>
          <w:szCs w:val="20"/>
          <w:color w:val="auto"/>
        </w:rPr>
      </w:pPr>
      <w:r>
        <w:rPr>
          <w:rFonts w:ascii="Arial" w:cs="Arial" w:eastAsia="Arial" w:hAnsi="Arial"/>
          <w:sz w:val="17"/>
          <w:szCs w:val="17"/>
          <w:color w:val="auto"/>
        </w:rPr>
        <w:t>A Non-U.S. Holder of Arcturus-Delaware shares of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tax advisors regarding their entitlement to benefits under a relevant income tax treaty and the specific methods available to them to satisfy these requirements.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Dispositions of Arcturus-Delaware Shares of Common Stock</w:t>
      </w:r>
    </w:p>
    <w:p>
      <w:pPr>
        <w:spacing w:after="0" w:line="117"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Subject to the discussions below relating to backup withholding and foreign accounts, a Non-U.S. Holder generally will not be subject to U.S. federal income tax on any gain realized upon the sale, taxable exchange or other taxable disposition of Arcturus-Delaware shares of common stock, unless:</w:t>
      </w:r>
    </w:p>
    <w:p>
      <w:pPr>
        <w:spacing w:after="0" w:line="87" w:lineRule="exact"/>
        <w:rPr>
          <w:sz w:val="20"/>
          <w:szCs w:val="20"/>
          <w:color w:val="auto"/>
        </w:rPr>
      </w:pPr>
    </w:p>
    <w:p>
      <w:pPr>
        <w:jc w:val="both"/>
        <w:ind w:left="1060" w:right="120" w:hanging="316"/>
        <w:spacing w:after="0" w:line="264"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such gain is attributable to a permanent establishment or fixed base maintained by the Non-U.S. Holder in the United States);</w:t>
      </w:r>
    </w:p>
    <w:p>
      <w:pPr>
        <w:spacing w:after="0" w:line="86" w:lineRule="exact"/>
        <w:rPr>
          <w:rFonts w:ascii="Arial" w:cs="Arial" w:eastAsia="Arial" w:hAnsi="Arial"/>
          <w:sz w:val="18"/>
          <w:szCs w:val="18"/>
          <w:color w:val="auto"/>
        </w:rPr>
      </w:pPr>
    </w:p>
    <w:p>
      <w:pPr>
        <w:ind w:left="1060" w:right="540" w:hanging="316"/>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60" w:right="120" w:hanging="316"/>
        <w:spacing w:after="0" w:line="273"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Arcturus-Delaware shares of common stock constitute a U.S. real property interest by reason of Arcturus-Delaware being, or having been, a U.S. real property holding corporation (“</w:t>
      </w:r>
      <w:r>
        <w:rPr>
          <w:rFonts w:ascii="Arial" w:cs="Arial" w:eastAsia="Arial" w:hAnsi="Arial"/>
          <w:sz w:val="17"/>
          <w:szCs w:val="17"/>
          <w:b w:val="1"/>
          <w:bCs w:val="1"/>
          <w:color w:val="auto"/>
        </w:rPr>
        <w:t>USRPHC</w:t>
      </w:r>
      <w:r>
        <w:rPr>
          <w:rFonts w:ascii="Arial" w:cs="Arial" w:eastAsia="Arial" w:hAnsi="Arial"/>
          <w:sz w:val="17"/>
          <w:szCs w:val="17"/>
          <w:color w:val="auto"/>
        </w:rPr>
        <w:t>”) for U.S. federal income tax purposes at any applicable time within the shorter of the five-year period preceding the Non-U.S. Holder’s disposition of the Arcturus-Delaware shares of common stock or the Non-U.S. Holder’s holding period for the Arcturus-Delaware shares of common stock and, provided that the Arcturus-Delaware shares of common stock are regularly traded in an established securities market within the meaning of applicable Regulations, the Non-U.S. Holder has held, directly or constructively, at any time during said period, more than 5% of such stock.</w:t>
      </w:r>
    </w:p>
    <w:p>
      <w:pPr>
        <w:spacing w:after="0" w:line="17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Gain that is effectively connected with the conduct of a trade or business in the United States generally will be subject to U.S. federal income tax on a net income tax basis, at regular U.S. federal income tax rates. If the Non-U.S. Holder is a non-U.S. corporation, the branch profits tax described above also may apply to such</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effectively connected gain. An individual Non-U.S. Holder who is subject to U.S. federal income tax because the Non-U.S. Holder was present in the United States for 183 days or more during the year of sale or other disposition of the Arcturus-Delaware shares of common stock will be subject to a flat 30% tax (or such lower rate as may be specified by an applicable income tax treaty) on the gain derived from such sale or other disposition, which may be offset by certain U.S. source capital losses, if any. We believe that we are not and we do not anticipate becoming a USRPHC for U.S. federal income tax purposes.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200" w:right="320" w:firstLine="441"/>
        <w:spacing w:after="0" w:line="279" w:lineRule="auto"/>
        <w:rPr>
          <w:sz w:val="20"/>
          <w:szCs w:val="20"/>
          <w:color w:val="auto"/>
        </w:rPr>
      </w:pPr>
      <w:r>
        <w:rPr>
          <w:rFonts w:ascii="Arial" w:cs="Arial" w:eastAsia="Arial" w:hAnsi="Arial"/>
          <w:sz w:val="17"/>
          <w:szCs w:val="17"/>
          <w:color w:val="auto"/>
        </w:rPr>
        <w:t>Payments of dividends on Arcturus-Delaware shares of common stock will not be subject to backup withholding, provided that the applicable withholding agent does not have actual knowledge or reason to know the holder is a United States person and the holder either properly certifies its non-U.S. status, or otherwise establishes an exemption. However, information reporting will apply in connection with any dividends on Arcturus-Delaware shares of common stock paid to a Non-U.S. Holder, regardless of whether any tax was actually withheld.</w:t>
      </w:r>
    </w:p>
    <w:p>
      <w:pPr>
        <w:spacing w:after="0" w:line="17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Information reporting and backup withholding generally will apply to the proceeds of a disposition of Arcturus-Delaware shares of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w:t>
      </w:r>
    </w:p>
    <w:p>
      <w:pPr>
        <w:spacing w:after="0" w:line="178" w:lineRule="exact"/>
        <w:rPr>
          <w:sz w:val="20"/>
          <w:szCs w:val="20"/>
          <w:color w:val="auto"/>
        </w:rPr>
      </w:pPr>
    </w:p>
    <w:p>
      <w:pPr>
        <w:ind w:left="200" w:right="260" w:firstLine="441"/>
        <w:spacing w:after="0" w:line="308"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Additional Withholding Tax on Payments Made to Foreign Accounts</w:t>
      </w:r>
    </w:p>
    <w:p>
      <w:pPr>
        <w:spacing w:after="0" w:line="11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Withholding taxes may be imposed under Sections 1471 through 1474 of the Code (commonly referred to as the “Foreign Account Tax Compliance Act” or “</w:t>
      </w:r>
      <w:r>
        <w:rPr>
          <w:rFonts w:ascii="Arial" w:cs="Arial" w:eastAsia="Arial" w:hAnsi="Arial"/>
          <w:sz w:val="17"/>
          <w:szCs w:val="17"/>
          <w:b w:val="1"/>
          <w:bCs w:val="1"/>
          <w:color w:val="auto"/>
        </w:rPr>
        <w:t>FATCA</w:t>
      </w:r>
      <w:r>
        <w:rPr>
          <w:rFonts w:ascii="Arial" w:cs="Arial" w:eastAsia="Arial" w:hAnsi="Arial"/>
          <w:sz w:val="17"/>
          <w:szCs w:val="17"/>
          <w:color w:val="auto"/>
        </w:rPr>
        <w:t>”) on certain types of payments made to non-U.S. financial institutions and certain other non-U.S. entities. Specifically, a 30% withholding tax may be imposed on dividends on, or (subject to the caveat in the following paragraph) gross proceeds from the sale or other disposition of any property of a type which can produce U.S. source interest or dividends (“</w:t>
      </w:r>
      <w:r>
        <w:rPr>
          <w:rFonts w:ascii="Arial" w:cs="Arial" w:eastAsia="Arial" w:hAnsi="Arial"/>
          <w:sz w:val="17"/>
          <w:szCs w:val="17"/>
          <w:b w:val="1"/>
          <w:bCs w:val="1"/>
          <w:color w:val="auto"/>
        </w:rPr>
        <w:t>FATCA Property</w:t>
      </w:r>
      <w:r>
        <w:rPr>
          <w:rFonts w:ascii="Arial" w:cs="Arial" w:eastAsia="Arial" w:hAnsi="Arial"/>
          <w:sz w:val="17"/>
          <w:szCs w:val="17"/>
          <w:color w:val="auto"/>
        </w:rPr>
        <w:t>”), such as Arcturus-Delaware shares of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Such certification or exemption must typically be evidenced by a Non-U.S. Holder’s delivery of a properly executed IRS Form W-8BEN-E.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relating to FATCA may be subject to different rules.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80"/>
          </w:cols>
          <w:pgMar w:left="24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Under relevant Regulations and administrative guidance, withholding under FATCA currently applies to payments of dividends on Arcturus-Delaware shares of common stock, and will apply (subject to the caveat in the following sentence) to payments of gross proceeds from the sale or other disposition of FATCA Property with respect to sales or dispositions effected on or after January 1, 2019. Notwithstanding the foregoing, the IRS has issued proposed Regulations upon which taxpayers may generally rely, that exclude payments of gross proceeds from the sale or other disposition of FATCA Property from the application of the withholding tax imposed under FATCA.</w:t>
      </w:r>
    </w:p>
    <w:p>
      <w:pPr>
        <w:spacing w:after="0" w:line="17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Shareholders should consult their tax advisors regarding the potential application of withholding under FATCA to their investment in Arcturus-Delaware shares of common stock.</w:t>
      </w:r>
    </w:p>
    <w:p>
      <w:pPr>
        <w:spacing w:after="0" w:line="166" w:lineRule="exact"/>
        <w:rPr>
          <w:sz w:val="20"/>
          <w:szCs w:val="20"/>
          <w:color w:val="auto"/>
        </w:rPr>
      </w:pPr>
    </w:p>
    <w:p>
      <w:pPr>
        <w:ind w:left="200" w:right="40" w:firstLine="441"/>
        <w:spacing w:after="0" w:line="266" w:lineRule="auto"/>
        <w:rPr>
          <w:sz w:val="20"/>
          <w:szCs w:val="20"/>
          <w:color w:val="auto"/>
        </w:rPr>
      </w:pPr>
      <w:r>
        <w:rPr>
          <w:rFonts w:ascii="Arial" w:cs="Arial" w:eastAsia="Arial" w:hAnsi="Arial"/>
          <w:sz w:val="18"/>
          <w:szCs w:val="18"/>
          <w:b w:val="1"/>
          <w:bCs w:val="1"/>
          <w:color w:val="auto"/>
        </w:rPr>
        <w:t>THE U.S. FEDERAL INCOME TAX CONSIDERATIONS SUMMARIZED ABOVE ARE FOR GENERAL INFORMATION ONLY. EACH SHAREHOLDER SHOULD CONSULT ITS TAX ADVISOR AS TO THE PARTICULAR CONSEQUENCES THAT MAY APPLY TO SUCH SHAREHOLDER.</w:t>
      </w:r>
    </w:p>
    <w:p>
      <w:pPr>
        <w:spacing w:after="0" w:line="284" w:lineRule="exact"/>
        <w:rPr>
          <w:sz w:val="20"/>
          <w:szCs w:val="20"/>
          <w:color w:val="auto"/>
        </w:rPr>
      </w:pPr>
    </w:p>
    <w:p>
      <w:pPr>
        <w:ind w:left="200" w:right="4360"/>
        <w:spacing w:after="0" w:line="378" w:lineRule="auto"/>
        <w:rPr>
          <w:sz w:val="20"/>
          <w:szCs w:val="20"/>
          <w:color w:val="auto"/>
        </w:rPr>
      </w:pPr>
      <w:r>
        <w:rPr>
          <w:rFonts w:ascii="Arial" w:cs="Arial" w:eastAsia="Arial" w:hAnsi="Arial"/>
          <w:sz w:val="18"/>
          <w:szCs w:val="18"/>
          <w:b w:val="1"/>
          <w:bCs w:val="1"/>
          <w:color w:val="auto"/>
        </w:rPr>
        <w:t>CERTAIN MATERIAL ISRAELI TAX CONSEQUENCES OF THE TRANSACTION Material Israeli Tax Consequences</w:t>
      </w:r>
    </w:p>
    <w:p>
      <w:pPr>
        <w:ind w:left="200" w:firstLine="441"/>
        <w:spacing w:after="0" w:line="255" w:lineRule="auto"/>
        <w:rPr>
          <w:sz w:val="20"/>
          <w:szCs w:val="20"/>
          <w:color w:val="auto"/>
        </w:rPr>
      </w:pPr>
      <w:r>
        <w:rPr>
          <w:rFonts w:ascii="Arial" w:cs="Arial" w:eastAsia="Arial" w:hAnsi="Arial"/>
          <w:sz w:val="18"/>
          <w:szCs w:val="18"/>
          <w:color w:val="auto"/>
        </w:rPr>
        <w:t>The following is a summary discussion of certain Israeli tax considerations in connection with the Transaction. The following summary is included for general information purposes only and is based upon current Israeli tax law. No assurance can be given that new or future legislation, regulations, or interpretations will not significantly change the tax considerations described below, or that any such change may apply retroactively. This summary does not discuss all the material aspects of Israeli tax consequences that may apply to certain holders of Arcturus-Israel ordinary shares in light of their particular circumstances, such as investors that do not hold their Arcturus-Israel ordinary shares as a capital asset, investors that are subject to special tax rules, or other investors referred to below.</w:t>
      </w:r>
    </w:p>
    <w:p>
      <w:pPr>
        <w:spacing w:after="0" w:line="193"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Tax matters are very complicated, and the Israeli tax consequences of the Transaction for Israeli shareholders of Arcturus-Israel will depend on their particular situation. You are encouraged to consult your tax advisors regarding the specific Israeli tax consequences of the Transaction applicable to you, including tax return reporting requirements; the applicability of federal, state, local, and foreign tax laws; and the effect of any proposed change in the tax laws. This discussion is not intended to be a complete analysis or description of all potential tax consequences of the Transaction.</w:t>
      </w:r>
    </w:p>
    <w:p>
      <w:pPr>
        <w:spacing w:after="0" w:line="154"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Israeli law imposes a capital gains tax on the sale of capital assets by Israeli residents and on the sale of Israeli assets or assets deemed to be located in Israel by non-residents of Israel. In general, under the Israeli Tax Ordinance, the transfer by shareholders (or optionholders) of Arcturus-Israel of ordinary shares to Arcturus-Delaware is deemed to be a sale of capital assets and therefore gives rise to a taxable event. Consequently, unless a specific exemption is available, either under the Israeli Tax Ordinance or a treaty for the avoidance of double taxation applicable to non-residents of Israel, the exchange of shares will be subject to tax in Israel.</w:t>
      </w:r>
    </w:p>
    <w:p>
      <w:pPr>
        <w:spacing w:after="0" w:line="188"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Under the Israeli Tax Ordinance, the tax rate applicable to capital gains derived from the disposition of Arcturus-Israel ordinary shares (or options) in the Transaction is 25% for Israeli individuals (or 30% in case of a shareholder who claims a deduction for financing expenses in connection with such shares or who is considered a “Significant Shareholder” at any time during the 12-month period preceding such disposition, i.e. such shareholder alone or together with such person’s relative or another person who collaborates with such person on a permanent basis holds, directly or indirectly, at least 10% of any “means of control” in the company in question). In addition, an individual may be subject to an “Additional Tax” at the rate of 3% on his income exceeding NIS 649,560 (in 2019). However, the foregoing tax rates will not apply to individuals who (i) are dealers in securities and/or</w:t>
      </w:r>
    </w:p>
    <w:p>
      <w:pPr>
        <w:spacing w:after="0" w:line="5" w:lineRule="exact"/>
        <w:rPr>
          <w:sz w:val="20"/>
          <w:szCs w:val="20"/>
          <w:color w:val="auto"/>
        </w:rPr>
      </w:pPr>
    </w:p>
    <w:p>
      <w:pPr>
        <w:ind w:left="200" w:right="440" w:firstLine="4"/>
        <w:spacing w:after="0" w:line="261" w:lineRule="auto"/>
        <w:tabs>
          <w:tab w:leader="none" w:pos="46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acquired their shares prior to an initial public offering (and may be subject to a different tax arrangement). A corporate shareholder is generally subject to tax at the Israeli corporate tax rate, which is 23% in 2019.</w:t>
      </w: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According to the Israeli Tax Ordinance, non-Israeli residents should be exempt from Israeli capital gains tax on any gains derived from the sale of their Arcturus-Israel ordinary shares pursuant to the Transaction, provided that (i) they purchased the Arcturus-Israel ordinary shares upon or after Arcturus-Israel’s initial public offering in August 2013, (ii) such gains are not derived from a permanent establishment of such shareholders in Israel, and (iii) they obtained an exemption certificate from the Israel Tax Authority. However, a non-Israeli corporate shareholder will not be entitled to such exemption if Israeli residents (i) have, directly or indirectly, a controlling interest of more than 25% in such non-Israeli corporation, whether directly or indirectly, by themselves or with others; or (ii) are the beneficiaries of or are entitled to 25% or more of the revenues or profits of such non-Israeli corporation, whether directly or indirectly.</w:t>
      </w:r>
    </w:p>
    <w:p>
      <w:pPr>
        <w:spacing w:after="0" w:line="189"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In addition, under the US-Israel Tax Treaty (the “Treaty”), the sale, exchange, or other disposition of Arcturus-Israel ordinary shares by a person who (i) holds the ordinary shares as a capital asset, (ii) qualifies as a resident of the United States within the meaning of the Treaty, and (iii) is entitled to claim the benefits afforded to such resident by the Treaty (such person being referred to herein as a “Treaty US Resident”) should generally be exempt from Israeli capital gain tax. Such exemption will not apply if (i) such Treaty US Resident is an individual who was present in Israel for a period or periods aggregating 183 days or more during the relevant taxable year; (ii) such Treaty US Resident held, directly or indirectly, shares representing 10% or more of the voting rights of a company during any part of the 12-month period preceding such sale, exchange, or disposition, subject to certain conditions; (iii) the gain arising from such sale, exchange, or disposition can be attributable to a permanent establishment of the shareholder maintained in Israel, subject to certain conditions; (iv) the capital gains arising from such sale, exchange, or disposition are attributed to real estate located in Israel; or (v) the capital gains arising from such sale, exchange, or disposition are attributed to royalties. In each case, the sale, exchange, or disposition of Arcturus-Israel ordinary shares would be subject to Israeli tax, to the extent applicable. However, under the Treaty, such Treaty US Resident would be permitted to claim a credit for such taxes against the US federal income tax imposed with respect to such sale, exchange, or disposition, under the circumstances and subject to the limitations of the Treaty or the US laws applicable to foreign tax credits.</w:t>
      </w:r>
    </w:p>
    <w:p>
      <w:pPr>
        <w:spacing w:after="0" w:line="169"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 xml:space="preserve">The distribution by Arcturus Israel of the Private Arcturus shares, as is contemplated and described under the caption “STRUCTURE OF THE TRANSACTION” on page 2 of this proxy statement/prospectus, may be classified as (1) a dividend in kind to Arcturus-Delaware, or (2) a capital reduction. In either case, the distribution will trigger an Israeli taxable event for Arcturus Israel and also for its shareholder - Arcturus-Delaware. Under the Israeli Tax Ordinance, the capital gain (if any) by Arcturus Israel would be subject to a 23% tax rate. In addition, the distribution of Private Arcturus shares to Arcturus-Delaware will impose withholding tax obligations in Israel on Arcturus Israel. In the event that the distribution will be classified as a dividend, Arcturus-Delaware may be subject to dividend tax. In the event that the distribution will be classified as a capital reduction, and there was a capital gain, it may trigger a capital gain tax for Arcturus-Delaware. Classification of the distribution as a capital reduction for tax purposes is subject to certain conditions, </w:t>
      </w:r>
      <w:r>
        <w:rPr>
          <w:rFonts w:ascii="Arial" w:cs="Arial" w:eastAsia="Arial" w:hAnsi="Arial"/>
          <w:sz w:val="16"/>
          <w:szCs w:val="16"/>
          <w:i w:val="1"/>
          <w:iCs w:val="1"/>
          <w:color w:val="auto"/>
        </w:rPr>
        <w:t>inter alia</w:t>
      </w:r>
      <w:r>
        <w:rPr>
          <w:rFonts w:ascii="Arial" w:cs="Arial" w:eastAsia="Arial" w:hAnsi="Arial"/>
          <w:sz w:val="16"/>
          <w:szCs w:val="16"/>
          <w:color w:val="auto"/>
        </w:rPr>
        <w:t>, approvals of the Israeli court to the Transaction and the Israeli Tax Authority.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Tax Ruling</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connection with the Exchange Agreement and the Arcturus Redomiciliation Proposal, Arcturus-Israel has filed, on behalf of its shareholders, an application for a Tax Ruling with the Israel Tax Authority, applicable for non-controlling shareholders (as will be defined below) which are not otherwise exempt from Israeli tax on the Transaction, to treat the Transaction as a tax-deferred transaction for the purposes of Israeli tax laws, in accordance with Section 104H of the Israeli Tax Ordinance.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Tax Ruling application details the proposed restructure in several steps to be executed simultaneously, as follows:</w:t>
      </w:r>
    </w:p>
    <w:p>
      <w:pPr>
        <w:spacing w:after="0" w:line="131" w:lineRule="exact"/>
        <w:rPr>
          <w:sz w:val="20"/>
          <w:szCs w:val="20"/>
          <w:color w:val="auto"/>
        </w:rPr>
      </w:pPr>
    </w:p>
    <w:p>
      <w:pPr>
        <w:ind w:left="1060" w:hanging="424"/>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Arcturus-Delaware will be incorporated as a US-resident entity.</w:t>
      </w:r>
    </w:p>
    <w:p>
      <w:pPr>
        <w:spacing w:after="0" w:line="130"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Arcturus-Israel’s shareholders and option holders will transfer their holding in Arcturus-Israel to Arcturus-Delaware in exchange for stocks and stocks option issued in Arcturus-Delaware, which will eventually become a listed company.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660" w:hanging="538"/>
        <w:spacing w:after="0" w:line="277" w:lineRule="auto"/>
        <w:tabs>
          <w:tab w:leader="none" w:pos="16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non-Israeli resident shareholders and option holders will transfer their shares and share options in a tax exempt event in accordance with Section 97(b3) of the Israeli Tax Ordinance.</w:t>
      </w:r>
    </w:p>
    <w:p>
      <w:pPr>
        <w:spacing w:after="0" w:line="75" w:lineRule="exact"/>
        <w:rPr>
          <w:rFonts w:ascii="Arial" w:cs="Arial" w:eastAsia="Arial" w:hAnsi="Arial"/>
          <w:sz w:val="18"/>
          <w:szCs w:val="18"/>
          <w:color w:val="auto"/>
        </w:rPr>
      </w:pPr>
    </w:p>
    <w:p>
      <w:pPr>
        <w:ind w:left="1620" w:right="800" w:hanging="538"/>
        <w:spacing w:after="0" w:line="277" w:lineRule="auto"/>
        <w:tabs>
          <w:tab w:leader="none" w:pos="16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non-controlling Israeli resident shareholders will transfer their shares as a tax-deferred transaction in accordance with Section 104H of the Israeli Tax Ordinance.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Arcturus-Israel may choose to distribute Private Arcturus shares as a dividend in kind to Arcturus-Delaware, in a taxable event.</w:t>
      </w:r>
    </w:p>
    <w:p>
      <w:pPr>
        <w:spacing w:after="0" w:line="225"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Tax Ruling application requests to approve that the exchange of Arcturus-Israel ordinary shares by non-controlling Israeli resident shareholders for stocks issued in Arcturus-Delaware (as detailed in subsection 2(b) above) shall not be treated as a “sale” pursuant to Section E of the Israeli Tax Ordinance on the date of the share exchange, but rather will be considered a tax-deferred transaction until the actual sale of the stocks issued in Arcturus-Delaware, all in accordance with the provisions and terms to be determined within the Tax Ruling. (Additional exemptions were also requested in the Tax Ruling application regarding certain provision of Section 104H.)</w:t>
      </w:r>
    </w:p>
    <w:p>
      <w:pPr>
        <w:spacing w:after="0" w:line="173"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Nevertheless, the Tax Ruling application does not request the Israeli Tax Authority to rule either in regard to the tax exemption for non-Israeli resident shareholders and option holders under Section 97(b3) of the Israeli Tax Ordinance (as detailed in subsection 2(a) above), or in regard to the Private Arcturus shares’ distribution as a dividend in kind to Arcturus-Delaware (as detailed in subsection 3 above). Therefore, the Tax Ruling will not make a ruling on such matters. It should be noted that regardless of the Tax Ruling, the distribution of the Private Arcturus shares distribution as a dividend in kind to Arcturus-Delaware, or as a capital reduction, will be executed, if Arcturus determines to proceed with this step, as a taxable event and may have tax implications on Arcturus-Israel and Arcturus-Delaware as its shareholder as described above.</w:t>
      </w:r>
    </w:p>
    <w:p>
      <w:pPr>
        <w:spacing w:after="0" w:line="178"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Tax Ruling is not applicable for “Controlling Shareholders”. For such “Controlling shareholders” the provisions of the Israeli Tax Ordinance or any other provisions given by the Israeli Tax Authority under separate specific ruling (if any) shall apply. The term “Controlling Shareholders” is defined under the Israeli Tax Ordinance as a person who holds, or is entitled to purchase, directly or indirectly, alone or together with a relative, one of the following: (1) at least 5% of the issued share capital of the company; (2) at least 5% of the voting rights in the company; (3) the right to receive at least 5% of the company’s profits or assets upon liquidation; (4) The right to appoint a manager to the company.</w:t>
      </w:r>
    </w:p>
    <w:p>
      <w:pPr>
        <w:spacing w:after="0" w:line="173" w:lineRule="exact"/>
        <w:rPr>
          <w:sz w:val="20"/>
          <w:szCs w:val="20"/>
          <w:color w:val="auto"/>
        </w:rPr>
      </w:pPr>
    </w:p>
    <w:p>
      <w:pPr>
        <w:ind w:left="200" w:right="2900" w:firstLine="441"/>
        <w:spacing w:after="0" w:line="291" w:lineRule="auto"/>
        <w:rPr>
          <w:sz w:val="20"/>
          <w:szCs w:val="20"/>
          <w:color w:val="auto"/>
        </w:rPr>
      </w:pPr>
      <w:r>
        <w:rPr>
          <w:rFonts w:ascii="Arial" w:cs="Arial" w:eastAsia="Arial" w:hAnsi="Arial"/>
          <w:sz w:val="16"/>
          <w:szCs w:val="16"/>
          <w:color w:val="auto"/>
        </w:rPr>
        <w:t>In addition, the Tax Ruling is not applicable for Arcturus Israel option holders or any holders of debentures convertible into Arcturus Israel stocks and / or shares allocated to employees whose sale is subject to</w:t>
      </w:r>
    </w:p>
    <w:p>
      <w:pPr>
        <w:ind w:left="200" w:right="80"/>
        <w:spacing w:after="0" w:line="261" w:lineRule="auto"/>
        <w:rPr>
          <w:sz w:val="20"/>
          <w:szCs w:val="20"/>
          <w:color w:val="auto"/>
        </w:rPr>
      </w:pPr>
      <w:r>
        <w:rPr>
          <w:rFonts w:ascii="Arial" w:cs="Arial" w:eastAsia="Arial" w:hAnsi="Arial"/>
          <w:sz w:val="18"/>
          <w:szCs w:val="18"/>
          <w:color w:val="auto"/>
        </w:rPr>
        <w:t>the provisions of Section 102 of the Ordinance. For such option holders the provisions of the Israeli Tax Ordinance or any other provisions given by the Israeli Tax Authority under separate specific ruling (if any) shall apply</w:t>
      </w:r>
    </w:p>
    <w:p>
      <w:pPr>
        <w:spacing w:after="0" w:line="184"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NOTE THAT THERE IS NO ASSURANCE THAT SUCH TAX RULING WILL BE OBTAINED FROM THE ISRAEL TAX AUTHORITY PRIOR TO THE CONSUMMATION OF THE TRANSACTION, NOR THAT, IF IT IS OBTAINED, IT WILL PROVIDE THE FOREGOING. IF SUCH TAX RULING IS NOT OBTAINED PRIOR TO SUCH TIME, AND THE TRANSACTION IS STILL EFFECTED, THE TRANSACTION WILL BE SUBJECT TO TAX AS A SALE OF SHARES BY EACH OF ARCTURUS-ISRAEL’S SHAREHOLDERS AT THE RATE OF 25% OR IN ACCORDANCE WITH OTHER APPLICABLE RATES AS DETAILED ABOVE OR OTHER INSTRUCTIONS PROVIDED BY THE ISRAEL TAX AUTHORITY. IN ADDITION, ARCTURUS-DELAWARE MAY BE SUBJECT TO WITHHOLDING TAX OBLIGATIONS. IF SUCH TAX RULING PROVIDES OTHER INSTRUCTIONS THAN THOSE DESCRIBED ABOVE, ARCTURUS-DELAWARE WILL BE REQUIRED TO COMPLY WITH SUCH TAX RULING.</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ARCTURUS-DELAWARE CAPITAL STOCK</w:t>
      </w:r>
    </w:p>
    <w:p>
      <w:pPr>
        <w:spacing w:after="0" w:line="229"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The following description of Arcturus-Delaware’s capital stock is a summary. This summary is subject to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and the complete text of Arcturus-Delaware’s certificate of incorporation and bylaws to be in place at the closing of the Transaction which will be substantially in the forms attached as Annex C and Annex D, respectively, to this proxy statement/prospectus. We encourage you to read that law and those documents carefully.</w:t>
      </w:r>
    </w:p>
    <w:p>
      <w:pPr>
        <w:spacing w:after="0" w:line="18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There are differences between Arcturus-Israel’s constitution and Arcturus-Delaware’s certificate of incorporation and bylaws as they are expected to be in effect after the Transaction, especially relating to changes (i) that are required by Delaware law (i.e., certain provisions of the Arcturus-Israel constitution were not replicated in the Arcturus-Delaware certificate of incorporation or bylaws because the DGCL would not permit such replication, and certain provisions were included in the Arcturus-Delaware certificate of incorporation and bylaws although they were not in the Arcturus-Israel constitution because the DGCL requires such provisions to be included in the certificate of incorporation and bylaws of a Delaware corporation or to provide for related provisions customarily provided in respect of publicly-traded Delaware corporations), or (ii) that are necessary in order to preserve the current rights of shareholders and powers of the board of directors of Arcturus following the Transaction. See “Comparison of Rights of Israel Shareholders and Delaware Stockholders.”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Arcturus-Delaware certificate of incorporation will authorize thirty million (30,000,000) shares of common stock, $0.001 par value per share, and ten million (10,000,000) shares of preferred stock, $0.001 par value per share.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Each holder of Arcturus-Delaware common stock will be entitled to one vote for each share on all matters submitted to a vote of the stockholders, including the election of directors. Arcturus-Delaware stockholders will not have cumulative voting rights in the election of directors. Accordingly, in an uncontested election, holders of a majority of the voting shares will be able to elect all of the directors.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Subject to preferences that may be applicable to any then outstanding preferred stock, holders of Arcturus-Delaware common stock will be entitled to receive dividends, if any, as may be declared from time to time by our board of directors out of legally available funds. Dividends may be paid in cash, in property or in shares of common stock. Declaration and payment of any dividend will be subject to the discretion of the Arcturus-Delaware board of directors. The time and amount of dividends will be dependent upon our financial condition, operations, cash requirements and availability, debt repayment obligations, capital expenditure needs, restrictions in our debt instruments, industry trends, the provisions of Delaware law affecting the payment of distributions to stockholders and any other factors the Arcturus-Delaware board of directors may consider relevant.</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jc w:val="both"/>
        <w:ind w:left="200" w:right="140" w:firstLine="441"/>
        <w:spacing w:after="0" w:line="286" w:lineRule="auto"/>
        <w:rPr>
          <w:sz w:val="20"/>
          <w:szCs w:val="20"/>
          <w:color w:val="auto"/>
        </w:rPr>
      </w:pPr>
      <w:r>
        <w:rPr>
          <w:rFonts w:ascii="Arial" w:cs="Arial" w:eastAsia="Arial" w:hAnsi="Arial"/>
          <w:sz w:val="17"/>
          <w:szCs w:val="17"/>
          <w:color w:val="auto"/>
        </w:rPr>
        <w:t>In the event of Arcturus-Delaware’s liquidation, dissolution or winding up, holders of Arcturus-Delaware common stock will be entitled to share ratably in the net assets legally available for distribution to stockholders after the payment of all of Arcturus-Delaware’s debts and other liabilities and the satisfaction of any liquidation preference granted to the holders of any then outstanding shares of preferred stock.</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Holders of Arcturus-Delaware common stock will have no preemptive, conversion, subscription or other rights, and there are no redemption or sinking fund provisions applicable to our common stock. The rights, preferences and privileges of the holders of Arcturus-Delaware common stock are subject to and may be adversely affected by the rights of the holders of shares of any series of Arcturus-Delaware preferred stock that we may designate in the future.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All outstanding shares of common stock of Arcturus-Delaware are, and the shares of common stock to be issued upon the completion of this Transaction will be, fully paid and non-assessable.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Arcturus-Delaware certificate of incorporation will authorize the board of directors of Arcturus-Delaware to issue preferred stock in one or more series and to determine the preferences, limitations and relative rights of any shares of preferred stock that it shall choose to issue, without vote or action by the stockholders.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Stockholder Meetings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Arcturus-Delaware certificate of incorporation and bylaws will provide that annual stockholder meetings will be held at a date, place (if any) and time, as exclusively selected by the Arcturus-Delaware board of directors. To the extent permitted under applicable law, we may but are not obligated to conduct meetings by remote communications, including by webcast.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Provisions of the Arcturus-Delaware Certificate of Incorporation and Bylaws and Delaware Law</w:t>
      </w:r>
    </w:p>
    <w:p>
      <w:pPr>
        <w:spacing w:after="0" w:line="12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Some provisions of Delaware law and the Arcturus-Delaware certificate of incorporation and bylaws could make the following transactions difficult: acquisition of Arcturus-Delaware by means of a tender offer; acquisition of Arcturus-Delaware by means of a proxy contest or otherwise; or removal of incumbent officers and directors of Arcturus-Delaware. It is possible that these provisions could make it more difficult to accomplish or could deter transactions that stockholders may otherwise consider to be in their best interest or in the best interests of Arcturus-Delaware, including transactions that might result in a premium over the market price for Arcturus-Delaware shares. These provisions will replace and substitute applicable provisions of Israel law and we cannot predict whether they will make an acquisition more or less likely compared to those provisions.</w:t>
      </w:r>
    </w:p>
    <w:p>
      <w:pPr>
        <w:spacing w:after="0" w:line="16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Arcturus-Delaware to first negotiate with the company’s board of directors. We believe that the benefits of protection to Arcturus-Delaware’s potential ability to negotiate with the proponent of an unfriendly or unsolicited proposal to acquire or restructure Arcturus-Delaware outweigh the disadvantages of discouraging these proposals because negotiation of these proposals could result in an improvement of their terms.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Arcturus-Delaware will be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80"/>
          </w:cols>
          <w:pgMar w:left="24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6" w:lineRule="auto"/>
        <w:rPr>
          <w:sz w:val="20"/>
          <w:szCs w:val="20"/>
          <w:color w:val="auto"/>
        </w:rPr>
      </w:pPr>
      <w:r>
        <w:rPr>
          <w:rFonts w:ascii="Arial" w:cs="Arial" w:eastAsia="Arial" w:hAnsi="Arial"/>
          <w:sz w:val="17"/>
          <w:szCs w:val="17"/>
          <w:color w:val="auto"/>
        </w:rPr>
        <w:t>another prescribed exception applies. Generally, an “interested stockholder” is a person who, together with affiliates and associates, owns, or within three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The ability to authorize undesignated preferred stock will make it possible for the Arcturus-Delaware board of directors to issue preferred stock with voting or other rights or preferences that could impede the success of any attempt to change control of Arcturus-Delaware. These and other provisions may have the effect of deterring hostile takeovers or delaying changes in control or management of our company.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Arcturus-Delaware certificate of incorporation provides that a may be called by the Board of Directors acting pursuant to a resolution approved by the affirmative vote of a majority of the directors then in officer, the Chief Executive Officer (or if there is no Chief Executive Officer, the President) or the Chairman of the Board of Directors.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bylaws of Arcturus-Delaware will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Arcturus-Delaware certificate of incorporation and bylaws will not provide for the right of stockholders to act by written consent without a meeting.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Composition of the Board of Directors; Election and Removal of Directors; Filling Vacancies</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Arcturus-Delaware board of directors will consist of not less than one nor more than 9 directors. Directors will be elected by the affirmative vote of a majority of the votes cast with respect to such director by the shares represented and entitled to vote at a meeting of the stockholders for the election of directors at which a quorum is present, voting together as a single class. The Nominating and Corporate Governance Committee of the board of directors (or any future committee the equivalent thereof) will make a recommendation to the board of directors on whether to accept or reject the resignation, or whether other action should be taken. The board of directors will act on the recommendation of such committee and will publicly disclose its decision within 90 days from the date of the certification of the election results. The directors of Arcturus-Delaware are elected until the expiration of the term for which they are elected and until their respective successors are duly elected and qualified.</w:t>
      </w:r>
    </w:p>
    <w:p>
      <w:pPr>
        <w:spacing w:after="0" w:line="16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directors of Arcturus-Delaware may be removed only by the affirmative vote of at least a majority of the holders of our then-outstanding common stock. Furthermore, any vacancy on the Arcturus-Delaware board of directors, however occurring, including a vacancy resulting from an increase in the size of the board, may be filled only by a majority vote of the board of directors then in office, even if less than a quorum, or by the sole remaining director. This system of electing and removing directors and filling vacancies may tend to discourage a third party from making a tender offer or otherwise attempting to obtain control of Arcturus-Delaware, because it generally makes it more difficult for stockholders to replace a majority of the directors.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Arcturus-Delaware bylaws will provide that, unless we consent in writing to the selection of an alternative forum, the Court of Chancery of the State of Delaware will be the exclusive forum for: any derivative action or proceeding brought on our behalf; any action asserting a breach of fiduciary duty; any action asserting a claim against us arising pursuant to the DGCL, the Arcturus-Delaware certificate of incorporation or bylaws; or any action asserting a claim against Arcturus-Delaware that is governed by the internal affairs doctrine. Although the Arcturus-Delaware certificate of incorporation will contain the choice of forum provision described above, it is possible that a court could find that such a provision is inapplicable for a particular claim or action or that such provision is unenforceable.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Amendment of the Certificate of Incorporation and Bylaws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amendment of any of the provisions in the certificate of incorporation would require approval by a stockholder vote by the holders of at least a majority of the voting power of the then outstanding voting stock, except for Articles VI (relating to Amendments to the certificate of incorporation (specifically the Section relating to this provision for an amendment and not the entire Certificate of Incorporation generally) and amendments to the bylaws) and Article VII relating Stockholder Actions for which holders of at least 66 2/3% of the voting power of the outstanding stock is required. The bylaws of Arcturus-Delaware may be amended by the board of directors or by the holders of at least 66 2/3% of the voting power of the then outstanding voting stock.</w:t>
      </w:r>
    </w:p>
    <w:p>
      <w:pPr>
        <w:spacing w:after="0" w:line="193"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The provisions of the DGCL, the Arcturus-Delaware certificate of incorporation and bylaws could have the effect of discouraging others from attempting hostile takeovers and, as a consequence, they may also inhibit temporary fluctuations in the market price of Arcturus-Delaware common stock that often result from actual or rumored hostile takeover attempts. These provisions may also have the effect of preventing changes in the management of Arcturus-Delaware. It is possible that these provisions could make it more difficult to accomplish transactions that stockholders may otherwise deem to be in their best interests.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21"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The Arcturus-Delaware certificate of incorporation will contain provisions that limit the liability of the directors and officers of Arcturus-Delaware for monetary damages to the fullest extent permitted by Delaware law. Consequently, Arcturus-Delaware directors and officers will not be personally liable to the company or its stockholders for monetary damages for any breach of fiduciary duties as directors, except liability for:</w:t>
      </w:r>
    </w:p>
    <w:p>
      <w:pPr>
        <w:spacing w:after="0" w:line="52" w:lineRule="exact"/>
        <w:rPr>
          <w:sz w:val="20"/>
          <w:szCs w:val="20"/>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breach of the director’s or officer’s duty of loyalty to the company or its stockholders;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transaction from which the director or officer derived an improper personal benefit.</w:t>
      </w:r>
    </w:p>
    <w:p>
      <w:pPr>
        <w:spacing w:after="0" w:line="225"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Each of the Arcturus-Delaware certificate of incorporation and bylaws will provide that we are required to indemnify the directors and officers of Arcturus-Delaware, in each case to the fullest extent permitted by Delaware law. The Arcturus-Delaware bylaws will permit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into agreements with the Arcturus-Israel directors, officers and other employees and expect to enter into agreements to indemnify the Arcturus-Delaware directors, executive officers and other employees as determined by the Arcturus-Delaware board of directors. With specified exceptions, these agreements provide for</w:t>
      </w:r>
    </w:p>
    <w:p>
      <w:pPr>
        <w:spacing w:after="0" w:line="1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60"/>
          </w:cols>
          <w:pgMar w:left="240" w:top="459"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indemnification for related expenses including, among other things, attorneys’ fees, judgments, fines and settlement amounts incurred by any of these individuals in any action or proceeding to the fullest extent permitted by applicable law. We believe that these bylaw provisions and indemnification agreements are necessary to attract and retain qualified persons as directors and officers. Arcturus-Delaware also maintains directors’ and officers’ liability insurance.</w:t>
      </w:r>
    </w:p>
    <w:p>
      <w:pPr>
        <w:spacing w:after="0" w:line="18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limitation of liability and indemnification provisions in the Arcturus-Delaware certificate of incorporation and bylaws may discourage stockholders from bringing a lawsuit against Arcturus-Delaware directors and officers for breach of their fiduciary duty. They may also reduce the likelihood of derivative litigation against Arcturus-Delaware directors and officers, even though an action, if successful, might benefit the company and its stockholders. Furthermore, a stockholder’s investment may be adversely affected to the extent that we pay the costs of settlement and damage.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We will submit a notification form with NASDAQ and expect that, upon the consummation of the Transaction, the Arcturus-Delaware shares of common stock will be listed on NASDAQ under the symbol “ARCT,” the same symbol under which your Arcturus-Israel ordinary shares are currently listed.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Arcturus-Delaware shares of common stock have no sinking fund provisions.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transfer agent and registrar for our common stock will be Continental Stock Transfer and Trust 1 State Street, 30th Floor, New York, NY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10004-1561.</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240" w:top="459" w:right="5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COMPARISON OF RIGHTS OF ISRAEL SHAREHOLDERS AND DELAWARE STOCKHOLDERS</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Your rights as an ordinary shareholder of Arcturus-Israel and the powers of Arcturus-Israel’s board of directors are governed by Israel law and Arcturus-Israel’s constitution. As a result of the Transaction, you will become a stockholder of Arcturus-Delaware, and your rights and the powers of Arcturus-Delaware’s board of directors will be governed by Delaware law and Arcturus-Delaware’s certificate of incorporation and bylaws as they will be in effect upon the completion of the Transaction.</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Many of the principal attributes of Arcturus-Israel’s ordinary shares and Arcturus-Delaware’s shares of common stock will be similar. However, there are differences between what your rights are under Israel law and what they will be after the Transaction under Delaware law. In addition, there are differences between Arcturus-Israel’s articles of association and Arcturus-Delaware’s certificate of incorporation and bylaws as they will be in effect after the Transaction, especially as it relates to changes (i) that are required by Israel law (i.e., certain provisions of the Arcturus-Israel’s articles of association were not replicated in the Arcturus-Delaware certificate of incorporation and bylaws because Delaware law would not permit such replication, and certain provisions were included in the Arcturus-Delaware certificate of incorporation and bylaws although they were not in the Arcturus-Israel articles of association because Delaware law requires such provisions to be included in the certificate of incorporation and bylaws of a Delaware corporation or to provide for provisions customarily provided in respect of publicly-traded Delaware corporations), or (ii) that are necessary in order to preserve the current rights of shareholders and powers of the board of directors of Arcturus-Israel following the Transaction.</w:t>
      </w:r>
    </w:p>
    <w:p>
      <w:pPr>
        <w:spacing w:after="0" w:line="16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following discussion is a summary of material changes in your rights resulting from the Transaction. This summary does not cover all of the differences between Israel law and Delaware law affecting companies and their shareholders or all the differences between Arcturus-Israel’s constitution and Arcturus-Delaware’s certificate of incorporation and bylaws. This summary is subject to the complete text of the relevant provisions of the Israeli Companies Law (the “</w:t>
      </w:r>
      <w:r>
        <w:rPr>
          <w:rFonts w:ascii="Arial" w:cs="Arial" w:eastAsia="Arial" w:hAnsi="Arial"/>
          <w:sz w:val="17"/>
          <w:szCs w:val="17"/>
          <w:b w:val="1"/>
          <w:bCs w:val="1"/>
          <w:color w:val="auto"/>
        </w:rPr>
        <w:t>ICL</w:t>
      </w:r>
      <w:r>
        <w:rPr>
          <w:rFonts w:ascii="Arial" w:cs="Arial" w:eastAsia="Arial" w:hAnsi="Arial"/>
          <w:sz w:val="17"/>
          <w:szCs w:val="17"/>
          <w:color w:val="auto"/>
        </w:rPr>
        <w:t>”), the DGCL, Arcturus-Israel’s constitution and Arcturus-Delaware’s certificate of incorporation and bylaws as they will be in effect after the Transaction. We encourage you to read those laws and documents carefully.</w:t>
      </w:r>
    </w:p>
    <w:p>
      <w:pPr>
        <w:spacing w:after="0" w:line="173"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form of Arcturus-Delaware’s certificate of incorporation and bylaws substantially as they will be in effect after the Transaction are attached as Annex C and Annex D, respectively, to this proxy statement/prospectus. For information as to how you can obtain Arcturus-Israel’s constitution, please see “Where You Can Find More Information.” Except where otherwise indicated, the discussion of Arcturus-Delaware below reflects Arcturus-Delaware’s certificate of incorporation and bylaws as those documents will be in effect upon completion of the Transaction.</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Summary of Material Differences Between the Rights of Arcturus-Delaware Stockholders and Arcturus-Israel Shareholders</w:t>
      </w:r>
    </w:p>
    <w:p>
      <w:pPr>
        <w:sectPr>
          <w:pgSz w:w="11900" w:h="16838" w:orient="portrait"/>
          <w:cols w:equalWidth="0" w:num="1">
            <w:col w:w="11200"/>
          </w:cols>
          <w:pgMar w:left="240" w:top="459" w:right="459" w:bottom="1440" w:gutter="0" w:footer="0" w:header="0"/>
        </w:sectPr>
      </w:pP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3020" w:type="dxa"/>
            <w:vAlign w:val="bottom"/>
            <w:vMerge w:val="restart"/>
          </w:tcPr>
          <w:p>
            <w:pPr>
              <w:spacing w:after="0"/>
              <w:rPr>
                <w:sz w:val="20"/>
                <w:szCs w:val="20"/>
                <w:color w:val="auto"/>
              </w:rPr>
            </w:pPr>
            <w:r>
              <w:rPr>
                <w:rFonts w:ascii="Arial" w:cs="Arial" w:eastAsia="Arial" w:hAnsi="Arial"/>
                <w:sz w:val="18"/>
                <w:szCs w:val="18"/>
                <w:b w:val="1"/>
                <w:bCs w:val="1"/>
                <w:color w:val="auto"/>
              </w:rPr>
              <w:t>Authorized Capital Stock</w:t>
            </w:r>
          </w:p>
        </w:tc>
        <w:tc>
          <w:tcPr>
            <w:tcW w:w="1080" w:type="dxa"/>
            <w:vAlign w:val="bottom"/>
          </w:tcPr>
          <w:p>
            <w:pPr>
              <w:spacing w:after="0"/>
              <w:rPr>
                <w:sz w:val="16"/>
                <w:szCs w:val="16"/>
                <w:color w:val="auto"/>
              </w:rPr>
            </w:pPr>
          </w:p>
        </w:tc>
        <w:tc>
          <w:tcPr>
            <w:tcW w:w="34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Arcturus-Delaware Stockholder Rights</w:t>
            </w:r>
          </w:p>
        </w:tc>
        <w:tc>
          <w:tcPr>
            <w:tcW w:w="0" w:type="dxa"/>
            <w:vAlign w:val="bottom"/>
          </w:tcPr>
          <w:p>
            <w:pPr>
              <w:spacing w:after="0"/>
              <w:rPr>
                <w:sz w:val="1"/>
                <w:szCs w:val="1"/>
                <w:color w:val="auto"/>
              </w:rPr>
            </w:pPr>
          </w:p>
        </w:tc>
      </w:tr>
      <w:tr>
        <w:trPr>
          <w:trHeight w:val="195"/>
        </w:trPr>
        <w:tc>
          <w:tcPr>
            <w:tcW w:w="302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Under the Arcturus-Delaware Certificate of</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4500" w:type="dxa"/>
            <w:vAlign w:val="bottom"/>
            <w:gridSpan w:val="2"/>
          </w:tcPr>
          <w:p>
            <w:pPr>
              <w:ind w:left="1080"/>
              <w:spacing w:after="0"/>
              <w:rPr>
                <w:sz w:val="20"/>
                <w:szCs w:val="20"/>
                <w:color w:val="auto"/>
              </w:rPr>
            </w:pPr>
            <w:r>
              <w:rPr>
                <w:rFonts w:ascii="Arial" w:cs="Arial" w:eastAsia="Arial" w:hAnsi="Arial"/>
                <w:sz w:val="18"/>
                <w:szCs w:val="18"/>
                <w:color w:val="auto"/>
              </w:rPr>
              <w:t>Incorporation, Arcturus-Delaware will be</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4500" w:type="dxa"/>
            <w:vAlign w:val="bottom"/>
            <w:gridSpan w:val="2"/>
          </w:tcPr>
          <w:p>
            <w:pPr>
              <w:ind w:left="1080"/>
              <w:spacing w:after="0"/>
              <w:rPr>
                <w:sz w:val="20"/>
                <w:szCs w:val="20"/>
                <w:color w:val="auto"/>
              </w:rPr>
            </w:pPr>
            <w:r>
              <w:rPr>
                <w:rFonts w:ascii="Arial" w:cs="Arial" w:eastAsia="Arial" w:hAnsi="Arial"/>
                <w:sz w:val="18"/>
                <w:szCs w:val="18"/>
                <w:color w:val="auto"/>
                <w:w w:val="95"/>
              </w:rPr>
              <w:t>authorized to issue up to 40,000,000 shares,</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4500" w:type="dxa"/>
            <w:vAlign w:val="bottom"/>
            <w:gridSpan w:val="2"/>
          </w:tcPr>
          <w:p>
            <w:pPr>
              <w:ind w:left="1080"/>
              <w:spacing w:after="0"/>
              <w:rPr>
                <w:sz w:val="20"/>
                <w:szCs w:val="20"/>
                <w:color w:val="auto"/>
              </w:rPr>
            </w:pPr>
            <w:r>
              <w:rPr>
                <w:rFonts w:ascii="Arial" w:cs="Arial" w:eastAsia="Arial" w:hAnsi="Arial"/>
                <w:sz w:val="18"/>
                <w:szCs w:val="18"/>
                <w:color w:val="auto"/>
              </w:rPr>
              <w:t>consisting of the following: (i) 30,000,000</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4500" w:type="dxa"/>
            <w:vAlign w:val="bottom"/>
            <w:gridSpan w:val="2"/>
          </w:tcPr>
          <w:p>
            <w:pPr>
              <w:ind w:left="1080"/>
              <w:spacing w:after="0"/>
              <w:rPr>
                <w:sz w:val="20"/>
                <w:szCs w:val="20"/>
                <w:color w:val="auto"/>
              </w:rPr>
            </w:pPr>
            <w:r>
              <w:rPr>
                <w:rFonts w:ascii="Arial" w:cs="Arial" w:eastAsia="Arial" w:hAnsi="Arial"/>
                <w:sz w:val="18"/>
                <w:szCs w:val="18"/>
                <w:color w:val="auto"/>
                <w:w w:val="91"/>
              </w:rPr>
              <w:t>shares of common stock, par value $0.001 per</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4500" w:type="dxa"/>
            <w:vAlign w:val="bottom"/>
            <w:gridSpan w:val="2"/>
          </w:tcPr>
          <w:p>
            <w:pPr>
              <w:ind w:left="1080"/>
              <w:spacing w:after="0"/>
              <w:rPr>
                <w:sz w:val="20"/>
                <w:szCs w:val="20"/>
                <w:color w:val="auto"/>
              </w:rPr>
            </w:pPr>
            <w:r>
              <w:rPr>
                <w:rFonts w:ascii="Arial" w:cs="Arial" w:eastAsia="Arial" w:hAnsi="Arial"/>
                <w:sz w:val="18"/>
                <w:szCs w:val="18"/>
                <w:color w:val="auto"/>
              </w:rPr>
              <w:t>share; and (ii) 10,000,000 shares of</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4500" w:type="dxa"/>
            <w:vAlign w:val="bottom"/>
            <w:gridSpan w:val="2"/>
          </w:tcPr>
          <w:p>
            <w:pPr>
              <w:ind w:left="1080"/>
              <w:spacing w:after="0"/>
              <w:rPr>
                <w:sz w:val="20"/>
                <w:szCs w:val="20"/>
                <w:color w:val="auto"/>
              </w:rPr>
            </w:pPr>
            <w:r>
              <w:rPr>
                <w:rFonts w:ascii="Arial" w:cs="Arial" w:eastAsia="Arial" w:hAnsi="Arial"/>
                <w:sz w:val="18"/>
                <w:szCs w:val="18"/>
                <w:color w:val="auto"/>
                <w:w w:val="90"/>
              </w:rPr>
              <w:t>undesignated preferred stock, par value $0.001</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4500" w:type="dxa"/>
            <w:vAlign w:val="bottom"/>
            <w:gridSpan w:val="2"/>
          </w:tcPr>
          <w:p>
            <w:pPr>
              <w:ind w:left="1080"/>
              <w:spacing w:after="0"/>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932"/>
        </w:trPr>
        <w:tc>
          <w:tcPr>
            <w:tcW w:w="3020" w:type="dxa"/>
            <w:vAlign w:val="bottom"/>
          </w:tcPr>
          <w:p>
            <w:pPr>
              <w:spacing w:after="0"/>
              <w:rPr>
                <w:sz w:val="24"/>
                <w:szCs w:val="24"/>
                <w:color w:val="auto"/>
              </w:rPr>
            </w:pPr>
          </w:p>
        </w:tc>
        <w:tc>
          <w:tcPr>
            <w:tcW w:w="4500" w:type="dxa"/>
            <w:vAlign w:val="bottom"/>
            <w:gridSpan w:val="2"/>
          </w:tcPr>
          <w:p>
            <w:pPr>
              <w:ind w:left="24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authorized share capital of Arcturus-Israel is NIS 2,100,000, divided into 30,000,000 ordinary shares, par value $0.07 per shares.</w:t>
      </w:r>
    </w:p>
    <w:p>
      <w:pPr>
        <w:spacing w:after="0" w:line="9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According to Arcturus-Israel’s Articles it may, from time to time, via a shareholders’ resolution approved by a majority of the participating votes cast by holders of shares present or represented by proxy: (i) increase its authorized share capital by creating new</w:t>
      </w:r>
    </w:p>
    <w:p>
      <w:pPr>
        <w:sectPr>
          <w:pgSz w:w="11900" w:h="16838" w:orient="portrait"/>
          <w:cols w:equalWidth="0" w:num="2">
            <w:col w:w="7720" w:space="200"/>
            <w:col w:w="3280"/>
          </w:cols>
          <w:pgMar w:left="240" w:top="459" w:right="45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Arcturus-Delaware’s board of directors is</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authorized to issue preferred stock in one or</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more series and to fix the voting powers,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designations, preferences and relative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participating, optional or other rights, and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qualifications, limitations or restrictions of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each series, and to establish the number of</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shares of any such series.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Voting Rights</w:t>
      </w:r>
      <w:r>
        <w:rPr>
          <w:sz w:val="20"/>
          <w:szCs w:val="20"/>
          <w:color w:val="auto"/>
        </w:rPr>
        <w:tab/>
      </w:r>
      <w:r>
        <w:rPr>
          <w:rFonts w:ascii="Arial" w:cs="Arial" w:eastAsia="Arial" w:hAnsi="Arial"/>
          <w:sz w:val="16"/>
          <w:szCs w:val="16"/>
          <w:color w:val="auto"/>
        </w:rPr>
        <w:t>Each share of common stock outstanding shall</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be entitled to one vote on all matters on which</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shareholders generally are entitled to vote.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Holders of preferred stock, if any, shall be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entitled only to such voting rights as are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expressly granted in the Arcturus-Delaware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Certificate of Incorporation, as in effect from</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time to time, or in the certificate of designation</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of the preferred stock approved by the board of</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directors, if and when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Number of Directors</w:t>
      </w:r>
      <w:r>
        <w:rPr>
          <w:sz w:val="20"/>
          <w:szCs w:val="20"/>
          <w:color w:val="auto"/>
        </w:rPr>
        <w:tab/>
      </w:r>
      <w:r>
        <w:rPr>
          <w:rFonts w:ascii="Arial" w:cs="Arial" w:eastAsia="Arial" w:hAnsi="Arial"/>
          <w:sz w:val="16"/>
          <w:szCs w:val="16"/>
          <w:color w:val="auto"/>
        </w:rPr>
        <w:t>Under the Arcturus-Delaware Certificate of</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Incorporation, the number of directors shall be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at least one and no more than nine, as fixed by</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the board of directors from time to time.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current</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shares of an existing or new class, as shall be determined in the resolution of the general meeting; (ii) cancel registered share capital that has not yet been allocated, on condition that there are no undertakings of the company, including conditional undertakings, to allocate the shares; and (iii) subject to applicable law, reduce its share capital by cancelling such shares and registering the par value paid for such shares as paid premiums remaining in the issued share capital.</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According to the Arcturus-Israel’s Articles, Every shareholder has one vote for each ordinary share held of record, on every shareholder resolution (subject to any provisions under the Arcturus-Israel Articles or the Israeli Companies Law conferring special rights as to voting).</w:t>
      </w:r>
    </w:p>
    <w:p>
      <w:pPr>
        <w:spacing w:after="0" w:line="8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Any shareholder entitled to vote may vote either in person or by proxy, or if the shareholder is a company or other corporate body, by representative duly authorized by it.</w:t>
      </w:r>
    </w:p>
    <w:p>
      <w:pPr>
        <w:spacing w:after="0" w:line="6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Except as required by the Israeli Companies Law or the Arcturus-Israel Articles, a resolution of the shareholders is adopted if approved by the holders of a simple majority of the voting power represented at a shareholder meeting in person or by proxy and voting thereon, as one class, and disregarding abstentions from the count of the voting power present and voting.</w:t>
      </w:r>
    </w:p>
    <w:p>
      <w:pPr>
        <w:spacing w:after="0" w:line="7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Arcturus-Israel Articles, the number of directors shall be between five and eleven (including at least two statutory external directors, the number of which shall not be less than that</w:t>
      </w:r>
    </w:p>
    <w:p>
      <w:pPr>
        <w:sectPr>
          <w:pgSz w:w="11900" w:h="16838" w:orient="portrait"/>
          <w:cols w:equalWidth="0" w:num="2">
            <w:col w:w="7700" w:space="220"/>
            <w:col w:w="330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Arcturus-Delaware board of directors consists</w:t>
      </w:r>
    </w:p>
    <w:p>
      <w:pPr>
        <w:spacing w:after="0" w:line="44"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 one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Director Independence</w:t>
      </w:r>
      <w:r>
        <w:rPr>
          <w:sz w:val="20"/>
          <w:szCs w:val="20"/>
          <w:color w:val="auto"/>
        </w:rPr>
        <w:tab/>
      </w:r>
      <w:r>
        <w:rPr>
          <w:rFonts w:ascii="Arial" w:cs="Arial" w:eastAsia="Arial" w:hAnsi="Arial"/>
          <w:sz w:val="16"/>
          <w:szCs w:val="16"/>
          <w:color w:val="auto"/>
        </w:rPr>
        <w:t>The DGCL does not impose any specific</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requirement regarding the independence of</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Election of Directors; Term</w:t>
      </w:r>
      <w:r>
        <w:rPr>
          <w:sz w:val="20"/>
          <w:szCs w:val="20"/>
          <w:color w:val="auto"/>
        </w:rPr>
        <w:tab/>
      </w:r>
      <w:r>
        <w:rPr>
          <w:rFonts w:ascii="Arial" w:cs="Arial" w:eastAsia="Arial" w:hAnsi="Arial"/>
          <w:sz w:val="16"/>
          <w:szCs w:val="16"/>
          <w:color w:val="auto"/>
        </w:rPr>
        <w:t>Directors are elected, until the next annual</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general meeting of shareholders or earlier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resignation or removal, at an annual meeting of</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stockholders at which a quorum is present by a</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plurality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required by the Companies Law). The current Arcturus-Israel board of directors consists of five directors, without external directors, following Arcturus-Israel adoption of a relief prescribed under regulation 5(b) of the Companies Regulations (Relief for Companies with Securities Listed on a Stock Exchange Outside Israel), 5760-2000 (the “</w:t>
      </w:r>
      <w:r>
        <w:rPr>
          <w:rFonts w:ascii="Arial" w:cs="Arial" w:eastAsia="Arial" w:hAnsi="Arial"/>
          <w:sz w:val="17"/>
          <w:szCs w:val="17"/>
          <w:b w:val="1"/>
          <w:bCs w:val="1"/>
          <w:color w:val="auto"/>
        </w:rPr>
        <w:t>Relief Regulations</w:t>
      </w:r>
      <w:r>
        <w:rPr>
          <w:rFonts w:ascii="Arial" w:cs="Arial" w:eastAsia="Arial" w:hAnsi="Arial"/>
          <w:sz w:val="17"/>
          <w:szCs w:val="17"/>
          <w:color w:val="auto"/>
        </w:rPr>
        <w:t>”).</w:t>
      </w:r>
    </w:p>
    <w:p>
      <w:pPr>
        <w:spacing w:after="0" w:line="7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Under the Israeli Companies Law, a public company must have at least two statutory external directors. In order to qualify as an external director, the individual must meet certain independence criteria, including not having “affiliation” (defined to include, among other things, employment relationship) with (i) the controlling shareholder of the company or (ii) in a company without a controlling shareholder (or a shareholder that owns more than 25% of its voting power), with any person who, at the time of appointment, is the chairman, the chief executive officer, the chief financial officer or a 5% shareholder of the company. As aforesaid, as of today, the Company has no external directors.</w:t>
      </w:r>
    </w:p>
    <w:p>
      <w:pPr>
        <w:spacing w:after="0" w:line="85"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Under the Arcturus-Israel articles, directors (Except for external directors) are elected, until the next annual general meeting of shareholders or earlier resignation or removal, at an annual or extraordinary general meeting of shareholders by a majority of the participating votes cast by holders of shares present or represented by proxy.</w:t>
      </w:r>
    </w:p>
    <w:p>
      <w:pPr>
        <w:sectPr>
          <w:pgSz w:w="11900" w:h="16838" w:orient="portrait"/>
          <w:cols w:equalWidth="0" w:num="2">
            <w:col w:w="7700" w:space="220"/>
            <w:col w:w="330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Removal of Directors</w:t>
      </w:r>
      <w:r>
        <w:rPr>
          <w:sz w:val="20"/>
          <w:szCs w:val="20"/>
          <w:color w:val="auto"/>
        </w:rPr>
        <w:tab/>
      </w:r>
      <w:r>
        <w:rPr>
          <w:rFonts w:ascii="Arial" w:cs="Arial" w:eastAsia="Arial" w:hAnsi="Arial"/>
          <w:sz w:val="16"/>
          <w:szCs w:val="16"/>
          <w:color w:val="auto"/>
        </w:rPr>
        <w:t>The Arcturus-Delaware Bylaws provide that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any director may be removed, with or without</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cause, by the holders of a majority of shares</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then entitled to vote on the election of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Vacancies on the Board</w:t>
      </w:r>
      <w:r>
        <w:rPr>
          <w:sz w:val="20"/>
          <w:szCs w:val="20"/>
          <w:color w:val="auto"/>
        </w:rPr>
        <w:tab/>
      </w:r>
      <w:r>
        <w:rPr>
          <w:rFonts w:ascii="Arial" w:cs="Arial" w:eastAsia="Arial" w:hAnsi="Arial"/>
          <w:sz w:val="16"/>
          <w:szCs w:val="16"/>
          <w:color w:val="auto"/>
        </w:rPr>
        <w:t>The Arcturus-Delaware Bylaws provide that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vacancies on the board of directors may be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filled by the affirmative vote of a majority of</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the remaining directors, though less than a</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quorum, by a sole remaining director or by the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stockholders. Directors so chosen shall hold</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office for a term expiring at the annual meeting</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 stockholders at which the term of</w:t>
      </w:r>
    </w:p>
    <w:p>
      <w:pPr>
        <w:spacing w:after="0" w:line="35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According to the Companies Law, the external directors are elected by a qualified majority at a general meeting of shareholders. The votes cast in favor of the election of the external directors must include at least a majority of the votes cast by non-controlling shareholders (not including abstentions), or, in the alternative, the votes cast against the election of the external directors by non-controlling shareholders may not exceed 2% of the company’s total voting power. Pursuant to the Israeli Companies Law, the external directors serve for a term of three years each, which may be extended for two additional terms of three years each under certain circumstances. The Relief Regulations enable longer periods of term, subject to certain circumstances and approvals.</w:t>
      </w:r>
    </w:p>
    <w:p>
      <w:pPr>
        <w:spacing w:after="0" w:line="294"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According to Arcturus-Israel’s Articles, Directors, other than the external directors, may be removed from office only upon:</w:t>
      </w:r>
    </w:p>
    <w:p>
      <w:pPr>
        <w:ind w:right="60" w:firstLine="9"/>
        <w:spacing w:after="0" w:line="268" w:lineRule="auto"/>
        <w:tabs>
          <w:tab w:leader="none" w:pos="245"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resignation of the Director; (b) the occurrence of one of certain events set forth in the Israeli Companies Law; or (c) the vote of the annual or extraordinary general meeting of shareholders. External directors may only be removed in accordance with the relevant provisions of the Israeli Companies Law.</w:t>
      </w:r>
    </w:p>
    <w:p>
      <w:pPr>
        <w:spacing w:after="0" w:line="7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According to the Arcturus-Israel’s articles of association, the Board of Directors may appoint a director instead of a director (who is not an external director) whose office has been vacated or to appoint new additions to the Board up to the maximum number of directors as aforesaid. The appointment of a director by the board of directors shall be valid</w:t>
      </w:r>
    </w:p>
    <w:p>
      <w:pPr>
        <w:sectPr>
          <w:pgSz w:w="11900" w:h="16838" w:orient="portrait"/>
          <w:cols w:equalWidth="0" w:num="2">
            <w:col w:w="7700" w:space="220"/>
            <w:col w:w="330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office of the class to which they have been</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elected expires and until the director’s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successor shall have been duly elected and</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Board Quorum and Vote Requirements</w:t>
      </w:r>
      <w:r>
        <w:rPr>
          <w:sz w:val="20"/>
          <w:szCs w:val="20"/>
          <w:color w:val="auto"/>
        </w:rPr>
        <w:tab/>
      </w:r>
      <w:r>
        <w:rPr>
          <w:rFonts w:ascii="Arial" w:cs="Arial" w:eastAsia="Arial" w:hAnsi="Arial"/>
          <w:sz w:val="16"/>
          <w:szCs w:val="16"/>
          <w:color w:val="auto"/>
        </w:rPr>
        <w:t>The Arcturus-Delaware Bylaws provide that at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any meeting of Arcturus-Delaware’s board of</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directors, the presence of a majority of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number of directors constitutes a quorum for</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transaction of business.</w:t>
      </w:r>
    </w:p>
    <w:p>
      <w:pPr>
        <w:spacing w:after="0" w:line="116"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Except as otherwise required by Delaware law</w:t>
      </w:r>
    </w:p>
    <w:p>
      <w:pPr>
        <w:spacing w:after="0" w:line="46"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or the Arcturus-Delaware Bylaws, the vote of a</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majority of the directors present at any meeting</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at which there is a quorum shall be the act of</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board of directors.</w:t>
      </w:r>
    </w:p>
    <w:p>
      <w:pPr>
        <w:spacing w:after="0" w:line="116"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If Arcturus-Delaware board of directors shall</w:t>
      </w:r>
    </w:p>
    <w:p>
      <w:pPr>
        <w:spacing w:after="0" w:line="35"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have an even number of directors in office, all</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 whom attend at the meeting, who are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equally divided, the Chairman of the Board</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shall have the deciding vote.</w:t>
      </w:r>
    </w:p>
    <w:p>
      <w:pPr>
        <w:spacing w:after="0" w:line="200" w:lineRule="exact"/>
        <w:rPr>
          <w:sz w:val="20"/>
          <w:szCs w:val="20"/>
          <w:color w:val="auto"/>
        </w:rPr>
      </w:pPr>
    </w:p>
    <w:p>
      <w:pPr>
        <w:spacing w:after="0" w:line="344"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Committees of the Board of Directors</w:t>
      </w:r>
      <w:r>
        <w:rPr>
          <w:sz w:val="20"/>
          <w:szCs w:val="20"/>
          <w:color w:val="auto"/>
        </w:rPr>
        <w:tab/>
      </w:r>
      <w:r>
        <w:rPr>
          <w:rFonts w:ascii="Arial" w:cs="Arial" w:eastAsia="Arial" w:hAnsi="Arial"/>
          <w:sz w:val="16"/>
          <w:szCs w:val="16"/>
          <w:color w:val="auto"/>
        </w:rPr>
        <w:t>The Arcturus-Delaware Bylaws provide that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Arcturus-Delaware’s board of directors may</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designate standing and special committees of</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the board and shall, for those committees and</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any others, elect a director or directors to serve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as the member or members, designating, if it</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desires, other directors as</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until the next annual meeting or until the director ceases to hold office According to the provisions of the Arcturus-Israel’s Articles or any law, whichever is earlier.</w:t>
      </w:r>
    </w:p>
    <w:p>
      <w:pPr>
        <w:spacing w:after="0" w:line="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any vacancies less than the minimum number of directors occur on the board of directors, the remaining directors then in office may generally continue to act only for filling the required position of director and in order to call a general meeting of shareholders for the election of a new board of directors, and until such general meeting, only in order to act in regards to any unpostponable matters.</w:t>
      </w:r>
    </w:p>
    <w:p>
      <w:pPr>
        <w:spacing w:after="0" w:line="8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quorum required for a meeting of the board of directors is the presence of a majority of the directors then serving in office. If such majority is not present at the end of half an hour called for a session, then the session will be postponed in accordance with the Arcturus-Israel Articles and at the postponed meeting, the presence of two directors will serve as a quorum.</w:t>
      </w:r>
    </w:p>
    <w:p>
      <w:pPr>
        <w:spacing w:after="0" w:line="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Except as otherwise required by the Israeli Companies Law or the Arcturus-Israel Articles, a resolution is adopted if approved by a simple majority of the directors present and voting at any meeting at which a quorum is present.</w:t>
      </w:r>
    </w:p>
    <w:p>
      <w:pPr>
        <w:spacing w:after="0" w:line="9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Chairman of the Board shall not have an additional vote.</w:t>
      </w:r>
    </w:p>
    <w:p>
      <w:pPr>
        <w:spacing w:after="0" w:line="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the Israeli Companies Law, the board of directors of a public company must appoint an audit committee and a compensation committee. The number of members of such committees shall not be fewer than three, and all external directors must be members thereof.</w:t>
      </w:r>
    </w:p>
    <w:p>
      <w:pPr>
        <w:sectPr>
          <w:pgSz w:w="11900" w:h="16838" w:orient="portrait"/>
          <w:cols w:equalWidth="0" w:num="2">
            <w:col w:w="7700" w:space="220"/>
            <w:col w:w="328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3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alternate members who may replace any absent</w:t>
      </w:r>
    </w:p>
    <w:p>
      <w:pPr>
        <w:spacing w:after="0" w:line="56"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or disqualified member at any meeting of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Concurrent Office of Chairman and CEO</w:t>
      </w:r>
      <w:r>
        <w:rPr>
          <w:sz w:val="20"/>
          <w:szCs w:val="20"/>
          <w:color w:val="auto"/>
        </w:rPr>
        <w:tab/>
      </w:r>
      <w:r>
        <w:rPr>
          <w:rFonts w:ascii="Arial" w:cs="Arial" w:eastAsia="Arial" w:hAnsi="Arial"/>
          <w:sz w:val="16"/>
          <w:szCs w:val="16"/>
          <w:color w:val="auto"/>
        </w:rPr>
        <w:t>The DGCL does not restrict the concurrent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holding of the office of chairman of the board</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 directors and chief executive officer.</w:t>
      </w:r>
    </w:p>
    <w:p>
      <w:pPr>
        <w:spacing w:after="0" w:line="200" w:lineRule="exact"/>
        <w:rPr>
          <w:sz w:val="20"/>
          <w:szCs w:val="20"/>
          <w:color w:val="auto"/>
        </w:rPr>
      </w:pPr>
    </w:p>
    <w:p>
      <w:pPr>
        <w:spacing w:after="0" w:line="331"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Limitation of Personal Liability of Directors and</w:t>
      </w:r>
      <w:r>
        <w:rPr>
          <w:sz w:val="20"/>
          <w:szCs w:val="20"/>
          <w:color w:val="auto"/>
        </w:rPr>
        <w:tab/>
      </w:r>
      <w:r>
        <w:rPr>
          <w:rFonts w:ascii="Arial" w:cs="Arial" w:eastAsia="Arial" w:hAnsi="Arial"/>
          <w:sz w:val="16"/>
          <w:szCs w:val="16"/>
          <w:color w:val="auto"/>
        </w:rPr>
        <w:t>The DGCL allows a corporation to provide in</w:t>
      </w:r>
    </w:p>
    <w:p>
      <w:pPr>
        <w:spacing w:after="0" w:line="27"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6"/>
          <w:szCs w:val="16"/>
          <w:b w:val="1"/>
          <w:bCs w:val="1"/>
          <w:color w:val="auto"/>
        </w:rPr>
        <w:t>Officers</w:t>
      </w:r>
      <w:r>
        <w:rPr>
          <w:sz w:val="20"/>
          <w:szCs w:val="20"/>
          <w:color w:val="auto"/>
        </w:rPr>
        <w:tab/>
      </w:r>
      <w:r>
        <w:rPr>
          <w:rFonts w:ascii="Arial" w:cs="Arial" w:eastAsia="Arial" w:hAnsi="Arial"/>
          <w:sz w:val="16"/>
          <w:szCs w:val="16"/>
          <w:color w:val="auto"/>
        </w:rPr>
        <w:t>its certificate of incorporation that a director of</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the corporation will not be personally liable to</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corporation or its stockholders for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monetary damages for breach of fiduciary duty</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a director, except where the director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breached the duty of loyalty, failed to act in</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good faith,</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duties of the audit committee include, among others, identifying any defects in the business management of the company and deciding whether to approve acts and transactions that require the approval of the audit committee under the Israeli Companies Law, such as certain affiliated party transactions.</w:t>
      </w:r>
    </w:p>
    <w:p>
      <w:pPr>
        <w:spacing w:after="0" w:line="8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duties of the compensation committee include: (a) to recommend to the board of directors the compensation policy for office holders and once every three years regarding the re-approval of the compensation policy whenever such policy is set for a period exceeding three years; (b) to recommend to the board of directors that it update the compensation policy from time to time and examine its implementation; (c) to decide whether to approve transactions with respect to the terms of office and employment of office holders requiring the approval of the compensation committee, as specified in the Companies Law; (d) to exempt a transaction from the approval of the general meeting, as specified in the Israeli Companies Law.</w:t>
      </w:r>
    </w:p>
    <w:p>
      <w:pPr>
        <w:spacing w:after="0" w:line="6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concurrent office of chairman of the board of directors and a chief executive officer requires approval by a special majority of the shareholders, for periods of up to three years each.</w:t>
      </w:r>
    </w:p>
    <w:p>
      <w:pPr>
        <w:spacing w:after="0" w:line="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Israeli company may exculpate an office holder in advance from liability to the company, in whole or in part, for damages caused to the company as a result of a breach of duty of care (other than liability arising out of a prohibited dividend or distribution to shareholders) but only if a provision authorizing such</w:t>
      </w:r>
    </w:p>
    <w:p>
      <w:pPr>
        <w:sectPr>
          <w:pgSz w:w="11900" w:h="16838" w:orient="portrait"/>
          <w:cols w:equalWidth="0" w:num="2">
            <w:col w:w="7700" w:space="220"/>
            <w:col w:w="328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engaged in intentional misconduct or</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knowingly violated a law, authorized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payment of a dividend or approved a stock</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repurchase in violation of Delaware corporate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4"/>
              </w:rPr>
              <w:t>law or obtained an improper personal benefit.</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7"/>
              </w:rPr>
              <w:t>Arcturus-Delaware’s Amended Certificate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Incorporation provides for this limitation of</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liability.</w:t>
            </w:r>
          </w:p>
        </w:tc>
      </w:tr>
      <w:tr>
        <w:trPr>
          <w:trHeight w:val="306"/>
        </w:trPr>
        <w:tc>
          <w:tcPr>
            <w:tcW w:w="4100" w:type="dxa"/>
            <w:vAlign w:val="bottom"/>
          </w:tcPr>
          <w:p>
            <w:pPr>
              <w:spacing w:after="0"/>
              <w:rPr>
                <w:sz w:val="20"/>
                <w:szCs w:val="20"/>
                <w:color w:val="auto"/>
              </w:rPr>
            </w:pPr>
            <w:r>
              <w:rPr>
                <w:rFonts w:ascii="Arial" w:cs="Arial" w:eastAsia="Arial" w:hAnsi="Arial"/>
                <w:sz w:val="18"/>
                <w:szCs w:val="18"/>
                <w:b w:val="1"/>
                <w:bCs w:val="1"/>
                <w:color w:val="auto"/>
              </w:rPr>
              <w:t>Indemnification and Insurance of Directors,</w:t>
            </w:r>
          </w:p>
        </w:tc>
        <w:tc>
          <w:tcPr>
            <w:tcW w:w="3420" w:type="dxa"/>
            <w:vAlign w:val="bottom"/>
          </w:tcPr>
          <w:p>
            <w:pPr>
              <w:spacing w:after="0"/>
              <w:rPr>
                <w:sz w:val="20"/>
                <w:szCs w:val="20"/>
                <w:color w:val="auto"/>
              </w:rPr>
            </w:pPr>
            <w:r>
              <w:rPr>
                <w:rFonts w:ascii="Arial" w:cs="Arial" w:eastAsia="Arial" w:hAnsi="Arial"/>
                <w:sz w:val="18"/>
                <w:szCs w:val="18"/>
                <w:color w:val="auto"/>
                <w:w w:val="96"/>
              </w:rPr>
              <w:t>The DGCL allows a corporation to indemnify</w:t>
            </w:r>
          </w:p>
        </w:tc>
      </w:tr>
      <w:tr>
        <w:trPr>
          <w:trHeight w:val="220"/>
        </w:trPr>
        <w:tc>
          <w:tcPr>
            <w:tcW w:w="4100" w:type="dxa"/>
            <w:vAlign w:val="bottom"/>
          </w:tcPr>
          <w:p>
            <w:pPr>
              <w:spacing w:after="0"/>
              <w:rPr>
                <w:sz w:val="20"/>
                <w:szCs w:val="20"/>
                <w:color w:val="auto"/>
              </w:rPr>
            </w:pPr>
            <w:r>
              <w:rPr>
                <w:rFonts w:ascii="Arial" w:cs="Arial" w:eastAsia="Arial" w:hAnsi="Arial"/>
                <w:sz w:val="18"/>
                <w:szCs w:val="18"/>
                <w:b w:val="1"/>
                <w:bCs w:val="1"/>
                <w:color w:val="auto"/>
              </w:rPr>
              <w:t>Officers and Employees</w:t>
            </w:r>
          </w:p>
        </w:tc>
        <w:tc>
          <w:tcPr>
            <w:tcW w:w="3420" w:type="dxa"/>
            <w:vAlign w:val="bottom"/>
          </w:tcPr>
          <w:p>
            <w:pPr>
              <w:spacing w:after="0"/>
              <w:rPr>
                <w:sz w:val="20"/>
                <w:szCs w:val="20"/>
                <w:color w:val="auto"/>
              </w:rPr>
            </w:pPr>
            <w:r>
              <w:rPr>
                <w:rFonts w:ascii="Arial" w:cs="Arial" w:eastAsia="Arial" w:hAnsi="Arial"/>
                <w:sz w:val="18"/>
                <w:szCs w:val="18"/>
                <w:color w:val="auto"/>
                <w:w w:val="97"/>
              </w:rPr>
              <w:t>any person who is or was a director, officer,</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employee, or agent of the corporation, or</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5"/>
              </w:rPr>
              <w:t>serving at the request of the corporation as a</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director, officer, employee, or agent of another</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corporation, partnership, joint venture, trust or</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9"/>
              </w:rPr>
              <w:t>other enterprise, provided that such person</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acted in good faith and in a manner he or she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reasonably believed to be in or not opposed to</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the best interests of the corporation, and, with</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6"/>
              </w:rPr>
              <w:t>respect to any criminal action or proceeding,</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had no reasonable cause to believe his or her</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conduct was unlawful. The Arcturus-Delaware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Bylaws provides for this indemnification to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fullest extent authorized by the DGCL. In</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addition, the right to indemnification under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6"/>
              </w:rPr>
              <w:t>Arcturus-Delaware Bylaws includes the right</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to be paid by Arcturus-Delaware the expenses</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incurred in defending or otherwise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5"/>
              </w:rPr>
              <w:t>participating in any proceeding in advance of</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its final disposition.</w:t>
            </w:r>
          </w:p>
        </w:tc>
      </w:tr>
      <w:tr>
        <w:trPr>
          <w:trHeight w:val="323"/>
        </w:trPr>
        <w:tc>
          <w:tcPr>
            <w:tcW w:w="410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7"/>
              </w:rPr>
              <w:t>The Arcturus-Delaware Bylaws also provide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that Arcturus-Delaware may maintain</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4"/>
              </w:rPr>
              <w:t>insurance, at its expense, to protect itself and</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any director, officer, employee or agent of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corporation or another corporation,</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partnership, joint venture, trust or other</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enterprise against any expense, liability or</w:t>
            </w:r>
          </w:p>
        </w:tc>
      </w:tr>
      <w:tr>
        <w:trPr>
          <w:trHeight w:val="675"/>
        </w:trPr>
        <w:tc>
          <w:tcPr>
            <w:tcW w:w="4100" w:type="dxa"/>
            <w:vAlign w:val="bottom"/>
          </w:tcPr>
          <w:p>
            <w:pPr>
              <w:spacing w:after="0"/>
              <w:rPr>
                <w:sz w:val="24"/>
                <w:szCs w:val="24"/>
                <w:color w:val="auto"/>
              </w:rPr>
            </w:pPr>
          </w:p>
        </w:tc>
        <w:tc>
          <w:tcPr>
            <w:tcW w:w="3420" w:type="dxa"/>
            <w:vAlign w:val="bottom"/>
          </w:tcPr>
          <w:p>
            <w:pPr>
              <w:ind w:left="1320"/>
              <w:spacing w:after="0"/>
              <w:rPr>
                <w:sz w:val="20"/>
                <w:szCs w:val="20"/>
                <w:color w:val="auto"/>
              </w:rPr>
            </w:pPr>
            <w:r>
              <w:rPr>
                <w:rFonts w:ascii="Arial" w:cs="Arial" w:eastAsia="Arial" w:hAnsi="Arial"/>
                <w:sz w:val="18"/>
                <w:szCs w:val="18"/>
                <w:color w:val="auto"/>
              </w:rPr>
              <w:t>82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exculpation is included in its articles of association. Arcturus-Israel’s Articles include such a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As permitted under the Israeli Companies Law and the Israeli Securities Law, 5728-1968, Arcturus-Israel Articles provide that Arcturus-Israel is entitled to indemnify Its office holders for any obligation or expense imposed on him or her in consequence of any action which was performed by the office holder in his or her capacity as an office holder, in respect to any of the following:</w:t>
      </w:r>
    </w:p>
    <w:p>
      <w:pPr>
        <w:spacing w:after="0" w:line="7" w:lineRule="exact"/>
        <w:rPr>
          <w:sz w:val="20"/>
          <w:szCs w:val="20"/>
          <w:color w:val="auto"/>
        </w:rPr>
      </w:pPr>
    </w:p>
    <w:p>
      <w:pPr>
        <w:ind w:right="20" w:firstLine="9"/>
        <w:spacing w:after="0" w:line="265" w:lineRule="auto"/>
        <w:tabs>
          <w:tab w:leader="none" w:pos="245" w:val="left"/>
        </w:tabs>
        <w:numPr>
          <w:ilvl w:val="0"/>
          <w:numId w:val="97"/>
        </w:numPr>
        <w:rPr>
          <w:rFonts w:ascii="Arial" w:cs="Arial" w:eastAsia="Arial" w:hAnsi="Arial"/>
          <w:sz w:val="17"/>
          <w:szCs w:val="17"/>
          <w:color w:val="auto"/>
        </w:rPr>
      </w:pPr>
      <w:r>
        <w:rPr>
          <w:rFonts w:ascii="Arial" w:cs="Arial" w:eastAsia="Arial" w:hAnsi="Arial"/>
          <w:sz w:val="17"/>
          <w:szCs w:val="17"/>
          <w:color w:val="auto"/>
        </w:rPr>
        <w:t>a monetary obligation imposed on the office holder in favor of another person pursuant to a judgment, including a judgment given in settlement, or a court approved settlement or arbitrator’s award;</w:t>
      </w:r>
    </w:p>
    <w:p>
      <w:pPr>
        <w:spacing w:after="0" w:line="1" w:lineRule="exact"/>
        <w:rPr>
          <w:rFonts w:ascii="Arial" w:cs="Arial" w:eastAsia="Arial" w:hAnsi="Arial"/>
          <w:sz w:val="17"/>
          <w:szCs w:val="17"/>
          <w:color w:val="auto"/>
        </w:rPr>
      </w:pPr>
    </w:p>
    <w:p>
      <w:pPr>
        <w:ind w:firstLine="9"/>
        <w:spacing w:after="0" w:line="284" w:lineRule="auto"/>
        <w:tabs>
          <w:tab w:leader="none" w:pos="255"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reasonable legal fees, incurred by an office holder or which he is ordered to pay by a court, in proceedings filed against him or her by Arcturus-Israel or on its behalf or by another person, or in a criminal charge of which he or she is acquitted, or in a criminal charge of which he or she is convicted of an offense that does not require proof of criminal intent; (c) reasonable litigation expenses, including legal fees, incurred by an office holder as a consequence of an investigation or proceedings carried out against the office holder by an authorized body and which concluded without the filing of an indictment against the office holder and without imposing any financial</w:t>
      </w:r>
    </w:p>
    <w:p>
      <w:pPr>
        <w:sectPr>
          <w:pgSz w:w="11900" w:h="16838" w:orient="portrait"/>
          <w:cols w:equalWidth="0" w:num="2">
            <w:col w:w="7720" w:space="200"/>
            <w:col w:w="330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loss, whether or not the corporation would</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have the power to indemnify such person</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against such expense, liability or loss under the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liability on the office holder as an alternative to criminal proceedings, or which ended without the filing of an indictment against the office holder but with the imposition of financial liability as an alternative to criminal proceedings, in an offense where criminal intent is not required; (d) expenses in connection with proceedings under clause</w:t>
      </w:r>
    </w:p>
    <w:p>
      <w:pPr>
        <w:spacing w:after="0" w:line="1" w:lineRule="exact"/>
        <w:rPr>
          <w:sz w:val="20"/>
          <w:szCs w:val="20"/>
          <w:color w:val="auto"/>
        </w:rPr>
      </w:pPr>
    </w:p>
    <w:p>
      <w:pPr>
        <w:ind w:right="140" w:firstLine="9"/>
        <w:spacing w:after="0" w:line="281" w:lineRule="auto"/>
        <w:tabs>
          <w:tab w:leader="none" w:pos="255" w:val="left"/>
        </w:tabs>
        <w:numPr>
          <w:ilvl w:val="0"/>
          <w:numId w:val="98"/>
        </w:numPr>
        <w:rPr>
          <w:rFonts w:ascii="Arial" w:cs="Arial" w:eastAsia="Arial" w:hAnsi="Arial"/>
          <w:sz w:val="16"/>
          <w:szCs w:val="16"/>
          <w:color w:val="auto"/>
        </w:rPr>
      </w:pPr>
      <w:r>
        <w:rPr>
          <w:rFonts w:ascii="Arial" w:cs="Arial" w:eastAsia="Arial" w:hAnsi="Arial"/>
          <w:sz w:val="16"/>
          <w:szCs w:val="16"/>
          <w:color w:val="auto"/>
        </w:rPr>
        <w:t>above; (e) payments made to injured persons in connection with administrative proceedings that may be instituted against him or her under Israeli securities laws; and</w:t>
      </w:r>
    </w:p>
    <w:p>
      <w:pPr>
        <w:spacing w:after="0" w:line="2" w:lineRule="exact"/>
        <w:rPr>
          <w:rFonts w:ascii="Arial" w:cs="Arial" w:eastAsia="Arial" w:hAnsi="Arial"/>
          <w:sz w:val="16"/>
          <w:szCs w:val="16"/>
          <w:color w:val="auto"/>
        </w:rPr>
      </w:pPr>
    </w:p>
    <w:p>
      <w:pPr>
        <w:ind w:right="480" w:firstLine="9"/>
        <w:spacing w:after="0" w:line="255" w:lineRule="auto"/>
        <w:tabs>
          <w:tab w:leader="none" w:pos="22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other liability or expense that is permissible to be indemnified under applicable law.</w:t>
      </w:r>
    </w:p>
    <w:p>
      <w:pPr>
        <w:spacing w:after="0" w:line="8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However, Arcturus-Israel may undertake in advance to indemnify any officer holder for obligations and expenses as set out above, except that with respect to clause (a) above, only provided that such undertaking is limited to events which in the board of directors’ opinion are foreseeable at the time of providing the indemnity undertaking in view of Arcturus-Israel’ activities at that time, and in such amount and/or criteria as the board of directors deems reasonable in view of the Arcturus-Israel’ activities at that time and such events, sums and criteria shall be detailed in the undertaking instrument.</w:t>
      </w:r>
    </w:p>
    <w:p>
      <w:pPr>
        <w:spacing w:after="0" w:line="6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Arcturus-Israel may also purchase insurance to cover the liability of any office holder as a result of any of the following: (a) a breach of the duty of care to Arcturus-Israel or to another person; (b) a breach of the duty of loyalty to Arcturus-Israel, provided that the office holder acted in good faith and had a reasonable basis to believe that the act would not adversely affect the best interests of Arcturus-</w:t>
      </w:r>
    </w:p>
    <w:p>
      <w:pPr>
        <w:sectPr>
          <w:pgSz w:w="11900" w:h="16838" w:orient="portrait"/>
          <w:cols w:equalWidth="0" w:num="2">
            <w:col w:w="7700" w:space="220"/>
            <w:col w:w="330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Conflict of Interest; Interested Party Transactions</w:t>
      </w:r>
      <w:r>
        <w:rPr>
          <w:sz w:val="20"/>
          <w:szCs w:val="20"/>
          <w:color w:val="auto"/>
        </w:rPr>
        <w:tab/>
      </w:r>
      <w:r>
        <w:rPr>
          <w:rFonts w:ascii="Arial" w:cs="Arial" w:eastAsia="Arial" w:hAnsi="Arial"/>
          <w:sz w:val="16"/>
          <w:szCs w:val="16"/>
          <w:color w:val="auto"/>
        </w:rPr>
        <w:t>Under the DGCL, no contract or transaction</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between Arcturus-Delaware and one or more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 its directors or officers, or between</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Arcturus-Delaware and any other corporation,</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partnership, association, or other organization</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in which one or more of its directors or officers</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are directors or officers or have a financial</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interest, shall be void or voidable solely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because of such relationship or interest, 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solely because the director or officer is present</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at or participates in the meeting of the board of</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directors or committee of the board of directors</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that authorizes the contract or transaction or</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solely because the director’s or officer’s vote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was counted for such purpose, if:</w:t>
      </w:r>
    </w:p>
    <w:p>
      <w:pPr>
        <w:spacing w:after="0" w:line="116" w:lineRule="exact"/>
        <w:rPr>
          <w:sz w:val="20"/>
          <w:szCs w:val="20"/>
          <w:color w:val="auto"/>
        </w:rPr>
      </w:pPr>
    </w:p>
    <w:p>
      <w:pPr>
        <w:ind w:left="4380"/>
        <w:spacing w:after="0"/>
        <w:tabs>
          <w:tab w:leader="none" w:pos="4620" w:val="left"/>
        </w:tabs>
        <w:rPr>
          <w:sz w:val="20"/>
          <w:szCs w:val="20"/>
          <w:color w:val="auto"/>
        </w:rPr>
      </w:pPr>
      <w:r>
        <w:rPr>
          <w:rFonts w:ascii="Arial" w:cs="Arial" w:eastAsia="Arial" w:hAnsi="Arial"/>
          <w:sz w:val="17"/>
          <w:szCs w:val="17"/>
          <w:color w:val="auto"/>
        </w:rPr>
        <w:t>•</w:t>
        <w:tab/>
        <w:t>the material facts as to the director’s or</w:t>
      </w:r>
    </w:p>
    <w:p>
      <w:pPr>
        <w:spacing w:after="0" w:line="3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officer’s</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Israel; (c) a monetary obligation imposed on him or her in favor of another person in respect of an act done in his or her capacity as an office holder; and (d) any other action that is permissible to be insured under applicable law.</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Arcturus-Israel Articles and the Israeli Companies Law provide that these indemnification and insurance provisions do not apply in the following cases: (a) breach of the duty of loyalty to Arcturus-Israel, unless the office holder acted in good faith and had a reasonable basis for presuming that the act would be in the best interests of Arcturus-Israel; (b) a breach of duty of care committed intentionally or recklessly, excluding a breach arising out of the negligent conduct of the office holder, (c) an act or omission committed with intent to derive illegal personal benefit; or (d) a fine levied against the office holder.</w:t>
      </w:r>
    </w:p>
    <w:p>
      <w:pPr>
        <w:spacing w:after="0" w:line="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Israeli Companies Law requires that an office holder promptly disclose any “personal interest” that he or she may have and all related material information known to him or her, in connection with any existing or proposed transaction of the company.</w:t>
      </w:r>
    </w:p>
    <w:p>
      <w:pPr>
        <w:spacing w:after="0" w:line="7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the case of a transaction with an office holder or with another person in which an office holder has a “personal interest” which is not an extraordinary transaction, subject to the office holder’s disclosure of his or her interest, board approval is sufficient for the approval of the transaction. The transaction must not be adverse to the company’s interest. If the transaction is an extraordinary transaction (a transaction not in the ordinary course, which is not</w:t>
      </w:r>
    </w:p>
    <w:p>
      <w:pPr>
        <w:sectPr>
          <w:pgSz w:w="11900" w:h="16838" w:orient="portrait"/>
          <w:cols w:equalWidth="0" w:num="2">
            <w:col w:w="7700" w:space="220"/>
            <w:col w:w="330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3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relationship or interest and as to the contract or</w:t>
      </w:r>
    </w:p>
    <w:p>
      <w:pPr>
        <w:spacing w:after="0" w:line="44"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transaction are disclosed or are known to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board of directors or the committee, and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board of directors or committee in good faith</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authorizes the contract or transaction by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affirmative vote of a majority of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disinterested directors, even though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disinterested directors be less than a quorum;</w:t>
      </w:r>
    </w:p>
    <w:p>
      <w:pPr>
        <w:spacing w:after="0" w:line="139" w:lineRule="exact"/>
        <w:rPr>
          <w:sz w:val="20"/>
          <w:szCs w:val="20"/>
          <w:color w:val="auto"/>
        </w:rPr>
      </w:pPr>
    </w:p>
    <w:p>
      <w:pPr>
        <w:ind w:left="4380"/>
        <w:spacing w:after="0"/>
        <w:tabs>
          <w:tab w:leader="none" w:pos="4620" w:val="left"/>
        </w:tabs>
        <w:rPr>
          <w:sz w:val="20"/>
          <w:szCs w:val="20"/>
          <w:color w:val="auto"/>
        </w:rPr>
      </w:pPr>
      <w:r>
        <w:rPr>
          <w:rFonts w:ascii="Arial" w:cs="Arial" w:eastAsia="Arial" w:hAnsi="Arial"/>
          <w:sz w:val="17"/>
          <w:szCs w:val="17"/>
          <w:color w:val="auto"/>
        </w:rPr>
        <w:t>•</w:t>
        <w:tab/>
        <w:t>the material facts as to the director’s or</w:t>
      </w:r>
    </w:p>
    <w:p>
      <w:pPr>
        <w:spacing w:after="0" w:line="35"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officer’s relationship or interest and as to</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the contract or transaction are disclosed or</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are known to the stockholders entitled to</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vote thereon, and the contract or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transaction is specifically approved in</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good faith by the vote of the stockholders;</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or</w:t>
      </w:r>
    </w:p>
    <w:p>
      <w:pPr>
        <w:spacing w:after="0" w:line="116" w:lineRule="exact"/>
        <w:rPr>
          <w:sz w:val="20"/>
          <w:szCs w:val="20"/>
          <w:color w:val="auto"/>
        </w:rPr>
      </w:pPr>
    </w:p>
    <w:p>
      <w:pPr>
        <w:ind w:left="4380"/>
        <w:spacing w:after="0"/>
        <w:tabs>
          <w:tab w:leader="none" w:pos="4620" w:val="left"/>
        </w:tabs>
        <w:rPr>
          <w:sz w:val="20"/>
          <w:szCs w:val="20"/>
          <w:color w:val="auto"/>
        </w:rPr>
      </w:pPr>
      <w:r>
        <w:rPr>
          <w:rFonts w:ascii="Arial" w:cs="Arial" w:eastAsia="Arial" w:hAnsi="Arial"/>
          <w:sz w:val="18"/>
          <w:szCs w:val="18"/>
          <w:color w:val="auto"/>
        </w:rPr>
        <w:t>•</w:t>
        <w:tab/>
        <w:t>the contract or transaction is fair to</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Arcturus-Delaware as of the time it is</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authorized, approved, or ratified by the</w:t>
      </w:r>
    </w:p>
    <w:p>
      <w:pPr>
        <w:spacing w:after="0" w:line="2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board of directors, a committee of the</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board of directors, or the stockholders.</w:t>
      </w:r>
    </w:p>
    <w:p>
      <w:pPr>
        <w:spacing w:after="0" w:line="12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Common or interested directors may be</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counted in determining the presence of a</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quorum at a meeting of the board of directors</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or of a committee thereof which authorizes the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contract or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market terms, or that is likely to have a material impact on the company’s profitability, properties or obligations), it must be approved by the audit committee and the board of directors. Generally, an office holder who has a personal interest in a matter that is considered at a meeting of the board of directors or the audit committee may not be present at the meeting or vote thereon.</w:t>
      </w:r>
    </w:p>
    <w:p>
      <w:pPr>
        <w:spacing w:after="0" w:line="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the Israeli Companies Law, the disclosure requirements that apply to an office holder also apply to a controlling shareholder of a public company. In addition, extraordinary transactions with a controlling shareholder or in which a controlling shareholder has a personal interest, and the engagement of a controlling shareholder as an office holder or employee (including compensation therefor), generally require the approval of the audit committee (or compensation committee with respect to engagement as an office holder or employee), the board of directors and the shareholders, in that order. The shareholder approval must include at least a majority of the shares of non-interested shareholders voted on the matter. However, the transaction can be approved by shareholders without this special approval if the total shares of non-interested shareholders that voted against the transaction do not represent more than 2% of the voting rights in the company. In addition, any such extraordinary transaction whose term is longer than three years may require further shareholder approval every three years, unless, where permissible under the Israeli Companies Law, the audit committee approves that a longer</w:t>
      </w:r>
    </w:p>
    <w:p>
      <w:pPr>
        <w:sectPr>
          <w:pgSz w:w="11900" w:h="16838" w:orient="portrait"/>
          <w:cols w:equalWidth="0" w:num="2">
            <w:col w:w="7700" w:space="220"/>
            <w:col w:w="330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Executive Compensation</w:t>
      </w:r>
      <w:r>
        <w:rPr>
          <w:sz w:val="20"/>
          <w:szCs w:val="20"/>
          <w:color w:val="auto"/>
        </w:rPr>
        <w:tab/>
      </w:r>
      <w:r>
        <w:rPr>
          <w:rFonts w:ascii="Arial" w:cs="Arial" w:eastAsia="Arial" w:hAnsi="Arial"/>
          <w:sz w:val="16"/>
          <w:szCs w:val="16"/>
          <w:color w:val="auto"/>
        </w:rPr>
        <w:t>In according with the Arcturus-Delaware</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Bylaws, the board of directors of the company</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will determine the employment terms of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directors.</w:t>
      </w:r>
    </w:p>
    <w:p>
      <w:pPr>
        <w:spacing w:after="0" w:line="1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Under the DGCL, the Board of Directors</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determines the employment terms of the CEO.</w:t>
      </w:r>
    </w:p>
    <w:p>
      <w:pPr>
        <w:spacing w:after="0" w:line="13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For details regarding compensation of</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controlling shareholders, see above under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“Conflict of Interest; Interested Party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term is reasonable under the circumstances.</w:t>
      </w:r>
    </w:p>
    <w:p>
      <w:pPr>
        <w:spacing w:after="0" w:line="13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addition, under the Israeli Companies Law, each shareholder has a duty to act in good faith toward the company and other shareholders and to refrain from abusing his or her power in the company, such as in shareholder votes. In addition, specified shareholders have a duty of fairness toward the company. These shareholders include any controlling shareholder, any shareholder who knows that it possesses the power to determine the outcome of a shareholder vote and any shareholder who, pursuant to the provisions of the articles of association, has the power to appoint or prevent the appointment of an office holder or any other power with respect to the company.</w:t>
      </w:r>
    </w:p>
    <w:p>
      <w:pPr>
        <w:spacing w:after="0" w:line="7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Under the Israeli Companies Law, a public company is obligated to determine a compensation policy regarding the terms of office and employment of officers in the Company. The compensation policy must be approved (subject to a number of exceptions) by the compensation committee, the board of directors and the general meeting of the shareholders by a special majority.</w:t>
      </w:r>
    </w:p>
    <w:p>
      <w:pPr>
        <w:spacing w:after="0" w:line="7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terms of office of officer holders shall be in accordance with the compensation policy (subject to certain exceptions).</w:t>
      </w:r>
    </w:p>
    <w:p>
      <w:pPr>
        <w:spacing w:after="0" w:line="269" w:lineRule="auto"/>
        <w:rPr>
          <w:sz w:val="20"/>
          <w:szCs w:val="20"/>
          <w:color w:val="auto"/>
        </w:rPr>
      </w:pPr>
      <w:r>
        <w:rPr>
          <w:rFonts w:ascii="Arial" w:cs="Arial" w:eastAsia="Arial" w:hAnsi="Arial"/>
          <w:sz w:val="17"/>
          <w:szCs w:val="17"/>
          <w:color w:val="auto"/>
        </w:rPr>
        <w:t>The compensation terms of directors, the chief executive officer, and any employee or service provider who is considered a controlling shareholder must, subject to certain exceptions, be approved separately by the compensation committee, the board of directors and the by a</w:t>
      </w:r>
    </w:p>
    <w:p>
      <w:pPr>
        <w:sectPr>
          <w:pgSz w:w="11900" w:h="16838" w:orient="portrait"/>
          <w:cols w:equalWidth="0" w:num="2">
            <w:col w:w="7660" w:space="260"/>
            <w:col w:w="328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Stockholders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right="300"/>
        <w:spacing w:after="0" w:line="386" w:lineRule="auto"/>
        <w:rPr>
          <w:sz w:val="20"/>
          <w:szCs w:val="20"/>
          <w:color w:val="auto"/>
        </w:rPr>
      </w:pPr>
      <w:r>
        <w:rPr>
          <w:rFonts w:ascii="Arial" w:cs="Arial" w:eastAsia="Arial" w:hAnsi="Arial"/>
          <w:sz w:val="15"/>
          <w:szCs w:val="15"/>
          <w:b w:val="1"/>
          <w:bCs w:val="1"/>
          <w:color w:val="auto"/>
        </w:rPr>
        <w:t>Notice and Delivery Requirements for Stockholder Nominations and Proposals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-627380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wp:posOffset>
            </wp:positionV>
            <wp:extent cx="21697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Arcturus-Delaware Bylaws provide that annual meetings are held at such date and time as is designated by the board of directors, which date shall be within thirteen months of the last annual meeting of stockholders.</w:t>
      </w:r>
    </w:p>
    <w:p>
      <w:pPr>
        <w:spacing w:after="0" w:line="5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Arcturus-Delaware’s Bylaws provide that in order for a stockholder to make any director nomination or propose business at Arcturus-Delaware’s annual meeting, the stockholder must own more than 5% of the outstanding common stock of the Arcturus-Delaware and must provide timely notice in writing to Arcturus-Delaware’s Secretary, which must be received not fewer than 45 and not more than 75 days in advance of the date that is the one year anniversary of the date on which Arcturus-Delaware first mailed its proxy materials for preceding year’s annual stockholders meeting (with certain adjustments if the annual meeting is changed by more than 30 days from the first anniversary of the preceding year’s annual meeting or if no annual meeting was held in the preceding year).</w:t>
      </w:r>
    </w:p>
    <w:p>
      <w:pPr>
        <w:spacing w:after="0" w:line="8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Arcturus-Delaware’s Bylaws also provide that if a shareholder proposes to appoint a director at a special meeting, the shareholder must provide written notice to the secretary of the designated company no later than 90 days prior to the convening of the special meeting or 10 days after</w:t>
      </w:r>
    </w:p>
    <w:p>
      <w:pPr>
        <w:spacing w:after="0" w:line="110"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special majority of the shareholders, in that order. The compensation terms of other executive officers require the approval of the compensation committee and the board of directors.</w:t>
      </w:r>
    </w:p>
    <w:p>
      <w:pPr>
        <w:spacing w:after="0" w:line="8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annual general meeting of Arcturus-Israel shareholders is to be held at such date and time as determined by the board of directors, but no later than fifteen months after the last annual meeting.</w:t>
      </w:r>
    </w:p>
    <w:p>
      <w:pPr>
        <w:spacing w:after="0" w:line="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According to the Company law, One or more shareholders holding at least one percent of the voting rights at the general meeting may request that the board of directors include a matter in the agenda of a general meeting (provided that it is appropriate to discuss such item in the meeting).</w:t>
      </w:r>
    </w:p>
    <w:p>
      <w:pPr>
        <w:sectPr>
          <w:pgSz w:w="11900" w:h="16838" w:orient="portrait"/>
          <w:cols w:equalWidth="0" w:num="3">
            <w:col w:w="3580" w:space="720"/>
            <w:col w:w="3420" w:space="200"/>
            <w:col w:w="3260"/>
          </w:cols>
          <w:pgMar w:left="24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Arcturus-Delaware Stockholder Rights</w:t>
            </w:r>
          </w:p>
        </w:tc>
      </w:tr>
      <w:tr>
        <w:trPr>
          <w:trHeight w:val="195"/>
        </w:trPr>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w w:val="93"/>
              </w:rPr>
              <w:t>the date of convening this meeting is reported</w:t>
            </w:r>
          </w:p>
        </w:tc>
      </w:tr>
      <w:tr>
        <w:trPr>
          <w:trHeight w:val="230"/>
        </w:trPr>
        <w:tc>
          <w:tcPr>
            <w:tcW w:w="3880" w:type="dxa"/>
            <w:vAlign w:val="bottom"/>
          </w:tcPr>
          <w:p>
            <w:pPr>
              <w:spacing w:after="0"/>
              <w:rPr>
                <w:sz w:val="20"/>
                <w:szCs w:val="20"/>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to the public.</w:t>
            </w:r>
          </w:p>
        </w:tc>
      </w:tr>
      <w:tr>
        <w:trPr>
          <w:trHeight w:val="310"/>
        </w:trPr>
        <w:tc>
          <w:tcPr>
            <w:tcW w:w="3880" w:type="dxa"/>
            <w:vAlign w:val="bottom"/>
          </w:tcPr>
          <w:p>
            <w:pPr>
              <w:spacing w:after="0"/>
              <w:rPr>
                <w:sz w:val="20"/>
                <w:szCs w:val="20"/>
                <w:color w:val="auto"/>
              </w:rPr>
            </w:pPr>
            <w:r>
              <w:rPr>
                <w:rFonts w:ascii="Arial" w:cs="Arial" w:eastAsia="Arial" w:hAnsi="Arial"/>
                <w:sz w:val="18"/>
                <w:szCs w:val="18"/>
                <w:b w:val="1"/>
                <w:bCs w:val="1"/>
                <w:color w:val="auto"/>
                <w:w w:val="94"/>
              </w:rPr>
              <w:t>Ability to Call Special Meetings of Stockholders</w:t>
            </w: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The Arcturus-Delaware Certificate of</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w w:val="91"/>
              </w:rPr>
              <w:t>Incorporation provides that special meetings of</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w w:val="97"/>
              </w:rPr>
              <w:t>the Arcturus-Delaware stockholders may be</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called by the Board of Directors acting</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pursuant to a resolution approved by the</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w w:val="97"/>
              </w:rPr>
              <w:t>affirmative vote of a majority of the directors</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w w:val="96"/>
              </w:rPr>
              <w:t>then in office, the Chief Executive Officer (or</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if there is no Chief Executive Officer, the</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President) or the Chairman of the Board of</w:t>
            </w:r>
          </w:p>
        </w:tc>
      </w:tr>
      <w:tr>
        <w:trPr>
          <w:trHeight w:val="230"/>
        </w:trPr>
        <w:tc>
          <w:tcPr>
            <w:tcW w:w="3880" w:type="dxa"/>
            <w:vAlign w:val="bottom"/>
          </w:tcPr>
          <w:p>
            <w:pPr>
              <w:spacing w:after="0"/>
              <w:rPr>
                <w:sz w:val="20"/>
                <w:szCs w:val="20"/>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Directors.</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Notice of Stockholder Meeting</w:t>
      </w:r>
      <w:r>
        <w:rPr>
          <w:sz w:val="20"/>
          <w:szCs w:val="20"/>
          <w:color w:val="auto"/>
        </w:rPr>
        <w:tab/>
      </w:r>
      <w:r>
        <w:rPr>
          <w:rFonts w:ascii="Arial" w:cs="Arial" w:eastAsia="Arial" w:hAnsi="Arial"/>
          <w:sz w:val="16"/>
          <w:szCs w:val="16"/>
          <w:color w:val="auto"/>
        </w:rPr>
        <w:t>Under the Arcturus-Delaware Bylaws, a</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written notice of the annual meeting or any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special meeting stating the place, date and hour</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of the meeting (and, in the case of a special</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meeting, the purpose or purposes for which the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meeting is called) must be given to each</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stockholder entitled to vote at the meeting not</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less than 10 and not more than 60 days before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date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Stockholder/ Shareholder Quorum Requirements</w:t>
      </w:r>
      <w:r>
        <w:rPr>
          <w:sz w:val="20"/>
          <w:szCs w:val="20"/>
          <w:color w:val="auto"/>
        </w:rPr>
        <w:tab/>
      </w:r>
      <w:r>
        <w:rPr>
          <w:rFonts w:ascii="Arial" w:cs="Arial" w:eastAsia="Arial" w:hAnsi="Arial"/>
          <w:sz w:val="16"/>
          <w:szCs w:val="16"/>
          <w:color w:val="auto"/>
        </w:rPr>
        <w:t>The Arcturus-Delaware Bylaws provide that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the holders of at least 33.33% of the total votes</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entitled to be cast by the holders of all</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outstanding capital stock, present in person or</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by proxy, constitute a quorum for all purposes,</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unless or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the Israeli Companies Law and the Arcturus-Israel Articles, extraordinary general meetings of the company’s shareholders may be called by the board of directors at any time and shall be called at the request of (a) two directors; (b) one-quarter of the directors in office; (c) shareholder(s) holding at least 5% of the outstanding ordinary shares of the combined company and at least 1% of the combined company’s voting rights; or (d) shareholder(s) holding at least 5% of the combined company’s voting rights.</w:t>
      </w:r>
    </w:p>
    <w:p>
      <w:pPr>
        <w:spacing w:after="0" w:line="92" w:lineRule="exact"/>
        <w:rPr>
          <w:sz w:val="20"/>
          <w:szCs w:val="20"/>
          <w:color w:val="auto"/>
        </w:rPr>
      </w:pPr>
    </w:p>
    <w:p>
      <w:pPr>
        <w:ind w:right="460"/>
        <w:spacing w:after="0" w:line="291" w:lineRule="auto"/>
        <w:rPr>
          <w:sz w:val="20"/>
          <w:szCs w:val="20"/>
          <w:color w:val="auto"/>
        </w:rPr>
      </w:pPr>
      <w:r>
        <w:rPr>
          <w:rFonts w:ascii="Arial" w:cs="Arial" w:eastAsia="Arial" w:hAnsi="Arial"/>
          <w:sz w:val="16"/>
          <w:szCs w:val="16"/>
          <w:color w:val="auto"/>
        </w:rPr>
        <w:t>Pursuant to the Companies Regulations (Notice of General Meeting and</w:t>
      </w:r>
    </w:p>
    <w:p>
      <w:pPr>
        <w:spacing w:after="0" w:line="290" w:lineRule="auto"/>
        <w:rPr>
          <w:sz w:val="20"/>
          <w:szCs w:val="20"/>
          <w:color w:val="auto"/>
        </w:rPr>
      </w:pPr>
      <w:r>
        <w:rPr>
          <w:rFonts w:ascii="Arial" w:cs="Arial" w:eastAsia="Arial" w:hAnsi="Arial"/>
          <w:sz w:val="16"/>
          <w:szCs w:val="16"/>
          <w:color w:val="auto"/>
        </w:rPr>
        <w:t>Class Meeting in a Public Company), 5760— 2000, notice of the general meetings of shareholders, stating the agenda and proposed resolutions must be delivered to shareholders of record and published at least 21 days prior to the meeting.</w:t>
      </w:r>
    </w:p>
    <w:p>
      <w:pPr>
        <w:spacing w:after="0" w:line="70"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In the event that the agenda for the meeting includes certain proposed resolutions (for example, the appointment or dismissal of directors, the approval of a merger or transactions with a controlling shareholder), notice of the meeting must be delivered and published at least 35 days prior to the meeting.</w:t>
      </w:r>
    </w:p>
    <w:p>
      <w:pPr>
        <w:spacing w:after="0" w:line="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Action may only be taken concerning any agenda item included in the notice provided to shareholders.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presence in person or by proxy of two or more shareholders who jointly hold at least one third of Arcturus-Israel’ voting rights at a general shareholders’ meeting constitutes a quorum for the transaction of business at such</w:t>
      </w:r>
    </w:p>
    <w:p>
      <w:pPr>
        <w:sectPr>
          <w:pgSz w:w="11900" w:h="16838" w:orient="portrait"/>
          <w:cols w:equalWidth="0" w:num="2">
            <w:col w:w="7720" w:space="200"/>
            <w:col w:w="330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except to the extent that the presence of a</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4"/>
              </w:rPr>
              <w:t>larger number is required by law. If a quorum</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1"/>
              </w:rPr>
              <w:t>shall fail to attend any meeting, the chair of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6"/>
              </w:rPr>
              <w:t>meeting may adjourn the meeting to another</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place, if any, date and time.</w:t>
            </w:r>
          </w:p>
        </w:tc>
      </w:tr>
      <w:tr>
        <w:trPr>
          <w:trHeight w:val="526"/>
        </w:trPr>
        <w:tc>
          <w:tcPr>
            <w:tcW w:w="4100" w:type="dxa"/>
            <w:vAlign w:val="bottom"/>
          </w:tcPr>
          <w:p>
            <w:pPr>
              <w:spacing w:after="0"/>
              <w:rPr>
                <w:sz w:val="20"/>
                <w:szCs w:val="20"/>
                <w:color w:val="auto"/>
              </w:rPr>
            </w:pPr>
            <w:r>
              <w:rPr>
                <w:rFonts w:ascii="Arial" w:cs="Arial" w:eastAsia="Arial" w:hAnsi="Arial"/>
                <w:sz w:val="18"/>
                <w:szCs w:val="18"/>
                <w:b w:val="1"/>
                <w:bCs w:val="1"/>
                <w:color w:val="auto"/>
              </w:rPr>
              <w:t>Action of Stockholders by Written Consent</w:t>
            </w:r>
          </w:p>
        </w:tc>
        <w:tc>
          <w:tcPr>
            <w:tcW w:w="3420" w:type="dxa"/>
            <w:vAlign w:val="bottom"/>
          </w:tcPr>
          <w:p>
            <w:pPr>
              <w:spacing w:after="0"/>
              <w:rPr>
                <w:sz w:val="20"/>
                <w:szCs w:val="20"/>
                <w:color w:val="auto"/>
              </w:rPr>
            </w:pPr>
            <w:r>
              <w:rPr>
                <w:rFonts w:ascii="Arial" w:cs="Arial" w:eastAsia="Arial" w:hAnsi="Arial"/>
                <w:sz w:val="18"/>
                <w:szCs w:val="18"/>
                <w:color w:val="auto"/>
              </w:rPr>
              <w:t>The Arcturus-Delaware Certificate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6"/>
              </w:rPr>
              <w:t>Incorporation prohibits stockholder action by</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written consent.</w:t>
            </w:r>
          </w:p>
        </w:tc>
      </w:tr>
      <w:tr>
        <w:trPr>
          <w:trHeight w:val="522"/>
        </w:trPr>
        <w:tc>
          <w:tcPr>
            <w:tcW w:w="4100" w:type="dxa"/>
            <w:vAlign w:val="bottom"/>
          </w:tcPr>
          <w:p>
            <w:pPr>
              <w:spacing w:after="0"/>
              <w:rPr>
                <w:sz w:val="20"/>
                <w:szCs w:val="20"/>
                <w:color w:val="auto"/>
              </w:rPr>
            </w:pPr>
            <w:r>
              <w:rPr>
                <w:rFonts w:ascii="Arial" w:cs="Arial" w:eastAsia="Arial" w:hAnsi="Arial"/>
                <w:sz w:val="18"/>
                <w:szCs w:val="18"/>
                <w:b w:val="1"/>
                <w:bCs w:val="1"/>
                <w:color w:val="auto"/>
              </w:rPr>
              <w:t>Amendment of Certificate of Incorporation,</w:t>
            </w:r>
          </w:p>
        </w:tc>
        <w:tc>
          <w:tcPr>
            <w:tcW w:w="3420" w:type="dxa"/>
            <w:vAlign w:val="bottom"/>
          </w:tcPr>
          <w:p>
            <w:pPr>
              <w:spacing w:after="0"/>
              <w:rPr>
                <w:sz w:val="20"/>
                <w:szCs w:val="20"/>
                <w:color w:val="auto"/>
              </w:rPr>
            </w:pPr>
            <w:r>
              <w:rPr>
                <w:rFonts w:ascii="Arial" w:cs="Arial" w:eastAsia="Arial" w:hAnsi="Arial"/>
                <w:sz w:val="18"/>
                <w:szCs w:val="18"/>
                <w:color w:val="auto"/>
                <w:w w:val="92"/>
              </w:rPr>
              <w:t>Under the DGCL, a proposed amendment to a</w:t>
            </w:r>
          </w:p>
        </w:tc>
      </w:tr>
      <w:tr>
        <w:trPr>
          <w:trHeight w:val="220"/>
        </w:trPr>
        <w:tc>
          <w:tcPr>
            <w:tcW w:w="4100" w:type="dxa"/>
            <w:vAlign w:val="bottom"/>
          </w:tcPr>
          <w:p>
            <w:pPr>
              <w:spacing w:after="0"/>
              <w:rPr>
                <w:sz w:val="20"/>
                <w:szCs w:val="20"/>
                <w:color w:val="auto"/>
              </w:rPr>
            </w:pPr>
            <w:r>
              <w:rPr>
                <w:rFonts w:ascii="Arial" w:cs="Arial" w:eastAsia="Arial" w:hAnsi="Arial"/>
                <w:sz w:val="18"/>
                <w:szCs w:val="18"/>
                <w:b w:val="1"/>
                <w:bCs w:val="1"/>
                <w:color w:val="auto"/>
              </w:rPr>
              <w:t>Bylaws, Articles of Association</w:t>
            </w:r>
          </w:p>
        </w:tc>
        <w:tc>
          <w:tcPr>
            <w:tcW w:w="3420" w:type="dxa"/>
            <w:vAlign w:val="bottom"/>
          </w:tcPr>
          <w:p>
            <w:pPr>
              <w:spacing w:after="0"/>
              <w:rPr>
                <w:sz w:val="20"/>
                <w:szCs w:val="20"/>
                <w:color w:val="auto"/>
              </w:rPr>
            </w:pPr>
            <w:r>
              <w:rPr>
                <w:rFonts w:ascii="Arial" w:cs="Arial" w:eastAsia="Arial" w:hAnsi="Arial"/>
                <w:sz w:val="18"/>
                <w:szCs w:val="18"/>
                <w:color w:val="auto"/>
              </w:rPr>
              <w:t>corporation’s certificate of incorporation</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requires approval by its board of directors and</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adoption by an affirmative majority of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outstanding stock entitled to vote on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5"/>
              </w:rPr>
              <w:t>amendment, except for Articles VI and VIII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Arcturus-Delaware Certificate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7"/>
              </w:rPr>
              <w:t>Incorporation relating to amendments to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certificate of incorporation (specifically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relating to this provision for an</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9"/>
              </w:rPr>
              <w:t>amendment and not the entire certificate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6"/>
              </w:rPr>
              <w:t>incorporation generally) and amendments to</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bylaws and Article VII relating</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9"/>
              </w:rPr>
              <w:t>Stockholder Actions for which a vote of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1"/>
              </w:rPr>
              <w:t>holders of at least 66 2/3% of the voting power</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of the then outstanding voting stock is</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required. In addition to the foregoing</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1"/>
              </w:rPr>
              <w:t>requirement, the Arcturus-Delaware Certificate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of Incorporation provides that any amendment</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7"/>
              </w:rPr>
              <w:t>related to limitation of liability and indemnity</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of directors and officers requires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8"/>
              </w:rPr>
              <w:t>affirmative vote of the holders of at least 66</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2/3% of the capital stock entitled to vote.</w:t>
            </w:r>
          </w:p>
        </w:tc>
      </w:tr>
      <w:tr>
        <w:trPr>
          <w:trHeight w:val="310"/>
        </w:trPr>
        <w:tc>
          <w:tcPr>
            <w:tcW w:w="410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Arcturus-Delaware Certificate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Incorporation provides that the board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0"/>
              </w:rPr>
              <w:t>directors is expressly authorized to make, alter,</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amend,</w:t>
            </w:r>
          </w:p>
        </w:tc>
      </w:tr>
      <w:tr>
        <w:trPr>
          <w:trHeight w:val="365"/>
        </w:trPr>
        <w:tc>
          <w:tcPr>
            <w:tcW w:w="4100" w:type="dxa"/>
            <w:vAlign w:val="bottom"/>
          </w:tcPr>
          <w:p>
            <w:pPr>
              <w:spacing w:after="0"/>
              <w:rPr>
                <w:sz w:val="24"/>
                <w:szCs w:val="24"/>
                <w:color w:val="auto"/>
              </w:rPr>
            </w:pPr>
          </w:p>
        </w:tc>
        <w:tc>
          <w:tcPr>
            <w:tcW w:w="3420" w:type="dxa"/>
            <w:vAlign w:val="bottom"/>
          </w:tcPr>
          <w:p>
            <w:pPr>
              <w:ind w:left="1320"/>
              <w:spacing w:after="0"/>
              <w:rPr>
                <w:sz w:val="20"/>
                <w:szCs w:val="20"/>
                <w:color w:val="auto"/>
              </w:rPr>
            </w:pPr>
            <w:r>
              <w:rPr>
                <w:rFonts w:ascii="Arial" w:cs="Arial" w:eastAsia="Arial" w:hAnsi="Arial"/>
                <w:sz w:val="18"/>
                <w:szCs w:val="18"/>
                <w:color w:val="auto"/>
              </w:rPr>
              <w:t>89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meeting. If no quorum is present within half an hour after the time set for the meeting, whether an annual or extraordinary general meeting, the meeting shall be adjourned and, at such adjourned meeting, the presence of any two shareholders constitutes a quorum.</w:t>
      </w:r>
    </w:p>
    <w:p>
      <w:pPr>
        <w:spacing w:after="0" w:line="5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Israeli Companies Law does not provide for action of shareholders of a public company by written consent in lieu of a meeting.</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the Israeli Companies Law, the articles of association set forth substantially all of the provisions that under Delaware law are split between the certificate of incorporation and the bylaws of a company.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In this respect,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Arcturus-Israel Articles provide that, unless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determined otherwise under the terms of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offering and subject to applicable law,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rights attached to any type of shares may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modified by a resolution of the Board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Directors, following the approval of 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majority of the shareholders of such type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shares attending the general meeting.</w:t>
      </w:r>
    </w:p>
    <w:p>
      <w:pPr>
        <w:sectPr>
          <w:pgSz w:w="11900" w:h="16838" w:orient="portrait"/>
          <w:cols w:equalWidth="0" w:num="2">
            <w:col w:w="7720" w:space="200"/>
            <w:col w:w="330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or repeal the Arcturus-Delaware Bylaws</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subject to the power of the stockholders to</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alter, amend or repeal the bylaws,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affirmative vote of the holders of at least</w:t>
      </w:r>
    </w:p>
    <w:p>
      <w:pPr>
        <w:ind w:left="4300"/>
        <w:spacing w:after="0" w:line="182" w:lineRule="auto"/>
        <w:rPr>
          <w:sz w:val="20"/>
          <w:szCs w:val="20"/>
          <w:color w:val="auto"/>
        </w:rPr>
      </w:pPr>
      <w:r>
        <w:rPr>
          <w:rFonts w:ascii="Arial" w:cs="Arial" w:eastAsia="Arial" w:hAnsi="Arial"/>
          <w:sz w:val="16"/>
          <w:szCs w:val="16"/>
          <w:color w:val="auto"/>
        </w:rPr>
        <w:t>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capital stock of the corporation</w:t>
      </w:r>
    </w:p>
    <w:p>
      <w:pPr>
        <w:ind w:left="4300"/>
        <w:spacing w:after="0"/>
        <w:rPr>
          <w:sz w:val="20"/>
          <w:szCs w:val="20"/>
          <w:color w:val="auto"/>
        </w:rPr>
      </w:pPr>
      <w:r>
        <w:rPr>
          <w:rFonts w:ascii="Arial" w:cs="Arial" w:eastAsia="Arial" w:hAnsi="Arial"/>
          <w:sz w:val="18"/>
          <w:szCs w:val="18"/>
          <w:color w:val="auto"/>
        </w:rPr>
        <w:t>entitled to vote being required.</w:t>
      </w:r>
    </w:p>
    <w:p>
      <w:pPr>
        <w:spacing w:after="0" w:line="97"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Distributions and Dividends</w:t>
      </w:r>
      <w:r>
        <w:rPr>
          <w:sz w:val="20"/>
          <w:szCs w:val="20"/>
          <w:color w:val="auto"/>
        </w:rPr>
        <w:tab/>
      </w:r>
      <w:r>
        <w:rPr>
          <w:rFonts w:ascii="Arial" w:cs="Arial" w:eastAsia="Arial" w:hAnsi="Arial"/>
          <w:sz w:val="16"/>
          <w:szCs w:val="16"/>
          <w:color w:val="auto"/>
        </w:rPr>
        <w:t>Under the DGCL, dividends may be declared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a board of directors, subject to any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restrictions in a corporation’s certificate of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incorporation, and paid out of the corporation’s</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surplus or, if no surplus is available, out of any</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net profits for the fiscal year in which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dividend is declared and for the preceding</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fiscal year, or both, provided that such</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payment out of net profits would not reduce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capital below the amount of capital represented</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by all classes of outstanding stock having a</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preference as to the distribution of assets upon</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liquidation of 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Stockholder Rights Plan</w:t>
      </w:r>
      <w:r>
        <w:rPr>
          <w:sz w:val="20"/>
          <w:szCs w:val="20"/>
          <w:color w:val="auto"/>
        </w:rPr>
        <w:tab/>
      </w:r>
      <w:r>
        <w:rPr>
          <w:rFonts w:ascii="Arial" w:cs="Arial" w:eastAsia="Arial" w:hAnsi="Arial"/>
          <w:sz w:val="16"/>
          <w:szCs w:val="16"/>
          <w:color w:val="auto"/>
        </w:rPr>
        <w:t>Arcturus-Delaware currently has no</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shareholder rights plan in effect.</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According to the Israeli Companies Law, a company may make distributions (including dividends and share repurchase) only out of its “profits,” as such term is defined in the Israeli Companies Law, as of the end of the most recent fiscal year or as accrued over a period of two years, whichever is higher. The board of directors of Arcturus-Israel is authorized to declare dividends, provided that there is no reasonable concern that payment of the dividend will prevent Arcturus-Israel from satisfying its existing and foreseeable obligations as they become due. Notwithstanding the foregoing, dividends may be paid with the approval of a court, provided that there is no reasonable concern that payment of the dividend will prevent Arcturus-Israel from satisfying its existing and foreseeable obligations as they become due. Profits, for purposes of the Israeli Companies Law, means the greater of retained earnings or earnings accumulated during the preceding two years, after deduction of previous distributions that were not already deducted from the surpluses, as evidenced by financial statements prepared no more than six months prior to the date of distribution.</w:t>
      </w:r>
    </w:p>
    <w:p>
      <w:pPr>
        <w:spacing w:after="0" w:line="2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Arcturus-Israel does not have a shareholder rights plan.</w:t>
      </w:r>
    </w:p>
    <w:p>
      <w:pPr>
        <w:sectPr>
          <w:pgSz w:w="11900" w:h="16838" w:orient="portrait"/>
          <w:cols w:equalWidth="0" w:num="2">
            <w:col w:w="7700" w:space="220"/>
            <w:col w:w="328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Arcturus-Delaware Stockholder Rights</w:t>
            </w:r>
          </w:p>
        </w:tc>
      </w:tr>
      <w:tr>
        <w:trPr>
          <w:trHeight w:val="286"/>
        </w:trPr>
        <w:tc>
          <w:tcPr>
            <w:tcW w:w="3280" w:type="dxa"/>
            <w:vAlign w:val="bottom"/>
          </w:tcPr>
          <w:p>
            <w:pPr>
              <w:spacing w:after="0"/>
              <w:rPr>
                <w:sz w:val="20"/>
                <w:szCs w:val="20"/>
                <w:color w:val="auto"/>
              </w:rPr>
            </w:pPr>
            <w:r>
              <w:rPr>
                <w:rFonts w:ascii="Arial" w:cs="Arial" w:eastAsia="Arial" w:hAnsi="Arial"/>
                <w:sz w:val="18"/>
                <w:szCs w:val="18"/>
                <w:b w:val="1"/>
                <w:bCs w:val="1"/>
                <w:color w:val="auto"/>
              </w:rPr>
              <w:t>Interested Shareholder</w:t>
            </w: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4"/>
              </w:rPr>
              <w:t>In general, section 203 of the DGCL prohibits</w:t>
            </w: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Transactions;</w:t>
            </w: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a publicly held Delaware corporation from</w:t>
            </w:r>
          </w:p>
        </w:tc>
      </w:tr>
      <w:tr>
        <w:trPr>
          <w:trHeight w:val="220"/>
        </w:trPr>
        <w:tc>
          <w:tcPr>
            <w:tcW w:w="3280" w:type="dxa"/>
            <w:vAlign w:val="bottom"/>
          </w:tcPr>
          <w:p>
            <w:pPr>
              <w:spacing w:after="0"/>
              <w:rPr>
                <w:sz w:val="20"/>
                <w:szCs w:val="20"/>
                <w:color w:val="auto"/>
              </w:rPr>
            </w:pPr>
            <w:r>
              <w:rPr>
                <w:rFonts w:ascii="Arial" w:cs="Arial" w:eastAsia="Arial" w:hAnsi="Arial"/>
                <w:sz w:val="18"/>
                <w:szCs w:val="18"/>
                <w:b w:val="1"/>
                <w:bCs w:val="1"/>
                <w:color w:val="auto"/>
              </w:rPr>
              <w:t>Anti-Takeover Effects</w:t>
            </w: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4"/>
              </w:rPr>
              <w:t>engaging in a “business combination” with an</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7"/>
              </w:rPr>
              <w:t>“interested” stockholder for a period of three</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2"/>
              </w:rPr>
              <w:t>years after the date of the transaction in which</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3"/>
              </w:rPr>
              <w:t>the person became an interested stockholder,</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unless the business combination or the</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7"/>
              </w:rPr>
              <w:t>transaction by which the person became an</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interested stockholder is approved in a</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3"/>
              </w:rPr>
              <w:t>prescribed manner. A “business combination”</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0"/>
              </w:rPr>
              <w:t>includes certain mergers, asset sales and other</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5"/>
              </w:rPr>
              <w:t>transactions resulting in a financial benefit to</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the interested stockholder. Subject to</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9"/>
              </w:rPr>
              <w:t>exceptions, an “interested” stockholder is a</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person who, alone or together with his</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5"/>
              </w:rPr>
              <w:t>affiliates and associates, owns 15 percent or</w:t>
            </w:r>
          </w:p>
        </w:tc>
      </w:tr>
      <w:tr>
        <w:trPr>
          <w:trHeight w:val="230"/>
        </w:trPr>
        <w:tc>
          <w:tcPr>
            <w:tcW w:w="3280" w:type="dxa"/>
            <w:vAlign w:val="bottom"/>
          </w:tcPr>
          <w:p>
            <w:pPr>
              <w:spacing w:after="0"/>
              <w:rPr>
                <w:sz w:val="20"/>
                <w:szCs w:val="20"/>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more of the corporation’s voting stock.</w:t>
            </w:r>
          </w:p>
        </w:tc>
      </w:tr>
      <w:tr>
        <w:trPr>
          <w:trHeight w:val="323"/>
        </w:trPr>
        <w:tc>
          <w:tcPr>
            <w:tcW w:w="3280" w:type="dxa"/>
            <w:vAlign w:val="bottom"/>
          </w:tcPr>
          <w:p>
            <w:pPr>
              <w:spacing w:after="0"/>
              <w:rPr>
                <w:sz w:val="24"/>
                <w:szCs w:val="24"/>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The Arcturus-Delaware Certificate of</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Incorporation does not opt out of this</w:t>
            </w:r>
          </w:p>
        </w:tc>
      </w:tr>
      <w:tr>
        <w:trPr>
          <w:trHeight w:val="230"/>
        </w:trPr>
        <w:tc>
          <w:tcPr>
            <w:tcW w:w="3280" w:type="dxa"/>
            <w:vAlign w:val="bottom"/>
          </w:tcPr>
          <w:p>
            <w:pPr>
              <w:spacing w:after="0"/>
              <w:rPr>
                <w:sz w:val="20"/>
                <w:szCs w:val="20"/>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provision.</w:t>
            </w:r>
          </w:p>
        </w:tc>
      </w:tr>
      <w:tr>
        <w:trPr>
          <w:trHeight w:val="323"/>
        </w:trPr>
        <w:tc>
          <w:tcPr>
            <w:tcW w:w="3280" w:type="dxa"/>
            <w:vAlign w:val="bottom"/>
          </w:tcPr>
          <w:p>
            <w:pPr>
              <w:spacing w:after="0"/>
              <w:rPr>
                <w:sz w:val="20"/>
                <w:szCs w:val="20"/>
                <w:color w:val="auto"/>
              </w:rPr>
            </w:pPr>
            <w:r>
              <w:rPr>
                <w:rFonts w:ascii="Arial" w:cs="Arial" w:eastAsia="Arial" w:hAnsi="Arial"/>
                <w:sz w:val="18"/>
                <w:szCs w:val="18"/>
                <w:b w:val="1"/>
                <w:bCs w:val="1"/>
                <w:color w:val="auto"/>
              </w:rPr>
              <w:t>Approval of M&amp;A Transactions</w:t>
            </w: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8"/>
              </w:rPr>
              <w:t>The DGCL generally requires that a merger</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2"/>
              </w:rPr>
              <w:t>and consolidation, or sale, lease, or exchange</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of all or substantially all of a corporation’s</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5"/>
              </w:rPr>
              <w:t>assets be approved by the board of directors</w:t>
            </w:r>
          </w:p>
        </w:tc>
      </w:tr>
      <w:tr>
        <w:trPr>
          <w:trHeight w:val="230"/>
        </w:trPr>
        <w:tc>
          <w:tcPr>
            <w:tcW w:w="3280" w:type="dxa"/>
            <w:vAlign w:val="bottom"/>
          </w:tcPr>
          <w:p>
            <w:pPr>
              <w:spacing w:after="0"/>
              <w:rPr>
                <w:sz w:val="20"/>
                <w:szCs w:val="20"/>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5"/>
              </w:rPr>
              <w:t>and by the stockholders in a simple majority.</w:t>
            </w:r>
          </w:p>
        </w:tc>
      </w:tr>
      <w:tr>
        <w:trPr>
          <w:trHeight w:val="323"/>
        </w:trPr>
        <w:tc>
          <w:tcPr>
            <w:tcW w:w="3280" w:type="dxa"/>
            <w:vAlign w:val="bottom"/>
          </w:tcPr>
          <w:p>
            <w:pPr>
              <w:spacing w:after="0"/>
              <w:rPr>
                <w:sz w:val="24"/>
                <w:szCs w:val="24"/>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Under the DGCL, unless required by its</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certificate of incorporation, a surviving</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corporation need not obtain stockholder</w:t>
            </w:r>
          </w:p>
        </w:tc>
      </w:tr>
      <w:tr>
        <w:trPr>
          <w:trHeight w:val="230"/>
        </w:trPr>
        <w:tc>
          <w:tcPr>
            <w:tcW w:w="3280" w:type="dxa"/>
            <w:vAlign w:val="bottom"/>
          </w:tcPr>
          <w:p>
            <w:pPr>
              <w:spacing w:after="0"/>
              <w:rPr>
                <w:sz w:val="20"/>
                <w:szCs w:val="20"/>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approval for a merger if:</w:t>
            </w:r>
          </w:p>
        </w:tc>
      </w:tr>
      <w:tr>
        <w:trPr>
          <w:trHeight w:val="323"/>
        </w:trPr>
        <w:tc>
          <w:tcPr>
            <w:tcW w:w="3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w w:val="97"/>
              </w:rPr>
              <w:t>•  each share of the surviving corporation’s</w:t>
            </w:r>
          </w:p>
        </w:tc>
      </w:tr>
      <w:tr>
        <w:trPr>
          <w:trHeight w:val="216"/>
        </w:trPr>
        <w:tc>
          <w:tcPr>
            <w:tcW w:w="3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stock outstanding prior to the merger</w:t>
            </w:r>
          </w:p>
        </w:tc>
      </w:tr>
      <w:tr>
        <w:trPr>
          <w:trHeight w:val="216"/>
        </w:trPr>
        <w:tc>
          <w:tcPr>
            <w:tcW w:w="3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remains outstanding in identical form</w:t>
            </w:r>
          </w:p>
        </w:tc>
      </w:tr>
      <w:tr>
        <w:trPr>
          <w:trHeight w:val="230"/>
        </w:trPr>
        <w:tc>
          <w:tcPr>
            <w:tcW w:w="3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after the merger;</w:t>
            </w:r>
          </w:p>
        </w:tc>
      </w:tr>
      <w:tr>
        <w:trPr>
          <w:trHeight w:val="323"/>
        </w:trPr>
        <w:tc>
          <w:tcPr>
            <w:tcW w:w="3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w w:val="92"/>
              </w:rPr>
              <w:t>•  such merger agreement does not amend in</w:t>
            </w:r>
          </w:p>
        </w:tc>
      </w:tr>
      <w:tr>
        <w:trPr>
          <w:trHeight w:val="216"/>
        </w:trPr>
        <w:tc>
          <w:tcPr>
            <w:tcW w:w="3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w w:val="90"/>
              </w:rPr>
              <w:t>any respect the certificate of incorporation</w:t>
            </w:r>
          </w:p>
        </w:tc>
      </w:tr>
      <w:tr>
        <w:trPr>
          <w:trHeight w:val="230"/>
        </w:trPr>
        <w:tc>
          <w:tcPr>
            <w:tcW w:w="3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of</w:t>
            </w:r>
          </w:p>
        </w:tc>
      </w:tr>
      <w:tr>
        <w:trPr>
          <w:trHeight w:val="378"/>
        </w:trPr>
        <w:tc>
          <w:tcPr>
            <w:tcW w:w="3280" w:type="dxa"/>
            <w:vAlign w:val="bottom"/>
          </w:tcPr>
          <w:p>
            <w:pPr>
              <w:spacing w:after="0"/>
              <w:rPr>
                <w:sz w:val="24"/>
                <w:szCs w:val="24"/>
                <w:color w:val="auto"/>
              </w:rPr>
            </w:pPr>
          </w:p>
        </w:tc>
        <w:tc>
          <w:tcPr>
            <w:tcW w:w="4240" w:type="dxa"/>
            <w:vAlign w:val="bottom"/>
            <w:gridSpan w:val="2"/>
          </w:tcPr>
          <w:p>
            <w:pPr>
              <w:ind w:left="2140"/>
              <w:spacing w:after="0"/>
              <w:rPr>
                <w:sz w:val="20"/>
                <w:szCs w:val="20"/>
                <w:color w:val="auto"/>
              </w:rPr>
            </w:pPr>
            <w:r>
              <w:rPr>
                <w:rFonts w:ascii="Arial" w:cs="Arial" w:eastAsia="Arial" w:hAnsi="Arial"/>
                <w:sz w:val="18"/>
                <w:szCs w:val="18"/>
                <w:color w:val="auto"/>
              </w:rPr>
              <w:t>91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9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Under the Israeli Companies Law, the acquisition of shares in a public company whereby the acquiring person would obtain a controlling interest (an interest of 25% or more) is not permitted if the company does not already have a shareholder that has a controlling interest, and an acquisition whereby the acquiring shareholder would thereafter hold more than 45% of the voting rights in the company is not permitted if there is no other 45% shareholder in the company, in each case, except by way of a tender offer in accordance with the provisions of special tender offer. These anti-takeover limitations do not apply to a purchase of shares by way of a private placement in certain circumstances provided under the Israeli Companies Law.</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Under the Israeli Companies Law, a merger is generally required to be approved by the shareholders and board of directors of each of the merging companies.</w:t>
      </w:r>
    </w:p>
    <w:p>
      <w:pPr>
        <w:spacing w:after="0" w:line="6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merger will not be approved if it is objected to by shareholders holding a majority of the voting rights participating and voting at the meeting, after excluding the shares held by the other party to the merger, by any person who holds 25% or more of the other party to the merger or any other person on behalf of such other party and by the relatives of and corporations controlled by these persons. Upon the request of a creditor of either party to the proposed merger, the court may delay or prevent the merger if it concludes that there exists a</w:t>
      </w:r>
    </w:p>
    <w:p>
      <w:pPr>
        <w:sectPr>
          <w:pgSz w:w="11900" w:h="16838" w:orient="portrait"/>
          <w:cols w:equalWidth="0" w:num="2">
            <w:col w:w="7720" w:space="200"/>
            <w:col w:w="330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surviving corporation; and</w:t>
            </w:r>
          </w:p>
        </w:tc>
      </w:tr>
      <w:tr>
        <w:trPr>
          <w:trHeight w:val="302"/>
        </w:trPr>
        <w:tc>
          <w:tcPr>
            <w:tcW w:w="4100" w:type="dxa"/>
            <w:vAlign w:val="bottom"/>
          </w:tcPr>
          <w:p>
            <w:pPr>
              <w:spacing w:after="0"/>
              <w:rPr>
                <w:sz w:val="24"/>
                <w:szCs w:val="24"/>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w w:val="98"/>
              </w:rPr>
              <w:t>•  either no shares of common stock of the</w:t>
            </w:r>
          </w:p>
        </w:tc>
      </w:tr>
      <w:tr>
        <w:trPr>
          <w:trHeight w:val="216"/>
        </w:trPr>
        <w:tc>
          <w:tcPr>
            <w:tcW w:w="410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w w:val="94"/>
              </w:rPr>
              <w:t>surviving corporation are to be issued or</w:t>
            </w:r>
          </w:p>
        </w:tc>
      </w:tr>
      <w:tr>
        <w:trPr>
          <w:trHeight w:val="216"/>
        </w:trPr>
        <w:tc>
          <w:tcPr>
            <w:tcW w:w="410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delivered in the merger or, if common</w:t>
            </w:r>
          </w:p>
        </w:tc>
      </w:tr>
      <w:tr>
        <w:trPr>
          <w:trHeight w:val="216"/>
        </w:trPr>
        <w:tc>
          <w:tcPr>
            <w:tcW w:w="410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stock will be issued or delivered, the</w:t>
            </w:r>
          </w:p>
        </w:tc>
      </w:tr>
      <w:tr>
        <w:trPr>
          <w:trHeight w:val="216"/>
        </w:trPr>
        <w:tc>
          <w:tcPr>
            <w:tcW w:w="410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w w:val="89"/>
              </w:rPr>
              <w:t>number of shares of common stock issued</w:t>
            </w:r>
          </w:p>
        </w:tc>
      </w:tr>
      <w:tr>
        <w:trPr>
          <w:trHeight w:val="216"/>
        </w:trPr>
        <w:tc>
          <w:tcPr>
            <w:tcW w:w="410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will not exceed 20% of the shares of</w:t>
            </w:r>
          </w:p>
        </w:tc>
      </w:tr>
      <w:tr>
        <w:trPr>
          <w:trHeight w:val="216"/>
        </w:trPr>
        <w:tc>
          <w:tcPr>
            <w:tcW w:w="410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w w:val="99"/>
              </w:rPr>
              <w:t>common stock outstanding prior to the</w:t>
            </w:r>
          </w:p>
        </w:tc>
      </w:tr>
      <w:tr>
        <w:trPr>
          <w:trHeight w:val="230"/>
        </w:trPr>
        <w:tc>
          <w:tcPr>
            <w:tcW w:w="4100" w:type="dxa"/>
            <w:vAlign w:val="bottom"/>
          </w:tcPr>
          <w:p>
            <w:pPr>
              <w:spacing w:after="0"/>
              <w:rPr>
                <w:sz w:val="20"/>
                <w:szCs w:val="20"/>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merger.</w:t>
            </w:r>
          </w:p>
        </w:tc>
      </w:tr>
      <w:tr>
        <w:trPr>
          <w:trHeight w:val="837"/>
        </w:trPr>
        <w:tc>
          <w:tcPr>
            <w:tcW w:w="410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Arcturus-Delaware Certificate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Incorporation does not specifically require this</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provision.</w:t>
            </w:r>
          </w:p>
        </w:tc>
      </w:tr>
      <w:tr>
        <w:trPr>
          <w:trHeight w:val="310"/>
        </w:trPr>
        <w:tc>
          <w:tcPr>
            <w:tcW w:w="4100" w:type="dxa"/>
            <w:vAlign w:val="bottom"/>
          </w:tcPr>
          <w:p>
            <w:pPr>
              <w:spacing w:after="0"/>
              <w:rPr>
                <w:sz w:val="20"/>
                <w:szCs w:val="20"/>
                <w:color w:val="auto"/>
              </w:rPr>
            </w:pPr>
            <w:r>
              <w:rPr>
                <w:rFonts w:ascii="Arial" w:cs="Arial" w:eastAsia="Arial" w:hAnsi="Arial"/>
                <w:sz w:val="18"/>
                <w:szCs w:val="18"/>
                <w:b w:val="1"/>
                <w:bCs w:val="1"/>
                <w:color w:val="auto"/>
              </w:rPr>
              <w:t>Internal Auditor</w:t>
            </w:r>
          </w:p>
        </w:tc>
        <w:tc>
          <w:tcPr>
            <w:tcW w:w="3420" w:type="dxa"/>
            <w:vAlign w:val="bottom"/>
          </w:tcPr>
          <w:p>
            <w:pPr>
              <w:spacing w:after="0"/>
              <w:rPr>
                <w:sz w:val="20"/>
                <w:szCs w:val="20"/>
                <w:color w:val="auto"/>
              </w:rPr>
            </w:pPr>
            <w:r>
              <w:rPr>
                <w:rFonts w:ascii="Arial" w:cs="Arial" w:eastAsia="Arial" w:hAnsi="Arial"/>
                <w:sz w:val="18"/>
                <w:szCs w:val="18"/>
                <w:color w:val="auto"/>
                <w:w w:val="92"/>
              </w:rPr>
              <w:t>There is no requirement under the DGCL for a</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corporation to appoint an Internal Auditor.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Dissenters’ or Appraisal Rights</w:t>
      </w:r>
      <w:r>
        <w:rPr>
          <w:sz w:val="20"/>
          <w:szCs w:val="20"/>
          <w:color w:val="auto"/>
        </w:rPr>
        <w:tab/>
      </w:r>
      <w:r>
        <w:rPr>
          <w:rFonts w:ascii="Arial" w:cs="Arial" w:eastAsia="Arial" w:hAnsi="Arial"/>
          <w:sz w:val="16"/>
          <w:szCs w:val="16"/>
          <w:color w:val="auto"/>
        </w:rPr>
        <w:t>Under the DGCL, stockholders have the right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to dissent from any plan of merger 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consolidation to which the corporation is a</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party, and to demand payment for the fair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value of their shares as determined in action</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brought before the Delaware Court of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Chancery. However, unless the certificate of</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incorporation otherwise provides, the DGCL</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states that stockholders do not have a right to</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dissent from any plan of merger 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consolidation with respect to shares:</w:t>
      </w:r>
    </w:p>
    <w:p>
      <w:pPr>
        <w:spacing w:after="0" w:line="200" w:lineRule="exact"/>
        <w:rPr>
          <w:sz w:val="20"/>
          <w:szCs w:val="20"/>
          <w:color w:val="auto"/>
        </w:rPr>
      </w:pP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reasonable concern that, as a result of the merger, the surviving company will be unable to satisfy the obligations of any of the parties of the merger. In addition, a merger can be completed only after all approvals have been submitted to the Israeli Registrar of Companies, or the Registrar, and 30 days have passed from the time that shareholder resolutions were adopted in each of the merging companies and 50 days have passed from the time that a proposal for approval of the merger was filed with the Registrar.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According to the Israeli Companies Law, the board of directors of a public company shall appoint an Internal Auditor who shall be appointed at the proposal of the audit committee. The Internal Auditor shall examine, inter alia, whether the company’s acts are correct in terms of compliance with the law and of orderly business practice.</w:t>
      </w:r>
    </w:p>
    <w:p>
      <w:pPr>
        <w:spacing w:after="0" w:line="5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person wishing to acquire shares of an Israeli public company and who would as a result hold over 90% of the target company’s issued and outstanding share capital is required by the Israeli Companies Law to make a tender offer for the purchase of all of the issued and outstanding shares of the company. Shareholders may request an appraisal in connection with such a tender offer for a period of six months following the consummation of the tender offer, however the purchaser may stipulate that any tendering</w:t>
      </w:r>
    </w:p>
    <w:p>
      <w:pPr>
        <w:sectPr>
          <w:pgSz w:w="11900" w:h="16838" w:orient="portrait"/>
          <w:cols w:equalWidth="0" w:num="2">
            <w:col w:w="7720" w:space="200"/>
            <w:col w:w="328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3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5" w:lineRule="exact"/>
        <w:rPr>
          <w:sz w:val="20"/>
          <w:szCs w:val="20"/>
          <w:color w:val="auto"/>
        </w:rPr>
      </w:pPr>
    </w:p>
    <w:p>
      <w:pPr>
        <w:ind w:left="4380"/>
        <w:spacing w:after="0"/>
        <w:tabs>
          <w:tab w:leader="none" w:pos="4620" w:val="left"/>
        </w:tabs>
        <w:rPr>
          <w:sz w:val="20"/>
          <w:szCs w:val="20"/>
          <w:color w:val="auto"/>
        </w:rPr>
      </w:pPr>
      <w:r>
        <w:rPr>
          <w:rFonts w:ascii="Arial" w:cs="Arial" w:eastAsia="Arial" w:hAnsi="Arial"/>
          <w:sz w:val="16"/>
          <w:szCs w:val="16"/>
          <w:color w:val="auto"/>
        </w:rPr>
        <w:t>•</w:t>
        <w:tab/>
        <w:t>listed on a national securities exchange or</w:t>
      </w:r>
    </w:p>
    <w:p>
      <w:pPr>
        <w:spacing w:after="0" w:line="4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held of record by more than 2,000</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holders; and</w:t>
      </w:r>
    </w:p>
    <w:p>
      <w:pPr>
        <w:spacing w:after="0" w:line="116" w:lineRule="exact"/>
        <w:rPr>
          <w:sz w:val="20"/>
          <w:szCs w:val="20"/>
          <w:color w:val="auto"/>
        </w:rPr>
      </w:pPr>
    </w:p>
    <w:p>
      <w:pPr>
        <w:ind w:left="4380"/>
        <w:spacing w:after="0"/>
        <w:tabs>
          <w:tab w:leader="none" w:pos="4620" w:val="left"/>
        </w:tabs>
        <w:rPr>
          <w:sz w:val="20"/>
          <w:szCs w:val="20"/>
          <w:color w:val="auto"/>
        </w:rPr>
      </w:pPr>
      <w:r>
        <w:rPr>
          <w:rFonts w:ascii="Arial" w:cs="Arial" w:eastAsia="Arial" w:hAnsi="Arial"/>
          <w:sz w:val="17"/>
          <w:szCs w:val="17"/>
          <w:color w:val="auto"/>
        </w:rPr>
        <w:t>•</w:t>
        <w:tab/>
        <w:t>for which, pursuant to the plan of merger</w:t>
      </w:r>
    </w:p>
    <w:p>
      <w:pPr>
        <w:spacing w:after="0" w:line="35"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or consolidation, stockholders will receive</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only (1) shares or depository receipts of</w:t>
      </w:r>
    </w:p>
    <w:p>
      <w:pPr>
        <w:spacing w:after="0" w:line="21"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another corporation which at the effective</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date of the merger or consolidation will</w:t>
      </w:r>
    </w:p>
    <w:p>
      <w:pPr>
        <w:spacing w:after="0" w:line="21"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be either listed on a national securities</w:t>
      </w:r>
    </w:p>
    <w:p>
      <w:pPr>
        <w:spacing w:after="0" w:line="21"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exchange or held of record by more than</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2,000 holders, (2) shares of stock or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depositary receipts of the surviving</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corporation in the merger or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consolidation, (3) cash for fractional</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shares or (4) any combination of (1) – (3).</w:t>
      </w:r>
    </w:p>
    <w:p>
      <w:pPr>
        <w:spacing w:after="0" w:line="13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In addition, the DGCL provides that, unless the</w:t>
      </w:r>
    </w:p>
    <w:p>
      <w:pPr>
        <w:spacing w:after="0" w:line="46"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certificate of incorporation provides otherwise,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stockholders of a surviving corporation do not</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have the right to dissent from a plan of merger</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if the merger did not require for its approval</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vote of the stockholders.</w:t>
      </w:r>
    </w:p>
    <w:p>
      <w:pPr>
        <w:spacing w:after="0" w:line="1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DGCL also provides that all appraisal</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actions with respect to shares that were listed</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on a national securities exchange immediately</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before the merger shall be dismissed by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Delaware Court of Chancery unless (1)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total number of shares entitled to appraisal</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exceeds 1% of the outstanding shares of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class or series eligible for appraisal, (2)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value of the consideration provided in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merger for such total number of shares exceeds</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 million or (3) the merger was approved</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without a stockholder vote pursuant to</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Sections 253 or 267 of the DGCL.</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shareholder surrender its appraisal rights.</w:t>
      </w:r>
    </w:p>
    <w:p>
      <w:pPr>
        <w:sectPr>
          <w:pgSz w:w="11900" w:h="16838" w:orient="portrait"/>
          <w:cols w:equalWidth="0" w:num="2">
            <w:col w:w="7720" w:space="200"/>
            <w:col w:w="2980"/>
          </w:cols>
          <w:pgMar w:left="240" w:top="459" w:right="7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SPECIAL MEETING</w:t>
      </w:r>
    </w:p>
    <w:p>
      <w:pPr>
        <w:spacing w:after="0" w:line="229"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are furnishing this proxy statement/prospectus to the holders of our ordinary shares in connection with the solicitation of proxies by Arcturus-Israel’s board of directors for use at a Special Meeting to consider the Scheme of Arrangement.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Special Meeting will be conducted in accordance with the directions of the Israel Court and the Israeli Law.</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Time, Place and Date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Special Meeting will be held on May 17, 2019 at 8:00 a.m. Pacific time at the offices of Dentons US LLP, our outside counsel, at</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4655 Executive Drive, Suite 700, San Diego, CA 92121.</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Purpose of the Special Meeting</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At the meeting, Arcturus-Israel’s board of directors will ask the ordinary shareholders in the capital of Arcturus-Israel to vote to approve the Scheme of Arrangement. If the Scheme of Arrangement is approved and becomes effective, it will effect the Transaction, pursuant to which your ordinary shares of Arcturus-Israel will be transferred to Arcturus-Delaware and you will receive, on a one-for-one basis, new shares of common stock of Arcturus-Delaware for each ordinary share of Arcturus-Israel that has been transferred.</w:t>
      </w:r>
    </w:p>
    <w:p>
      <w:pPr>
        <w:spacing w:after="0" w:line="183" w:lineRule="exact"/>
        <w:rPr>
          <w:sz w:val="20"/>
          <w:szCs w:val="20"/>
          <w:color w:val="auto"/>
        </w:rPr>
      </w:pPr>
    </w:p>
    <w:p>
      <w:pPr>
        <w:ind w:left="200" w:right="220" w:firstLine="441"/>
        <w:spacing w:after="0" w:line="282" w:lineRule="auto"/>
        <w:rPr>
          <w:sz w:val="20"/>
          <w:szCs w:val="20"/>
          <w:color w:val="auto"/>
        </w:rPr>
      </w:pPr>
      <w:r>
        <w:rPr>
          <w:rFonts w:ascii="Arial" w:cs="Arial" w:eastAsia="Arial" w:hAnsi="Arial"/>
          <w:sz w:val="18"/>
          <w:szCs w:val="18"/>
          <w:b w:val="1"/>
          <w:bCs w:val="1"/>
          <w:color w:val="auto"/>
        </w:rPr>
        <w:t>Arcturus-Israel’s board of directors has unanimously approved the Scheme of Arrangement and recommends that you vote “FOR” the Arcturus Redomiciliation Proposal</w:t>
      </w:r>
      <w:r>
        <w:rPr>
          <w:rFonts w:ascii="Arial" w:cs="Arial" w:eastAsia="Arial" w:hAnsi="Arial"/>
          <w:sz w:val="18"/>
          <w:szCs w:val="18"/>
          <w:color w:val="auto"/>
        </w:rPr>
        <w: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Record Date; Voting Rights; Votes Required for Approval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April 8, 2019 has been fixed as the Record Date for the Special Meeting.</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Only holders of record of Arcturus-Israel ordinary shares on the Record Date are entitled to notice of and to vote at the meeting. You will not be the holder of record of shares that you hold “beneficially.” Instead, the depository (for example, Cede &amp; Co., as nominee for DTC) or other nominee will be the holder of record of such shares.</w:t>
      </w:r>
    </w:p>
    <w:p>
      <w:pPr>
        <w:spacing w:after="0" w:line="181"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On the Record Date, approximately 10,761,523 ordinary shares in the capital of Arcturus-Israel were outstanding and entitled to be voted at the meeting and we had 50 shareholders of record. A list of shareholders will be available for inspection at least ten days prior to the meeting at 10628 Science Center Drive, Suite 250, San Diego, CA 92121. Each Arcturus-Israel ordinary share entitle the holder to one vote.</w:t>
      </w:r>
    </w:p>
    <w:p>
      <w:pPr>
        <w:spacing w:after="0" w:line="166"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At the Special Meeting, the presence, in person or by proxy, of the Scheme Shareholders as of the Record Date holding at least two Scheme Shareholders holding at least one-third of the voting rights (including presence by means of proxy or through a voting deed) within an hour from the time specified for the opening of the Special Meeting constitutes a quorum for the conduct of business.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 Accordingly, it is important for beneficial owners to follow their broker’s instructions for providing voting instructions.</w:t>
      </w:r>
    </w:p>
    <w:p>
      <w:pPr>
        <w:spacing w:after="0" w:line="178"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Assuming the presence of a quorum, the affirmative vote of 75% of the issued Arcturus-Israel ordinary shares held by the Scheme Shareholders present and voting, either in person or by proxy, at the Special Meeting, is required for the approval of the Arcturus Redomiciliation Proposal.</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Pursuant to the directions of the Israel Court, for the purposes of determining the number of Scheme Shareholders present and voting at the Special Meeting, Arcturus-Israel ordinary shares that are deposited in book-entry form with DTC, and registered in the name of CEDE as nominee of DTC and holder of record in the Register of Members of Arcturus-Israel, will be treated as follows:</w:t>
      </w:r>
    </w:p>
    <w:p>
      <w:pPr>
        <w:spacing w:after="0" w:line="87" w:lineRule="exact"/>
        <w:rPr>
          <w:sz w:val="20"/>
          <w:szCs w:val="20"/>
          <w:color w:val="auto"/>
        </w:rPr>
      </w:pPr>
    </w:p>
    <w:p>
      <w:pPr>
        <w:ind w:left="1060" w:hanging="316"/>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CEDE shall be deemed not to be a shareholder of Arcturus-Israel; and</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sub-depositor shall be deemed to be a Arcturus-Israel shareholder in respect of such number of Arcturus-Israel ordinary shares held in its account under CEDE.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sub-depositor need not vote the Arcturus-Israel ordinary shares registered in its name in the same way. Accordingly, a sub-depositor may:</w:t>
      </w:r>
    </w:p>
    <w:p>
      <w:pPr>
        <w:spacing w:after="0" w:line="154" w:lineRule="exact"/>
        <w:rPr>
          <w:sz w:val="20"/>
          <w:szCs w:val="20"/>
          <w:color w:val="auto"/>
        </w:rPr>
      </w:pPr>
    </w:p>
    <w:p>
      <w:pPr>
        <w:ind w:left="1060" w:right="760" w:hanging="316"/>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vote all or part of its Arcturus-Israel ordinary shares “FOR” the Arcturus Redomiciliation Proposal, which part shall be counted as approving the Arcturus Redomiciliation Proposal;</w:t>
      </w:r>
    </w:p>
    <w:p>
      <w:pPr>
        <w:spacing w:after="0" w:line="75"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vote all or part of its Arcturus-Israel ordinary shares “AGAINST” the Arcturus Redomiciliation Proposal, which part shall be counted as against approving the Arcturus Redomiciliation Proposal; and/or</w:t>
      </w:r>
    </w:p>
    <w:p>
      <w:pPr>
        <w:spacing w:after="0" w:line="75" w:lineRule="exact"/>
        <w:rPr>
          <w:rFonts w:ascii="Arial" w:cs="Arial" w:eastAsia="Arial" w:hAnsi="Arial"/>
          <w:sz w:val="18"/>
          <w:szCs w:val="18"/>
          <w:color w:val="auto"/>
        </w:rPr>
      </w:pPr>
    </w:p>
    <w:p>
      <w:pPr>
        <w:ind w:left="1060" w:right="660" w:hanging="316"/>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abstain from voting in respect of all or part of its Arcturus-Israel ordinary shares, which part shall not be counted in determining the Arcturus-Israel ordinary shares which are present and voting on the Arcturus Redomiciliation Proposal.</w:t>
      </w:r>
    </w:p>
    <w:p>
      <w:pPr>
        <w:spacing w:after="0" w:line="170"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For purposes of determining whether the Arcturus Redomiciliation Proposal is approved by a majority in number of Scheme Shareholders, if the number of Arcturus-Israel ordinary shares voted “FOR” the Arcturus Redomiciliation Proposal by a sub-depositor exceeds the number of Arcturus-Israel ordinary shares voted “AGAINST” the Arcturus Redomiciliation Proposal by it, such sub-depositor will be taken to have voted “FOR” the Arcturus Redomiciliation Proposal, or if the number of Arcturus-Israel ordinary shares voted “AGAINST” the Arcturus Redomiciliation Proposal by a sub-depositor exceeds the number of Arcturus-Israel ordinary shares voted “FOR” the Arcturus Redomiciliation Proposal by it, such sub-depositor will be taken to have voted “AGAINST” the Arcturus Redomiciliation Proposal.</w:t>
      </w:r>
    </w:p>
    <w:p>
      <w:pPr>
        <w:spacing w:after="0" w:line="178"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For the avoidance of doubt, a holder of Arcturus-Israel ordinary shares who is not a sub-depositor may only vote the Arcturus-Israel ordinary shares registered in its name in the same way, and must vote all or part of its Arcturus-Israel ordinary shares either “FOR” or “AGAINST” the Arcturus Redomiciliation Proposal, and not a mixture of both.</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holder of Arcturus-Israel ordinary shares (including a sub-depositor) voting by proxy shall be included in the count of Arcturus-Israel shareholders present and voting at the Special Meeting as if that Arcturus-Israel shareholder was voting in person, such that the votes of a proxy who has been appointed to represent more than one Arcturus-Israel shareholder at the Special Meeting shall be counted as the votes of such number of appointing Arcturus-Israel shareholders.</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Each holder of Arcturus-Israel ordinary shares represented in person or by proxy at the Special Meeting is entitled to one vote per Arcturus-Israel ordinary share owned as of the Record Date.</w:t>
      </w:r>
    </w:p>
    <w:p>
      <w:pPr>
        <w:spacing w:after="0" w:line="170"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Holders of Arcturus-Israel ordinary shares may file an objection with the Israel Court against the approval of the Scheme of Arrangement, but no appraisal or dissenting rights are available to such holders in connection with a scheme of arrangement effected under Israel law.</w:t>
      </w:r>
    </w:p>
    <w:p>
      <w:pPr>
        <w:spacing w:after="0" w:line="147"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Our directors and executive officers have indicated that they intend to vote their Arcturus-Israel ordinary shares in favor of the Arcturus Redomiciliation Proposal. On the Record Date, our current directors and executive officers and their affiliates beneficially owned 2,623,271 Arcturus-Israel ordinary shares, which is approximately 24.1% in the aggregate of the outstanding Arcturus-Israel shares.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Proxies</w:t>
      </w:r>
    </w:p>
    <w:p>
      <w:pPr>
        <w:spacing w:after="0" w:line="121"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A proxy card is being sent to each Arcturus-Israel ordinary shareholder of record as of the record date. If you properly received a proxy card, you may grant a proxy to vote on the Arcturus Redomiciliation Proposal presented in one of the two ways which are explained below under “How You Can Vote.”</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If you properly complete, sign and date the enclosed proxy card and timely send it to us or timely properly appoint your proxy over the Internet or by telephone, your proxy holder (one of the individuals named on the enclosed proxy card) will vote your Arcturus-Israel ordinary shares as you have directed.</w:t>
      </w:r>
    </w:p>
    <w:p>
      <w:pPr>
        <w:spacing w:after="0" w:line="177" w:lineRule="exact"/>
        <w:rPr>
          <w:sz w:val="20"/>
          <w:szCs w:val="20"/>
          <w:color w:val="auto"/>
        </w:rPr>
      </w:pPr>
    </w:p>
    <w:p>
      <w:pPr>
        <w:ind w:left="200" w:right="80" w:firstLine="441"/>
        <w:spacing w:after="0" w:line="266" w:lineRule="auto"/>
        <w:rPr>
          <w:sz w:val="20"/>
          <w:szCs w:val="20"/>
          <w:color w:val="auto"/>
        </w:rPr>
      </w:pPr>
      <w:r>
        <w:rPr>
          <w:rFonts w:ascii="Arial" w:cs="Arial" w:eastAsia="Arial" w:hAnsi="Arial"/>
          <w:sz w:val="18"/>
          <w:szCs w:val="18"/>
          <w:b w:val="1"/>
          <w:bCs w:val="1"/>
          <w:color w:val="auto"/>
        </w:rPr>
        <w:t>If you do not specify on the enclosed proxy card that is submitted (or when appointing your proxy over the Internet or by telephone) how you want to vote your Arcturus-Israel ordinary shares, the proxy holders will vote them “FOR” the Arcturus Redomiciliation Proposal set forth in this proxy statement/prospectus</w:t>
      </w:r>
      <w:r>
        <w:rPr>
          <w:rFonts w:ascii="Arial" w:cs="Arial" w:eastAsia="Arial" w:hAnsi="Arial"/>
          <w:sz w:val="18"/>
          <w:szCs w:val="18"/>
          <w:color w:val="auto"/>
        </w:rPr>
        <w:t>.</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may abstain on the Arcturus Redomiciliation Proposal by marking “ABSTAIN.”</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An abstention or broker non-vote on the proposal to approve the Scheme of Arrangement has the effect of a vote not being cast with respect to the relevant shares. As a consequence, such shares will not be considered when determining whether the Arcturus Redomiciliation Proposal has received the required shareholder approval.</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You may revoke your proxy at any time </w:t>
      </w:r>
      <w:r>
        <w:rPr>
          <w:rFonts w:ascii="Arial" w:cs="Arial" w:eastAsia="Arial" w:hAnsi="Arial"/>
          <w:sz w:val="18"/>
          <w:szCs w:val="18"/>
          <w:b w:val="1"/>
          <w:bCs w:val="1"/>
          <w:color w:val="auto"/>
        </w:rPr>
        <w:t>before it is exercised at the Special Meeting</w:t>
      </w:r>
      <w:r>
        <w:rPr>
          <w:rFonts w:ascii="Arial" w:cs="Arial" w:eastAsia="Arial" w:hAnsi="Arial"/>
          <w:sz w:val="18"/>
          <w:szCs w:val="18"/>
          <w:color w:val="auto"/>
        </w:rPr>
        <w:t xml:space="preserve"> in any of the following ways:</w:t>
      </w:r>
    </w:p>
    <w:p>
      <w:pPr>
        <w:spacing w:after="0" w:line="135" w:lineRule="exact"/>
        <w:rPr>
          <w:sz w:val="20"/>
          <w:szCs w:val="20"/>
          <w:color w:val="auto"/>
        </w:rPr>
      </w:pPr>
    </w:p>
    <w:p>
      <w:pPr>
        <w:ind w:left="1060" w:right="160" w:hanging="316"/>
        <w:spacing w:after="0" w:line="27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notifying Arcturus-Israel’s Secretary in writing at: 10628 Science Center Drive, Suite 250, San Diego, CA 92121, which notice must be received no later than 8:00 a.m. Pacific time on May 17, 2019;</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by submitting another properly signed proxy card with a later date or another Internet or telephone proxy at a later date, which proxy must</w:t>
      </w:r>
    </w:p>
    <w:p>
      <w:pPr>
        <w:spacing w:after="0" w:line="46" w:lineRule="exact"/>
        <w:rPr>
          <w:sz w:val="20"/>
          <w:szCs w:val="20"/>
          <w:color w:val="auto"/>
        </w:rPr>
      </w:pPr>
    </w:p>
    <w:tbl>
      <w:tblPr>
        <w:tblLayout w:type="fixed"/>
        <w:tblInd w:w="106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w w:val="99"/>
              </w:rPr>
              <w:t>be received no later than 8:00 a.m. Pacific time on</w:t>
            </w:r>
          </w:p>
        </w:tc>
        <w:tc>
          <w:tcPr>
            <w:tcW w:w="1080" w:type="dxa"/>
            <w:vAlign w:val="bottom"/>
          </w:tcPr>
          <w:p>
            <w:pPr>
              <w:ind w:left="380"/>
              <w:spacing w:after="0"/>
              <w:rPr>
                <w:sz w:val="20"/>
                <w:szCs w:val="20"/>
                <w:color w:val="auto"/>
              </w:rPr>
            </w:pPr>
            <w:r>
              <w:rPr>
                <w:rFonts w:ascii="Arial" w:cs="Arial" w:eastAsia="Arial" w:hAnsi="Arial"/>
                <w:sz w:val="18"/>
                <w:szCs w:val="18"/>
                <w:color w:val="auto"/>
                <w:w w:val="89"/>
              </w:rPr>
              <w:t>, 2019; or</w:t>
            </w:r>
          </w:p>
        </w:tc>
      </w:tr>
    </w:tbl>
    <w:p>
      <w:pPr>
        <w:spacing w:after="0" w:line="93" w:lineRule="exact"/>
        <w:rPr>
          <w:sz w:val="20"/>
          <w:szCs w:val="20"/>
          <w:color w:val="auto"/>
        </w:rPr>
      </w:pPr>
    </w:p>
    <w:p>
      <w:pPr>
        <w:ind w:left="1060" w:hanging="316"/>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voting in person at the Special Meeting.</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Your proxy will not be revoked merely by attending the Special Meeting. To revoke a proxy, you must take one of the actions described above. If you hold your shares in the name of a broker, custodian or depository, you should follow the instructions provided by your broker in revoking your previously granted instructions.</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you do not appoint a proxy and you do not vote at the Special Meeting, you will still be bound by the outcome. You are therefore strongly urged to attend and vote at the meeting in person or by proxy.</w:t>
      </w:r>
    </w:p>
    <w:p>
      <w:pPr>
        <w:spacing w:after="0" w:line="17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 accompanying proxy is being solicited on behalf of the board of directors of Arcturus-Israel. We will also reimburse brokers for their reasonable out-of-pocket expenses for forwarding proxy materials to beneficial owners or other persons for whom they hold Arcturus-Israel ordinary shares. The directors, officers and employees of Arcturus-Israel may also solicit proxies by personal interview, mail, email, telephone, facsimile or other means of communication. These persons will not be paid additional remuneration for their efforts. Subject to applicable law, Arcturus-Israel may also reimburse brokerage houses and other custodians, nominees, and fiduciaries for their expenses for forwarding proxy materials to the beneficial owners of Arcturus-Israel ordinary shares and in obtaining voting instructions from such beneficial owners. The extent to which this will be necessary depends upon how promptly proxies are returned. We urge you to send in your proxy without delay.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You Can Vote</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If you are a Scheme Shareholder who is a Registered Holder, you can vote your Arcturus-Israel ordinary shares directly by attending the Special Meeting and casting your vote in person or by completing and returning a</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proxy card, which when properly executed and received by Arcturus-Israel, will be voted at the Special Meeting in accordance with your instructions set forth in the proxy. Under Israel law, the Registered Holder may not vote their shares over the Internet and so must return a proxy card by mail or in person at the Special Meeting to vote their shares. If you are a Scheme Shareholder who is a DTC Participant, vote your shares through DTC’s procedures. Your shares must be voted no less than 24 hours prior to the meeting, or such longer time as may be specified by DTC or its participants. If you hold your ordinary shares in “street name,” please vote in accordance with the instructions provided by your broker. Most “street name” holders, or beneficial owners holding through a broker, may also vote by telephone or by Internet, in accordance with instructions provided by their broker. All shares entitled to vote and represented by properly completed proxies received prior to the Special Meeting and not revoked will be voted at the Special Meeting in accordance with your instructions. If you are a Scheme Shareholder who is a Registered Holder and you return a signed proxy card without indicating how your shares should be voted on a matter and do not revoke your proxy, the shares represented by your proxy will be voted as the Board recommends, and therefore, “FOR” the approval of the Arcturus Redomiciliation Proposal.</w:t>
      </w:r>
    </w:p>
    <w:p>
      <w:pPr>
        <w:spacing w:after="0" w:line="169"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Any Scheme Shareholder entitled to vote at the Special Meeting that has submitted a proxy has the right to revoke his or her proxy at any time prior to voting at the Special Meeting by (i) submitting a subsequently dated proxy, which, if not delivered in person at the meeting, must be received by us no less than 24 hours before the appointed time of the meeting or (ii) by attending the meeting and voting in person. You can submit your subsequently dated proxy to Arcturus-Israel at c/o Continental Stock Transfer &amp; Trust, 1 State Street, 30th Floor, New York, NY 10004-1561. Attendance at the Special Meeting will not, by itself, revoke your proxy; you must elect to vote in person at the Special Meeting in order to revoke or change your vote. If you are a Scheme Shareholder who is a DTC Participant and would like to change your voting instruction, you should follow DTC’s or the relevant participant’s procedures for changing your vote instructions. If you hold ordinary shares in “street name” through a broker and would like to change your vote instruction, you should follow the directions provided by your broker. Most brokers provide means by which “street name” holder may vote by telephone or by Internet, as well as by signing and returning voting instructions.</w:t>
      </w:r>
    </w:p>
    <w:p>
      <w:pPr>
        <w:spacing w:after="0" w:line="182"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If the Special Meeting is postponed or adjourned, as a Scheme Shareholder your proxy will remain valid and may be voted at the postponed or adjourned meeting. You will still be able to revoke your proxy until it is voted.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Proxies received at any time before the Special Meeting, and not revoked or superseded before being voted, will be voted at the Special Meeting.</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validly signed proxy will be voted in accordance with the specification.</w:t>
      </w:r>
    </w:p>
    <w:p>
      <w:pPr>
        <w:spacing w:after="0" w:line="211"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Subject to space availability, all Arcturus-Israel shareholders as of the Record Date, or their duly appointed proxies, may attend the Special Meeting. Since seating is limited, admission to the meeting will be on a first-come, first-served basis. Registration and seating will begin at 8:00 a.m. Pacific time on March 23, 2019. Each Arcturus-Israel shareholder, or their duly authorized representative, will be asked to present valid photo identification issued by a government agency, such as a driver’s license or passport and, if applicable, evidence of such person’s authorization to represent a Arcturus-Israel shareholder.</w:t>
      </w:r>
    </w:p>
    <w:p>
      <w:pPr>
        <w:spacing w:after="0" w:line="18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 xml:space="preserve">If your Arcturus-Israel ordinary shares are held in the name of a bank, broker, custodian, nominee or other holder of record and you plan to attend the Special Meeting, you must present proof of your beneficial ownership of Arcturus-Israel ordinary shares, such as a recent bank or brokerage account statement, together with a form of personal identification and proof of address to be admitted to the Special Meeting. If you would rather have an admission ticket, you can obtain one in advance by mailing a written request, </w:t>
      </w:r>
      <w:r>
        <w:rPr>
          <w:rFonts w:ascii="Arial" w:cs="Arial" w:eastAsia="Arial" w:hAnsi="Arial"/>
          <w:sz w:val="18"/>
          <w:szCs w:val="18"/>
          <w:b w:val="1"/>
          <w:bCs w:val="1"/>
          <w:color w:val="auto"/>
        </w:rPr>
        <w:t>along with proof of your beneficial ownership of Arcturus-Israel</w:t>
      </w:r>
      <w:r>
        <w:rPr>
          <w:rFonts w:ascii="Arial" w:cs="Arial" w:eastAsia="Arial" w:hAnsi="Arial"/>
          <w:sz w:val="18"/>
          <w:szCs w:val="18"/>
          <w:color w:val="auto"/>
        </w:rPr>
        <w:t xml:space="preserve"> </w:t>
      </w:r>
      <w:r>
        <w:rPr>
          <w:rFonts w:ascii="Arial" w:cs="Arial" w:eastAsia="Arial" w:hAnsi="Arial"/>
          <w:sz w:val="18"/>
          <w:szCs w:val="18"/>
          <w:b w:val="1"/>
          <w:bCs w:val="1"/>
          <w:color w:val="auto"/>
        </w:rPr>
        <w:t>ordinary shares</w:t>
      </w:r>
      <w:r>
        <w:rPr>
          <w:rFonts w:ascii="Arial" w:cs="Arial" w:eastAsia="Arial" w:hAnsi="Arial"/>
          <w:sz w:val="18"/>
          <w:szCs w:val="18"/>
          <w:color w:val="auto"/>
        </w:rPr>
        <w:t>, to:</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10628 Science Center Drive, Suite 250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U.S.A.</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24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Even if you establish proof of your beneficial ownership and/or have a valid admission ticket, you will not be entitled to vote at or otherwise participate in the meeting unless you are a Scheme Shareholder entitled to vote at the Special Meeting.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Validity</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accordance with Arcturus-Israel’s Articles of Association, Peter Farrell, Chairman of Arcturus-Israel’s board of directors will serve as the chairperson of the Special Meeting. If he is absent from the meeting after 15 minutes from the time specified for the meeting, the chairperson shall be elected by the special meeting. The Chairman of the Special Meeting will count the votes, determine the existence of a quorum, validity of proxies and ballots, and certify the results of the voting.</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60"/>
          </w:cols>
          <w:pgMar w:left="240" w:top="459" w:right="5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BUSINESS OF ARCTURUS THERAPEUTICS LTD.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Arcturus Therapeutics Ltd. (“we,” “us,” “Arcturus,” or the “Company”) is an RNA medicines company focused on significant opportunities in rare diseases with a current focus on liver and respiratory diseases. In addition to our internal mRNA platform, our proprietary lipid nanoparticle deliver system, LUNAR</w:t>
      </w:r>
      <w:r>
        <w:rPr>
          <w:rFonts w:ascii="Arial" w:cs="Arial" w:eastAsia="Arial" w:hAnsi="Arial"/>
          <w:sz w:val="13"/>
          <w:szCs w:val="13"/>
          <w:color w:val="auto"/>
        </w:rPr>
        <w:t>®</w:t>
      </w:r>
      <w:r>
        <w:rPr>
          <w:rFonts w:ascii="Arial" w:cs="Arial" w:eastAsia="Arial" w:hAnsi="Arial"/>
          <w:sz w:val="16"/>
          <w:szCs w:val="16"/>
          <w:color w:val="auto"/>
        </w:rPr>
        <w:t>, enables multiple nucleic acid medicines. The Company’s internet address is https://arcturusrx.com/. The Company was founded in 2013. On November 15, 2017, Alcobra Ltd. acquired Arcturus Therapeutics, Inc. (“Arcturus Inc.”) pursuant to a merger between the companies. Immediately after giving effect to the merger, on November 15, 2017, Alcobra Ltd. changed its name to Arcturus Therapeutics Ltd. On November 16, 2017, the Company commenced trading on the Nasdaq Global Market under the symbol “ARCT.” On February 11, 2019, we disclosed our intention to initiate a process to redomicile from an Israeli limited company to a U.S. corporation, as described more fully under “Redomiciliation,” below.</w:t>
      </w:r>
    </w:p>
    <w:p>
      <w:pPr>
        <w:spacing w:after="0" w:line="167"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The Company’s principal executive offices are located in San Diego, California. 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77" w:lineRule="exact"/>
        <w:rPr>
          <w:sz w:val="20"/>
          <w:szCs w:val="20"/>
          <w:color w:val="auto"/>
        </w:rPr>
      </w:pPr>
    </w:p>
    <w:p>
      <w:pPr>
        <w:ind w:left="1060" w:right="420" w:hanging="316"/>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have deep expertise in the discovery and development of RNA medicines, including key experience in the production of RNA drug substance and nanoparticle-formulated drug product.</w:t>
      </w:r>
    </w:p>
    <w:p>
      <w:pPr>
        <w:spacing w:after="0" w:line="75"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have a pipeline of seven drugs in late-stage discovery and early-stage development: two wholly-owned and five pharma partnered programs.</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have developed a novel lipid-mediated delivery technology platform called LUNAR</w:t>
      </w:r>
      <w:r>
        <w:rPr>
          <w:rFonts w:ascii="Arial" w:cs="Arial" w:eastAsia="Arial" w:hAnsi="Arial"/>
          <w:sz w:val="15"/>
          <w:szCs w:val="15"/>
          <w:color w:val="auto"/>
        </w:rPr>
        <w:t>®</w:t>
      </w:r>
      <w:r>
        <w:rPr>
          <w:rFonts w:ascii="Arial" w:cs="Arial" w:eastAsia="Arial" w:hAnsi="Arial"/>
          <w:sz w:val="18"/>
          <w:szCs w:val="18"/>
          <w:color w:val="auto"/>
        </w:rPr>
        <w:t xml:space="preserve"> which draws from a growing library of over 150 proprietary lipids intended to enable safer and more efficient delivery of RNA medicines.</w:t>
      </w:r>
    </w:p>
    <w:p>
      <w:pPr>
        <w:spacing w:after="0" w:line="75"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wholly-owned, LUNAR</w:t>
      </w:r>
      <w:r>
        <w:rPr>
          <w:rFonts w:ascii="Arial" w:cs="Arial" w:eastAsia="Arial" w:hAnsi="Arial"/>
          <w:sz w:val="15"/>
          <w:szCs w:val="15"/>
          <w:color w:val="auto"/>
        </w:rPr>
        <w:t>®</w:t>
      </w:r>
      <w:r>
        <w:rPr>
          <w:rFonts w:ascii="Arial" w:cs="Arial" w:eastAsia="Arial" w:hAnsi="Arial"/>
          <w:sz w:val="18"/>
          <w:szCs w:val="18"/>
          <w:color w:val="auto"/>
        </w:rPr>
        <w:t xml:space="preserve"> and nucleic acid technologies are covered by a patent portfolio of 152 patents and patent applications, issued in the United States, China, Europe, Japan and other countries.</w:t>
      </w:r>
    </w:p>
    <w:p>
      <w:pPr>
        <w:spacing w:after="0" w:line="170"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oligonucleotides—knockdown of genes overexpressed in disease; and (3) CRISPR, TALEN, zinc finger proteins, megatals and meganucleases—gene editing of errant genes.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Redomiciliation</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On February 11, 2019, we disclosed our intention to initiate a process to redomicile from an Israeli limited company to a U.S. corporation. The final form and timing of the redomiciliation has not yet been finalized and the redomiciliation is subject to the approval of our shareholders, Israeli court approval and approval by the U.S. Securities and Exchange Commission (the “SEC”) and the NASDAQ Stock Market LLC (“Nasdaq”), among other conditions precedent. On February 11, 2019, we filed an application with the Tel Aviv District Court to approve the convening of a general shareholders meeting of the Company for the approval of the redomiciliation pursuant to Sections 350 and 351 of the Israeli Companies Law (the “Companies Law”).</w:t>
      </w:r>
    </w:p>
    <w:p>
      <w:pPr>
        <w:spacing w:after="0" w:line="15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connection with the redomiciliation, the Company entered into a share exchange agreement between the Company and a special-purpose company, Arcturus Therapeutics Holdings Inc. (“NewCo”) (the “Share Exchange Agreement”) in connection with the contemplated redomiciling of the Company from Israel to</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Delaware (the “Redomiciliation”). Pursuant to the Share Exchange Agreement, and in order to effectuate the transactions contemplated by the Share Exchange Agreement, on February 11, 2019, the Company filed an application with the Tel Aviv District Court to approve the convening of a general shareholders meeting of the Company for the approval of the Redomiciliation pursuant to Sections 350 and 351 of the Companies Law, 1999-5759. The Share Exchange Agreement and the Redomiciliation are subject to shareholder approval as required by the Companies Law, Israeli court approval, effectiveness of filings to be made with the SEC, approval of the listing of shares of NewCo by the NASDAQ Stock Market LLC (“Nasdaq”) and the other conditions precedent set forth in the Share Exchange Agreement (the “Conditions Precedent”).</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furtherance of the Redomiciliation, the holders of ordinary shares of the Company as of a future record date and the holders of options to purchase ordinary shares of the Company as of the same record date will transfer their ordinary shares of the Company and options to purchase ordinary shares of the Company, respectively, to NewCo and, in exchange thereof, will receive one share of common stock of NewCo for each ordinary share of the Company and one option to purchase one share of common stock of NewCo in exchange for each option to purchase an ordinary share of the Company, respectively.</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Company intends the common stock of NewCo to be listed on NASDAQ. Upon consummation of the transactions contemplated by the Share Exchange Agreement, it is expected that the Company’s ordinary shares will be delisted from trading on NASDAQ, and the Company is expected to become a private company (as defined in the Companies Law) wholly-owned by NewCo.</w:t>
      </w:r>
    </w:p>
    <w:p>
      <w:pPr>
        <w:spacing w:after="0" w:line="18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Pursuant to the Share Exchange Agreement, the Company also agreed, subject to the Conditions Precedent set forth therein, to transfer all of the shares of Arcturus Therapeutics Inc. (“Arcturus Sub”), a wholly-owned subsidiary of the Company, to NewCo through a reduction of the Company’s equity and the distribution of a dividend-in-kind, such that Arcturus Sub and the Company shall each become a wholly-owned and direct subsidiary of NewCo.</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Ornithine Transcarbamylase (OTC) Deficiency Development Program</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On February 11, 2019, the Company announced the termination of the obligations of CureVac AG for the preclinical development of ARCT-810, effective 180 days from February 5, 2019 and the re-assumption by the Company of the worldwide rights thereto. Arcturus will reassume 100% global rights for its flagship asset, clinical development candidate ARCT-810, a messenger RNA (mRNA) drug to treat OTC deficiency. ARCT-810 was previously subject to a 50/50 collaboration between Arcturus and CureVac AG. CureVac elected not to continue its obligations for the development of ARCT-810 under and pursuant to the terms of the collaboration.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preclinical development program for ARCT-810, including Investigational New Drug Application (IND) enabling studies, remains on track.</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Arcturus is planning to file an IND for ARCT-810 with the U.S. Food and Drug Administration (FDA) in the fourth quarter of 2019.</w:t>
      </w:r>
    </w:p>
    <w:p>
      <w:pPr>
        <w:spacing w:after="0" w:line="21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Pursuant to the terms of the Co-Development Agreement, CureVac is obligated to continue to fund its share of the preclinical expenses for the OTC program until August 5, 2019.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Current Technologies and Limitations</w:t>
      </w:r>
    </w:p>
    <w:p>
      <w:pPr>
        <w:spacing w:after="0" w:line="12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Messenger RNA can be immunogenic. The current lipid nanoparticle technology used to deliver mRNA therapeutics are also limited by their propensity to cause immune responses. This decreases the tolerability of the medicine. These delivery systems are not biodegradable, which causes accumulation of these lipids in cells upon repeat dosing. Each of these aspects of current lipid nanoparticle delivery systems is expected to ultimately limit the utility and therapeutic reach of the RNA therapies they deliver.</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80"/>
          </w:cols>
          <w:pgMar w:left="24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Arcturus aims to mitigate the immune response and tolerability issues associated with the LNP mRNA delivery with the development of both less immunogenic mRNAs and biodegradable lipids. The Company has developed processes for the scale up of LNP-mRNA therapeutics to support clinical development.</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mRNA therapeutics offer an attractive promise that other RNA medicines cannot provide—to </w:t>
      </w:r>
      <w:r>
        <w:rPr>
          <w:rFonts w:ascii="Arial" w:cs="Arial" w:eastAsia="Arial" w:hAnsi="Arial"/>
          <w:sz w:val="18"/>
          <w:szCs w:val="18"/>
          <w:i w:val="1"/>
          <w:iCs w:val="1"/>
          <w:color w:val="auto"/>
        </w:rPr>
        <w:t>increase</w:t>
      </w:r>
      <w:r>
        <w:rPr>
          <w:rFonts w:ascii="Arial" w:cs="Arial" w:eastAsia="Arial" w:hAnsi="Arial"/>
          <w:sz w:val="18"/>
          <w:szCs w:val="18"/>
          <w:color w:val="auto"/>
        </w:rPr>
        <w:t xml:space="preserve"> the production of a protein in the body that is either defective or expressed at low levels to improve symptoms of a genetic disease without interacting with the patient’s genetic code. mRNA therapies have yet to be successful in delivering an approved therapy to patients because of the technical hurdles facing this therapeutic approach. These hurdles include:</w:t>
      </w:r>
    </w:p>
    <w:p>
      <w:pPr>
        <w:spacing w:after="0" w:line="92" w:lineRule="exact"/>
        <w:rPr>
          <w:sz w:val="20"/>
          <w:szCs w:val="20"/>
          <w:color w:val="auto"/>
        </w:rPr>
      </w:pPr>
    </w:p>
    <w:p>
      <w:pPr>
        <w:ind w:left="1060" w:hanging="316"/>
        <w:spacing w:after="0"/>
        <w:tabs>
          <w:tab w:leader="none" w:pos="10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delivery of an intact mRNA, which is much larger than other RNA drugs, to the target organ and cell type needed for a therapeutic effect;</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inefficient translation into the therapeutic protein;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short duration of effect of the mRNA medicine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tolerability issues associated with therapeutic RNAs.</w:t>
      </w:r>
    </w:p>
    <w:p>
      <w:pPr>
        <w:spacing w:after="0" w:line="22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Arcturus’ lipid-mediated delivery platform is designed to address many of the technical issues encountered to date for this very promising area of RNA medicines.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RNA Medicines, Markets and Arcturus’ Technology</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There is a significant, unmet medical need in the field of rare genetic diseases. The World Health Organization (WHO) estimates that 10,000 diseases are caused by an error, or mutation, in a single gene, and currently no FDA-approved drug exists for over 95% of known, rare genetic diseases. Moreover, these diseases affect one in a hundred people at birth, and 350 million people worldwide live with a rare genetic disease. Many of these diseases cause moderate to severe symptoms, significantly decreasing quality of life and life expectancy.</w:t>
      </w:r>
    </w:p>
    <w:p>
      <w:pPr>
        <w:spacing w:after="0" w:line="17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 xml:space="preserve">Nucleic acid medicines have the potential to treat diseases caused by genetic mutations, including diseases that cannot be treated by conventional drugs, such as small molecules and biologics. Some of these medicines function by providing the means for producing a deficient yet vital protein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vivo</w:t>
      </w:r>
      <w:r>
        <w:rPr>
          <w:rFonts w:ascii="Arial" w:cs="Arial" w:eastAsia="Arial" w:hAnsi="Arial"/>
          <w:sz w:val="18"/>
          <w:szCs w:val="18"/>
          <w:color w:val="auto"/>
        </w:rPr>
        <w:t>. Within a cell, DNA carries the blueprint, in the form of genes, from which all proteins necessary for life are encoded. Each gene has the code,</w:t>
      </w:r>
      <w:r>
        <w:rPr>
          <w:rFonts w:ascii="Arial" w:cs="Arial" w:eastAsia="Arial" w:hAnsi="Arial"/>
          <w:sz w:val="18"/>
          <w:szCs w:val="18"/>
          <w:i w:val="1"/>
          <w:iCs w:val="1"/>
          <w:color w:val="auto"/>
        </w:rPr>
        <w:t xml:space="preserve"> </w:t>
      </w:r>
      <w:r>
        <w:rPr>
          <w:rFonts w:ascii="Arial" w:cs="Arial" w:eastAsia="Arial" w:hAnsi="Arial"/>
          <w:sz w:val="18"/>
          <w:szCs w:val="18"/>
          <w:color w:val="auto"/>
        </w:rPr>
        <w:t>carried by a nucleic acid molecule called messenger RNA (“mRNA”), informing the cell’s machinery the pattern of building blocks for making one or more proteins needed for normal biological function.</w:t>
      </w:r>
    </w:p>
    <w:p>
      <w:pPr>
        <w:spacing w:after="0" w:line="18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Nucleic acid therapeutics represent a significant advancement in targeted medicines and several of this class of therapeutics are being developed by public and private companies. These therapies have three general objectives:</w:t>
      </w:r>
    </w:p>
    <w:p>
      <w:pPr>
        <w:spacing w:after="0" w:line="76" w:lineRule="exact"/>
        <w:rPr>
          <w:sz w:val="20"/>
          <w:szCs w:val="20"/>
          <w:color w:val="auto"/>
        </w:rPr>
      </w:pPr>
    </w:p>
    <w:p>
      <w:pPr>
        <w:ind w:left="1060" w:right="760" w:hanging="316"/>
        <w:spacing w:after="0" w:line="277"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reduce the amount of a target protein in a patient by binding to and destroying the associated target mRNA (antisense and small interfering RNA (siRNA));</w:t>
      </w:r>
    </w:p>
    <w:p>
      <w:pPr>
        <w:spacing w:after="0" w:line="75"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increase the amount of a functioning target protein by introducing a functional gene or mRNA that encodes for a protein that replaces a malfunctioning protein (mRNA therapy, CRISPR, gene therapy, replicon); and</w:t>
      </w:r>
    </w:p>
    <w:p>
      <w:pPr>
        <w:spacing w:after="0" w:line="75"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introduce proteins from viruses or malfunctioning proteins in certain cancers to train the immune system to recognize and clear these proteins (nucleic acid vaccines).</w:t>
      </w:r>
    </w:p>
    <w:p>
      <w:pPr>
        <w:spacing w:after="0" w:line="170"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siRNA therapies, double-stranded RNA compounds that activate machinery in the cell to destroy a target RNA in the body, are useful in treating diseases caused by viral infections, malfunctioning proteins or an excess of certain proteins that contribute to the severity of symptoms of a disease. siRNA compounds are designed to bind perfectly to one mRNA and trigger machinery in the body to cause the cell to destroy the disease-causing mRNA. This mechanism, called RNA interference (“RNAi”), can be used to prevent mutated genes from being translated into defective proteins that cause disease and can stop viruses from replicating inside the body.</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80"/>
          </w:cols>
          <w:pgMar w:left="24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Naked RNA and some DNA molecules are quickly degraded by enzymes in the bloodstream and can cause a strong immune response. Therefore, nucleic acid medicines (mRNA, DNA and siRNA) developed for systemic use must use a vector to deliver the nucleic acid medicine to target cells. Viral delivery vectors and lipid-mediated delivery systems are the two main delivery systems used in a large number of nucleic acid-based therapeutics in development.</w:t>
      </w:r>
    </w:p>
    <w:p>
      <w:pPr>
        <w:spacing w:after="0" w:line="18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Viral delivery vectors are very effective at delivering DNA to alter the genetic make-up of the patient’s cells. However, they can cause liver damage and activate an immune response in human patients. Viral vectors may also cause accidental mutations in host DNA. Patients treated with viral vectors can also develop antibodies against these vectors that make the treatment less effective over time.</w:t>
      </w:r>
    </w:p>
    <w:p>
      <w:pPr>
        <w:spacing w:after="0" w:line="166"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Lipid-mediated delivery systems are the most common non-viral vectors because they are biocompatible and do not cause insertional mutagenesis. They can also be manipulated to target specific cells in the body. In 2018, the first siRNA therapy using a lipid-mediated delivery system was approved by the FDA for the treatment of polyneuropathy associated with hereditary transthyretin (hTTR) amyloidosis, Onpattro</w:t>
      </w:r>
      <w:r>
        <w:rPr>
          <w:rFonts w:ascii="Arial" w:cs="Arial" w:eastAsia="Arial" w:hAnsi="Arial"/>
          <w:sz w:val="14"/>
          <w:szCs w:val="14"/>
          <w:color w:val="auto"/>
        </w:rPr>
        <w:t>®</w:t>
      </w:r>
      <w:r>
        <w:rPr>
          <w:rFonts w:ascii="Arial" w:cs="Arial" w:eastAsia="Arial" w:hAnsi="Arial"/>
          <w:sz w:val="17"/>
          <w:szCs w:val="17"/>
          <w:color w:val="auto"/>
        </w:rPr>
        <w:t xml:space="preserve"> (Patisiran). Despite these advantages, older lipid-mediated delivery systems, like that utilized in Onpattro</w:t>
      </w:r>
      <w:r>
        <w:rPr>
          <w:rFonts w:ascii="Arial" w:cs="Arial" w:eastAsia="Arial" w:hAnsi="Arial"/>
          <w:sz w:val="14"/>
          <w:szCs w:val="14"/>
          <w:color w:val="auto"/>
        </w:rPr>
        <w:t>®</w:t>
      </w:r>
      <w:r>
        <w:rPr>
          <w:rFonts w:ascii="Arial" w:cs="Arial" w:eastAsia="Arial" w:hAnsi="Arial"/>
          <w:sz w:val="17"/>
          <w:szCs w:val="17"/>
          <w:color w:val="auto"/>
        </w:rPr>
        <w:t>, can stimulate adverse immune responses, requiring co-administration of steroids, and cause liver damage in patients due to their inability to be degraded by the body.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Platform Technology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LUNAR</w:t>
      </w:r>
    </w:p>
    <w:p>
      <w:pPr>
        <w:spacing w:after="0" w:line="117" w:lineRule="exact"/>
        <w:rPr>
          <w:sz w:val="20"/>
          <w:szCs w:val="20"/>
          <w:color w:val="auto"/>
        </w:rPr>
      </w:pPr>
    </w:p>
    <w:p>
      <w:pPr>
        <w:jc w:val="both"/>
        <w:ind w:left="200" w:right="60" w:firstLine="441"/>
        <w:spacing w:after="0" w:line="297" w:lineRule="auto"/>
        <w:rPr>
          <w:sz w:val="20"/>
          <w:szCs w:val="20"/>
          <w:color w:val="auto"/>
        </w:rPr>
      </w:pPr>
      <w:r>
        <w:rPr>
          <w:rFonts w:ascii="Arial" w:cs="Arial" w:eastAsia="Arial" w:hAnsi="Arial"/>
          <w:sz w:val="16"/>
          <w:szCs w:val="16"/>
          <w:color w:val="auto"/>
        </w:rPr>
        <w:t>Our LUNAR</w:t>
      </w:r>
      <w:r>
        <w:rPr>
          <w:rFonts w:ascii="Arial" w:cs="Arial" w:eastAsia="Arial" w:hAnsi="Arial"/>
          <w:sz w:val="13"/>
          <w:szCs w:val="13"/>
          <w:color w:val="auto"/>
        </w:rPr>
        <w:t>®</w:t>
      </w:r>
      <w:r>
        <w:rPr>
          <w:rFonts w:ascii="Arial" w:cs="Arial" w:eastAsia="Arial" w:hAnsi="Arial"/>
          <w:sz w:val="16"/>
          <w:szCs w:val="16"/>
          <w:color w:val="auto"/>
        </w:rPr>
        <w:t xml:space="preserve"> lipid-mediated delivery technology includes a diverse, growing library of over 150 proprietary lipids that we rationally designed to be versatile, maximizing efficacy and increasing tolerability of a diverse selection of nucleic acids, target cell types and routes of administration. A key feature of our LUNAR lipids is their biodegradability, decreasing the undesired effects caused by lipid accumulation that are associated with tolerability issues present in other lipid-mediated RNA medicine delivery platforms. Our experienced team continues to innovate in the area of producing LUNAR lipid formulated nucleic acid medicines in a scalable and highly-reproducible manner, reducing the costs of goods for the therapies in our pipeline.</w:t>
      </w:r>
    </w:p>
    <w:p>
      <w:pPr>
        <w:spacing w:after="0" w:line="158"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In addition to our LUNAR lipid-mediated delivery technology, we believe we have created innovative, proprietary improvements to producing mRNA medicines, including improvements that increase purity, scalability, efficiency in production times, and adaptability to different mRNA modification strategies. We strive to use these proprietary innovations to benefit each mRNA medicine in our pipeline.</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continue to invest in our LUNAR lipid-mediated delivery of mRNA (encoding CRISPR, TALEN, zinc finger proteins, and meganucleases), siRNA, DNA, microRNA, and antisense oligonucleotide technology platforms to improve their efficacy and safety profile, further expanding their applications. This investment had led to key innovations ensuring optimal characteristics of our LUNAR formulated drug product are attained, which we believe sets us apart from other nucleic acid therapeutics and lipid-mediated delivery platforms.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169545</wp:posOffset>
            </wp:positionV>
            <wp:extent cx="5085715" cy="28987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08571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are using our proprietary technology to develop nucleic acid medicines to treat diseases with unmet medical needs, accelerated clinical paths and clear commercial opportunities. Our preclinical pipeline currently has seven active preclinical drug discovery and development programs. This includes wholly-owned programs as well as programs in partnership with Ultragenyx Pharmaceutical, Inc. (“Ultragenyx”), Takeda Pharmaceutical Company Limited (“Takeda”), Janssen Pharmaceuticals, Inc., one of the Janssen Pharmaceutical Companies of Johnson &amp; Johnson (“Janssen”), Synthetic Genomics, Inc. (“Synthetic Genomics” or “SGI”) and CureVac AG (“CureVac”).</w:t>
      </w:r>
    </w:p>
    <w:p>
      <w:pPr>
        <w:spacing w:after="0" w:line="78" w:lineRule="exact"/>
        <w:rPr>
          <w:sz w:val="20"/>
          <w:szCs w:val="20"/>
          <w:color w:val="auto"/>
        </w:rPr>
      </w:pPr>
    </w:p>
    <w:p>
      <w:pPr>
        <w:ind w:left="1060" w:right="20" w:hanging="316"/>
        <w:spacing w:after="0" w:line="259"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LUNAR-OTC program is developing mRNA compounds to treat ornithine transcarbamylase (“OTC”) deficiency, a life-threatening genetic disease that affects greater than 10,000 people. We have achieved preclinical proof-of-concept for LUNAR-OTC in a mouse model of the disease. This program was previously co-developed with CureVac, but will become a wholly-owned internal program in August of 2019.</w:t>
      </w:r>
    </w:p>
    <w:p>
      <w:pPr>
        <w:spacing w:after="0" w:line="92" w:lineRule="exact"/>
        <w:rPr>
          <w:rFonts w:ascii="Arial" w:cs="Arial" w:eastAsia="Arial" w:hAnsi="Arial"/>
          <w:sz w:val="18"/>
          <w:szCs w:val="18"/>
          <w:color w:val="auto"/>
        </w:rPr>
      </w:pPr>
    </w:p>
    <w:p>
      <w:pPr>
        <w:ind w:left="1060" w:hanging="316"/>
        <w:spacing w:after="0" w:line="257"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The LUNAR-CF program is developing mRNA compounds to replace dysfunctional cystic fibrosis transmembrane conductance regulator (“CFTR”) protein in cystic fibrosis (“CF”) patients. CF is a common genetic disease in the United States, and approximately 1,000 patients are newly diagnosed each year. This program is supported by Cystic Fibrosis Foundation Therapeutics, Inc., or CFFT. We have demonstrated activity of an optimized CFTR mRNA in cultured cells and proof of concept for LUNAR delivery to lung epithelial cells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vivo</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LUNAR-RLD is an internal research effort focused on target validation of multiple pipeline LUNAR-mRNA program candidates. A rare liver disease will be selected as a future development program based on these efforts.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240" w:top="459" w:right="5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205740</wp:posOffset>
            </wp:positionV>
            <wp:extent cx="5076825" cy="28898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76825"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60" w:right="20" w:hanging="316"/>
        <w:spacing w:after="0" w:line="277" w:lineRule="auto"/>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are partnering with Janssen, a Johnson &amp; Johnson company, to develop nucleic acid-based products for the treatment of hepatitis B virus infection (“HBV”) and potentially other infectious and respiratory diseases.</w:t>
      </w:r>
    </w:p>
    <w:p>
      <w:pPr>
        <w:spacing w:after="0" w:line="75"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are partnering with Takeda to develop nucleic acid-based therapeutic candidates for the treatment of primarily liver fibrosis. The agreement was entered into on March 8, 2019.</w:t>
      </w:r>
    </w:p>
    <w:p>
      <w:pPr>
        <w:spacing w:after="0" w:line="75" w:lineRule="exact"/>
        <w:rPr>
          <w:rFonts w:ascii="Arial" w:cs="Arial" w:eastAsia="Arial" w:hAnsi="Arial"/>
          <w:sz w:val="18"/>
          <w:szCs w:val="18"/>
          <w:color w:val="auto"/>
        </w:rPr>
      </w:pPr>
    </w:p>
    <w:p>
      <w:pPr>
        <w:ind w:left="1060" w:right="80" w:hanging="316"/>
        <w:spacing w:after="0" w:line="273" w:lineRule="auto"/>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We are partnering with Ultragenyx to develop up to ten mRNA therapeutic candidates for certain rare disease targets. LUNAR-GSD3 is the first program to be disclosed from the collaboration. Glycogen Storage Disease Type 3 (“GSD”) is caused by genetic mutations in the glycogen debranching enzyme, AGL, which leads to glycogen accumulation in liver and muscle. There are approximately 10,000 patients worldwide with this type of GSD, who experience enlarged liver, increased fats in the blood, low blood sugar, decreased stature and late-onset muscle weakness. There is not currently a cure for GSD3. Treatment typically includes a high-protein diet with cornstarch supplementation to maintain a normal level of glucose in the blood.</w:t>
      </w:r>
    </w:p>
    <w:p>
      <w:pPr>
        <w:spacing w:after="0" w:line="83" w:lineRule="exact"/>
        <w:rPr>
          <w:rFonts w:ascii="Arial" w:cs="Arial" w:eastAsia="Arial" w:hAnsi="Arial"/>
          <w:sz w:val="17"/>
          <w:szCs w:val="17"/>
          <w:color w:val="auto"/>
        </w:rPr>
      </w:pPr>
    </w:p>
    <w:p>
      <w:pPr>
        <w:ind w:left="1060" w:right="200" w:hanging="316"/>
        <w:spacing w:after="0" w:line="264" w:lineRule="auto"/>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have a license and collaboration agreement with SGI focused on developing vaccines and therapeutics using their proprietary self-replicating (replicon) nucleic acid technology. We have demonstrated proof-of-concept in preclinical animal models for both vaccines and therapeutics.</w:t>
      </w:r>
    </w:p>
    <w:p>
      <w:pPr>
        <w:spacing w:after="0" w:line="86"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are partnering with Providence Therapeutics Inc. (“Providence”) to identify and optimize microRNA modulators and/or mimetics for the treatment of neoplastic diseases.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Strategy</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aim to leverage our proprietary and licensed intellectual property relating to LUNAR and our nucleic acid technologies to develop a pipeline of mRNA therapeutics for infectious rare diseases and rare genetic disorders with significant unmet medical needs. In addition to our collaborations noted above, we are focused on balancing our portfolio with internally-owned and partnered programs to advance our preclinical candidates in a timely and cost-effective manner.</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flagship program, LUNAR-OTC, is on track to enter first-in-human studies during 2020.</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 strategy has three main areas of focus:</w:t>
      </w:r>
    </w:p>
    <w:p>
      <w:pPr>
        <w:spacing w:after="0" w:line="131" w:lineRule="exact"/>
        <w:rPr>
          <w:sz w:val="20"/>
          <w:szCs w:val="20"/>
          <w:color w:val="auto"/>
        </w:rPr>
      </w:pPr>
    </w:p>
    <w:p>
      <w:pPr>
        <w:ind w:left="1060" w:hanging="316"/>
        <w:spacing w:after="0" w:line="25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Drive existing collaborations to achieve first-in-human data for our LUNAR lipid-mediated delivery platform. </w:t>
      </w:r>
      <w:r>
        <w:rPr>
          <w:rFonts w:ascii="Arial" w:cs="Arial" w:eastAsia="Arial" w:hAnsi="Arial"/>
          <w:sz w:val="18"/>
          <w:szCs w:val="18"/>
          <w:color w:val="auto"/>
        </w:rPr>
        <w:t>The value and promise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proprietary LUNAR lipid-mediated delivery platform has been recognized by our current partners and continuing partner interest. This value is expected to increase substantially when our pre-clinical data from our LUNAR formulated mRNA medicines is reproduced in our first human clinical studies. We continue to push our first mRNA therapeutic, LUNAR-OTC, toward the clinic and our LUNAR-CF program is supported by our important collaboration with the CF Foundation.</w:t>
      </w:r>
    </w:p>
    <w:p>
      <w:pPr>
        <w:spacing w:after="0" w:line="93" w:lineRule="exact"/>
        <w:rPr>
          <w:rFonts w:ascii="Arial" w:cs="Arial" w:eastAsia="Arial" w:hAnsi="Arial"/>
          <w:sz w:val="18"/>
          <w:szCs w:val="18"/>
          <w:color w:val="auto"/>
        </w:rPr>
      </w:pPr>
    </w:p>
    <w:p>
      <w:pPr>
        <w:ind w:left="1060" w:hanging="316"/>
        <w:spacing w:after="0" w:line="302" w:lineRule="auto"/>
        <w:tabs>
          <w:tab w:leader="none" w:pos="1060"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 xml:space="preserve">Leverage our LUNAR lipid-mediated delivery platform to develop therapeutics for a broad range of additional rare liver and lung diseases. </w:t>
      </w:r>
      <w:r>
        <w:rPr>
          <w:rFonts w:ascii="Arial" w:cs="Arial" w:eastAsia="Arial" w:hAnsi="Arial"/>
          <w:sz w:val="16"/>
          <w:szCs w:val="16"/>
          <w:color w:val="auto"/>
        </w:rPr>
        <w:t>We have demonstrated in preclinical models the utility of the LUNAR lipid-mediated delivery platform in two important liver cell</w:t>
      </w:r>
      <w:r>
        <w:rPr>
          <w:rFonts w:ascii="Arial" w:cs="Arial" w:eastAsia="Arial" w:hAnsi="Arial"/>
          <w:sz w:val="16"/>
          <w:szCs w:val="16"/>
          <w:i w:val="1"/>
          <w:iCs w:val="1"/>
          <w:color w:val="auto"/>
        </w:rPr>
        <w:t xml:space="preserve"> </w:t>
      </w:r>
      <w:r>
        <w:rPr>
          <w:rFonts w:ascii="Arial" w:cs="Arial" w:eastAsia="Arial" w:hAnsi="Arial"/>
          <w:sz w:val="16"/>
          <w:szCs w:val="16"/>
          <w:color w:val="auto"/>
        </w:rPr>
        <w:t>types, stellate and hepatocyte, as well as bronchial cells in lungs. Our research teams are currently focused internally on discovering our next wave of innovative mRNA medicines, and externally for other nucleic acid modalities, for patients with debilitating rare diseases.</w:t>
      </w:r>
    </w:p>
    <w:p>
      <w:pPr>
        <w:spacing w:after="0" w:line="59" w:lineRule="exact"/>
        <w:rPr>
          <w:rFonts w:ascii="Arial" w:cs="Arial" w:eastAsia="Arial" w:hAnsi="Arial"/>
          <w:sz w:val="16"/>
          <w:szCs w:val="16"/>
          <w:color w:val="auto"/>
        </w:rPr>
      </w:pPr>
    </w:p>
    <w:p>
      <w:pPr>
        <w:ind w:left="1060" w:right="140" w:hanging="316"/>
        <w:spacing w:after="0" w:line="255"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Continue to innovate in our core areas of research, including mRNA design and siRNA design, LUNAR lipid formulations and formulation production to increase our competitive advantage over other nucleic acid medicine companies. </w:t>
      </w:r>
      <w:r>
        <w:rPr>
          <w:rFonts w:ascii="Arial" w:cs="Arial" w:eastAsia="Arial" w:hAnsi="Arial"/>
          <w:sz w:val="18"/>
          <w:szCs w:val="18"/>
          <w:color w:val="auto"/>
        </w:rPr>
        <w:t>Our team has a wealth of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experience in the areas of siRNA and mRNA medicine design. We continue to identify new and better ways to design and produce these important nucleic acid medicines, increasing their efficacy and safety profiles. In addition, our team has an advanced understandings of lipid-nanoparticle formulations, continually improving scalability and reproducibility of our LUNAR formulated nucleic acid drug products, translating to better therapies for patients.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believe our proprietary LUNAR lipid-mediated delivery and nucleic acid technologies, extensive intellectual property portfolio and experienced research and development team will enable us to advance our drug candidates and existing partnerships, and further partner our technology platform thereby expanding future development and commercial opportunities.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our competitive strengths include the following, among other areas:</w:t>
      </w:r>
    </w:p>
    <w:p>
      <w:pPr>
        <w:spacing w:after="0" w:line="131" w:lineRule="exact"/>
        <w:rPr>
          <w:sz w:val="20"/>
          <w:szCs w:val="20"/>
          <w:color w:val="auto"/>
        </w:rPr>
      </w:pPr>
    </w:p>
    <w:p>
      <w:pPr>
        <w:ind w:left="1060" w:right="140" w:hanging="316"/>
        <w:spacing w:after="0" w:line="271" w:lineRule="auto"/>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 xml:space="preserve">LUNAR lipid-mediated delivery technology is applicable to all nucleic acid medicines being developed today that require a formulation: </w:t>
      </w:r>
      <w:r>
        <w:rPr>
          <w:rFonts w:ascii="Arial" w:cs="Arial" w:eastAsia="Arial" w:hAnsi="Arial"/>
          <w:sz w:val="17"/>
          <w:szCs w:val="17"/>
          <w:color w:val="auto"/>
        </w:rPr>
        <w:t>Preclinical studies have shown that LUNAR delivery technology is compatible with different types of nucleic acids therapeutics, including mRNA, self-amplifying mRNA (or replicon), siRNA, microRNA, antisense oligonucleotides and other oligonucleotide therapeutic approaches. We can combine our LUNAR technology with mRNA therapies that encode for a wide array of therapeutic proteins, including transmembrane proteins (such as transporters, GPCRs, and receptors), secreted proteins (such as hormones and antibodies), engineered nucleases (CRISPR and TALEN), engineered antigen receptors (CAR-T) and intracellular proteins (chaperones, enzymes, intrabodies). We also have pre-clinical data demonstrating proof-of-concept for LUNAR delivery of DNA-based vaccines and therapeutics. The broad applicability of our LUNAR delivery technology is a distinct value driver.</w:t>
      </w:r>
    </w:p>
    <w:p>
      <w:pPr>
        <w:spacing w:after="0" w:line="84" w:lineRule="exact"/>
        <w:rPr>
          <w:rFonts w:ascii="Arial" w:cs="Arial" w:eastAsia="Arial" w:hAnsi="Arial"/>
          <w:sz w:val="17"/>
          <w:szCs w:val="17"/>
          <w:color w:val="auto"/>
        </w:rPr>
      </w:pPr>
    </w:p>
    <w:p>
      <w:pPr>
        <w:ind w:left="1060" w:right="80" w:hanging="316"/>
        <w:spacing w:after="0" w:line="259" w:lineRule="auto"/>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LUNAR lipid-mediated delivery technology is applicable to different tissues and cell types via multiple routes of administration. </w:t>
      </w:r>
      <w:r>
        <w:rPr>
          <w:rFonts w:ascii="Arial" w:cs="Arial" w:eastAsia="Arial" w:hAnsi="Arial"/>
          <w:sz w:val="18"/>
          <w:szCs w:val="18"/>
          <w:color w:val="auto"/>
        </w:rPr>
        <w:t>Most</w:t>
      </w:r>
      <w:r>
        <w:rPr>
          <w:rFonts w:ascii="Arial" w:cs="Arial" w:eastAsia="Arial" w:hAnsi="Arial"/>
          <w:sz w:val="18"/>
          <w:szCs w:val="18"/>
          <w:i w:val="1"/>
          <w:iCs w:val="1"/>
          <w:color w:val="auto"/>
        </w:rPr>
        <w:t xml:space="preserve"> </w:t>
      </w:r>
      <w:r>
        <w:rPr>
          <w:rFonts w:ascii="Arial" w:cs="Arial" w:eastAsia="Arial" w:hAnsi="Arial"/>
          <w:sz w:val="18"/>
          <w:szCs w:val="18"/>
          <w:color w:val="auto"/>
        </w:rPr>
        <w:t>nucleic acid drugs that are marketed or in development are primarily active in liver cells called hepatocytes. Pre-clinical studies have shown that LUNAR can deliver nucleic acid therapies to the liver to hepatocytes and hepatic stellate cells via intravenous injection. Our ability to deliver nucleic acid medicines to both of these cell types provides us a distinct advantage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76" w:lineRule="auto"/>
        <w:rPr>
          <w:sz w:val="20"/>
          <w:szCs w:val="20"/>
          <w:color w:val="auto"/>
        </w:rPr>
      </w:pPr>
      <w:r>
        <w:rPr>
          <w:rFonts w:ascii="Arial" w:cs="Arial" w:eastAsia="Arial" w:hAnsi="Arial"/>
          <w:sz w:val="17"/>
          <w:szCs w:val="17"/>
          <w:color w:val="auto"/>
        </w:rPr>
        <w:t>over other technologies that preferentially deliver to hepatocytes only, as stellate cells are key contributors to liver disease progression, including fibrosis and liver cancer. We have also demonstrated functional delivery of LUNAR-formulated mRNA to lung cells through nebulized, inhaled administration. This is the foundation of our LUNAR-CF program and may pave the way for additional therapies to treat rare lung disorders. Additionally, preclinical studies in rodents have shown that LUNAR can deliver nucleic acid compounds to muscle cells via intramuscular injection and retinal cells via subretinal intravitriol, an injection to the back of the eye.</w:t>
      </w:r>
    </w:p>
    <w:p>
      <w:pPr>
        <w:spacing w:after="0" w:line="78" w:lineRule="exact"/>
        <w:rPr>
          <w:sz w:val="20"/>
          <w:szCs w:val="20"/>
          <w:color w:val="auto"/>
        </w:rPr>
      </w:pPr>
    </w:p>
    <w:p>
      <w:pPr>
        <w:ind w:left="1060" w:right="140" w:hanging="316"/>
        <w:spacing w:after="0" w:line="264" w:lineRule="auto"/>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Ability to repeat dose. </w:t>
      </w:r>
      <w:r>
        <w:rPr>
          <w:rFonts w:ascii="Arial" w:cs="Arial" w:eastAsia="Arial" w:hAnsi="Arial"/>
          <w:sz w:val="18"/>
          <w:szCs w:val="18"/>
          <w:color w:val="auto"/>
        </w:rPr>
        <w:t>Multiple preclinical studies in rodents and non-human primates have shown no reduction in efficacy upon repeat</w:t>
      </w:r>
      <w:r>
        <w:rPr>
          <w:rFonts w:ascii="Arial" w:cs="Arial" w:eastAsia="Arial" w:hAnsi="Arial"/>
          <w:sz w:val="18"/>
          <w:szCs w:val="18"/>
          <w:i w:val="1"/>
          <w:iCs w:val="1"/>
          <w:color w:val="auto"/>
        </w:rPr>
        <w:t xml:space="preserve"> </w:t>
      </w:r>
      <w:r>
        <w:rPr>
          <w:rFonts w:ascii="Arial" w:cs="Arial" w:eastAsia="Arial" w:hAnsi="Arial"/>
          <w:sz w:val="18"/>
          <w:szCs w:val="18"/>
          <w:color w:val="auto"/>
        </w:rPr>
        <w:t>dosing of LUNAR formulated RNA medicines (siRNA or mRNA). We believe this indicates that LUNAR-delivered nucleic acids may not elicit antibody or cell-mediated immunity that can reduce potency upon repeat dosing.</w:t>
      </w:r>
    </w:p>
    <w:p>
      <w:pPr>
        <w:spacing w:after="0" w:line="86"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Experienced team. </w:t>
      </w:r>
      <w:r>
        <w:rPr>
          <w:rFonts w:ascii="Arial" w:cs="Arial" w:eastAsia="Arial" w:hAnsi="Arial"/>
          <w:sz w:val="18"/>
          <w:szCs w:val="18"/>
          <w:color w:val="auto"/>
        </w:rPr>
        <w:t>Our team has extensive experience in the discovery and development of nucleic acid medicines, as well as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and know-how in lipid-mediated delivery technology. This combination of in-house expertise uniquely positions us to develop innovative, proprietary novel nucleic acid technologies and nucleic acid medicines.</w:t>
      </w:r>
    </w:p>
    <w:p>
      <w:pPr>
        <w:spacing w:after="0" w:line="86" w:lineRule="exact"/>
        <w:rPr>
          <w:rFonts w:ascii="Arial" w:cs="Arial" w:eastAsia="Arial" w:hAnsi="Arial"/>
          <w:sz w:val="18"/>
          <w:szCs w:val="18"/>
          <w:color w:val="auto"/>
        </w:rPr>
      </w:pPr>
    </w:p>
    <w:p>
      <w:pPr>
        <w:ind w:left="1060" w:right="100" w:hanging="316"/>
        <w:spacing w:after="0" w:line="259" w:lineRule="auto"/>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Our intellectual property portfolio. </w:t>
      </w:r>
      <w:r>
        <w:rPr>
          <w:rFonts w:ascii="Arial" w:cs="Arial" w:eastAsia="Arial" w:hAnsi="Arial"/>
          <w:sz w:val="18"/>
          <w:szCs w:val="18"/>
          <w:color w:val="auto"/>
        </w:rPr>
        <w:t>Our LUNAR and nucleic acid technologies are wholly owned by us and covered by our patent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152 patents and patent applications, issued in the United States, China, Europe, Japan and other countries. Our intellectual property portfolio serves as a barrier-to-entry for competitors and, since it is wholly-owned and not licensed, does not carry with it down-stream economics which is different than most other pre-clinical stage companies.</w:t>
      </w:r>
    </w:p>
    <w:p>
      <w:pPr>
        <w:spacing w:after="0" w:line="92" w:lineRule="exact"/>
        <w:rPr>
          <w:rFonts w:ascii="Arial" w:cs="Arial" w:eastAsia="Arial" w:hAnsi="Arial"/>
          <w:sz w:val="18"/>
          <w:szCs w:val="18"/>
          <w:color w:val="auto"/>
        </w:rPr>
      </w:pPr>
    </w:p>
    <w:p>
      <w:pPr>
        <w:ind w:left="1060" w:right="100" w:hanging="316"/>
        <w:spacing w:after="0" w:line="312" w:lineRule="auto"/>
        <w:tabs>
          <w:tab w:leader="none" w:pos="1060"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Ability to develop high barrier-to-entry products with rapid development of subsequent products with lower costs and risks</w:t>
      </w:r>
      <w:r>
        <w:rPr>
          <w:rFonts w:ascii="Arial" w:cs="Arial" w:eastAsia="Arial" w:hAnsi="Arial"/>
          <w:sz w:val="16"/>
          <w:szCs w:val="16"/>
          <w:color w:val="auto"/>
        </w:rPr>
        <w:t>. The properties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proprietary technologies, outlined above, allow us to develop high barrier-to-entry nucleic acid medicines. We expect that the versatility of our two development platforms will allow us to develop subsequent products relatively quickly with less risk and lower costs.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Key Attributes of Our LUNAR Lipid-Mediated Delivery Technology</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have designed our LUNAR lipid-mediated delivery platform to address major challenges with nucleic acid medicine delivery, including transfection efficiency, adverse immune reactions and liver damage. See below for a graphic representation of our LUNAR formulation, where blue spheres represent polyethylene glycol (“PEG”) lipids and the orange, darker orange, and yellow spheres represent the proprietary Arcturus (ATX) lipid excipient and other structural components (phospholipid and cholesterol).</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u w:val="single" w:color="auto"/>
          <w:color w:val="auto"/>
        </w:rPr>
        <w:t>Graphic of LUNAR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169545</wp:posOffset>
            </wp:positionV>
            <wp:extent cx="2624455" cy="24612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24455"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LUNAR formulations are a multi-component, lipid-mediated drug delivery system that utilizes our proprietary lipids, called ATX lipids. Each of our ATX lipids contains an amino head group and a biodegradable lipid backbone. The amino head group is a key chemical component of the ATX lipid, making it pH-sensitive and providing it distinct advantages as a component of our LUNAR formulation. At acidic pH, ATX lipids are positively charged, facilitating interaction with the negatively charged nucleic acid, thereby enabling LUNAR particle formation. At physiological pH (e.g., pH 7.4), LUNAR formulations are neutrally charged, avoiding the toxicity often seen with permanently positively-charged lipid-mediated delivery technology, used by other RNA medicine companies. Upon uptake into a cell, by a process called endocytosis that forms a cellular structure called an endosome around the LUNAR formulated nucleic acid therapeutic, the amino head group again becomes positively charged, disrupting the endosome and the LUNAR particle and releasing the nucleic acid therapeutic into the cell.</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u w:val="single" w:color="auto"/>
          <w:color w:val="auto"/>
        </w:rPr>
        <w:t>LUNAR-mediated delivery of a nucleic acid therapeutic into cells</w:t>
      </w:r>
    </w:p>
    <w:p>
      <w:pPr>
        <w:spacing w:after="0" w:line="225"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disruption of the LUNAR particle also releases the components of the formulation into the cell, where the ATX lipid is degraded by enzymes in the cell allowing for the lipids to be cleared from the cell. We designed the ATX lipid to be biodegradable by engineering chemical structural components called esters into the ATX backbone that are sensitive to cellular enzymes called esterases. This degradation prevents ATX lipids from accumulating inside the cell and causing 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144780</wp:posOffset>
            </wp:positionV>
            <wp:extent cx="4776470" cy="14833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7647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u w:val="single" w:color="auto"/>
          <w:color w:val="auto"/>
        </w:rPr>
        <w:t>LUNAR compatibility with nucleic acids of various size</w:t>
      </w:r>
    </w:p>
    <w:p>
      <w:pPr>
        <w:spacing w:after="0" w:line="225"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have generated a growing library of over 150 proprietary ATX lipids. ATX lipids are rationally designed to fit the application and vary depending on the target cell type and route of administration. We perform extensive formulation screening for each nucleic acid therapeutic to determine the optimal ATX lipid and LUNAR composition for the particular nucleic acid therapeutic, the desired route of administration and target cell type. We have demonstrated high encapsulating efficiency when formulating a wide range of nucleic acid sizes, 20 to 12,000 nucleotides in length (figure below, left) and particle size was within the acceptable range to maximize targeting and efficacy (figure below,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135890</wp:posOffset>
            </wp:positionV>
            <wp:extent cx="5188585" cy="14236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88585"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u w:val="single" w:color="auto"/>
          <w:color w:val="auto"/>
        </w:rPr>
        <w:t>LUNAR Scalability</w:t>
      </w:r>
    </w:p>
    <w:p>
      <w:pPr>
        <w:spacing w:after="0" w:line="22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have extensively characterized the safety and efficacy profile of first-generation LUNAR 1.0 in rodents and non-human primates and have confirmed its scalability for manufacturing. To test consistency across batch size, we tested batches from 50 milligrams to 30 grams (figure below), and to test reproducibility we tested three different batches of 30 grams each. In both experiments, we demonstrated the LUNAR formulation process is both scalable and reproducible, maintaining both particle size and encapsulation percentage independent of batch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135255</wp:posOffset>
            </wp:positionV>
            <wp:extent cx="4511040" cy="18611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511040"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u w:val="single" w:color="auto"/>
          <w:color w:val="auto"/>
        </w:rPr>
        <w:t>LUNAR Reproducibility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169545</wp:posOffset>
            </wp:positionV>
            <wp:extent cx="4596765" cy="15176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59676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80"/>
          </w:cols>
          <w:pgMar w:left="24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LUNAR In Vivo Proof-of-Concept Data</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u w:val="single" w:color="auto"/>
          <w:color w:val="auto"/>
        </w:rPr>
        <w:t>LUNAR formulations can be designed to target different cell types in the liver</w:t>
      </w:r>
    </w:p>
    <w:p>
      <w:pPr>
        <w:spacing w:after="0" w:line="225"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have optimized LUNAR to deliver nucleic acid therapeutics preferentially to different cell types in the liver after intravenous (IV) delivery. When mice were treated with a single intravenous dose of two different LUNAR-siRNA formulations, significant target mRNA knockdown was observed in hepatocytes 72 hours post-treatment (figure below, left). Shown in green, the composition of a different LUNAR-siRNA formulation was modified to also achieve significant target mRNA knockdown in stellate cells, an important cell type for certain liver indications, such as NASH. The hepatocyte-targeting (formulation 1, red bars) was also used to formulate a green fluorescent protein (GFP) mRNA and mice were treated with a single IV dose (figure below, right). 24 hours later, GFP protein was seen throughout the liver, particularly in hepatocytes.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4579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51070"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i w:val="1"/>
          <w:iCs w:val="1"/>
          <w:color w:val="auto"/>
        </w:rPr>
        <w:t>Repeat dose efficacy in non-human primates</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To demonstrate efficacy of LUNAR-mRNA in a repeat-dose setting, we treated non-human primates once weekly for four weeks with LUNAR-formulated erythropoetin (EPO) mRNA (figure below). EPO protein expression levels were determined 6 hours following each treatment, and elevated serum EPO levels were maintained following each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141605</wp:posOffset>
            </wp:positionV>
            <wp:extent cx="3027045" cy="16294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027045"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240" w:top="459" w:right="5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00"/>
        <w:spacing w:after="0"/>
        <w:rPr>
          <w:sz w:val="20"/>
          <w:szCs w:val="20"/>
          <w:color w:val="auto"/>
        </w:rPr>
      </w:pPr>
      <w:r>
        <w:rPr>
          <w:rFonts w:ascii="Arial" w:cs="Arial" w:eastAsia="Arial" w:hAnsi="Arial"/>
          <w:sz w:val="18"/>
          <w:szCs w:val="18"/>
          <w:i w:val="1"/>
          <w:iCs w:val="1"/>
          <w:u w:val="single" w:color="auto"/>
          <w:color w:val="auto"/>
        </w:rPr>
        <w:t>Antigen-specific responses following IM delivery of LUNAR-mRNA in influenza vaccination mouse model</w:t>
      </w:r>
    </w:p>
    <w:p>
      <w:pPr>
        <w:spacing w:after="0" w:line="225"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We have demonstrated in proof-of concept studies in mice the utility of LUNAR-formulated mRNA in oncology and infectious disease vaccine applications. Mice were treated at Day 0 (prime) and Day 21 (boost) via intramuscular delivery with 0.5 mg/kg LUNAR-encapsulated hemagglutinin mRNA (2 formulations; LUNAR 1 and LUNAR 2). At Day 35, serum titers were determined in a hemagglutination inhibition assay (figure below, left) and antigen-specific cytokine production was evaluated from CD8+ T-cells (figure below, right). With both formulations tested, titers between 10</w:t>
      </w:r>
      <w:r>
        <w:rPr>
          <w:rFonts w:ascii="Arial" w:cs="Arial" w:eastAsia="Arial" w:hAnsi="Arial"/>
          <w:sz w:val="14"/>
          <w:szCs w:val="14"/>
          <w:color w:val="auto"/>
        </w:rPr>
        <w:t>3</w:t>
      </w:r>
      <w:r>
        <w:rPr>
          <w:rFonts w:ascii="Arial" w:cs="Arial" w:eastAsia="Arial" w:hAnsi="Arial"/>
          <w:sz w:val="17"/>
          <w:szCs w:val="17"/>
          <w:color w:val="auto"/>
        </w:rPr>
        <w:t>-10</w:t>
      </w:r>
      <w:r>
        <w:rPr>
          <w:rFonts w:ascii="Arial" w:cs="Arial" w:eastAsia="Arial" w:hAnsi="Arial"/>
          <w:sz w:val="14"/>
          <w:szCs w:val="14"/>
          <w:color w:val="auto"/>
        </w:rPr>
        <w:t>4</w:t>
      </w:r>
      <w:r>
        <w:rPr>
          <w:rFonts w:ascii="Arial" w:cs="Arial" w:eastAsia="Arial" w:hAnsi="Arial"/>
          <w:sz w:val="17"/>
          <w:szCs w:val="17"/>
          <w:color w:val="auto"/>
        </w:rPr>
        <w:t xml:space="preserve"> were achieved and a significant increase in % of TNFα and IFNα expressing cells was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135890</wp:posOffset>
            </wp:positionV>
            <wp:extent cx="4502150" cy="19894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50215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Proprietary mRNA and Protein Design Technology</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Arcturus has developed in-house expertise in protein and mRNA design to benefit the mRNA programs in its pipeline to address many of the known challenges that face the viability of mRNA therapeutics today. Arcturus has identified several design elements of mRNA compounds that provide improved translation (conversion from mRNA to protein) of our mRNA therapeutics, including untranslated regions derived from species that have not previously been combined with human mRNA sequences. This platform technology is applicable to many different human mRNA sequences that we currently are approaching in our discovery efforts. We have also identified ways to engineer human protein sequences to increase the half-life of the proteins produced by our mRNA therapies as well as directing specific types of proteins more efficiently to certain cellular structures of interest. These innovations are broadly applicable to several programs that are part of our mRNA discovery efforts.</w:t>
      </w:r>
    </w:p>
    <w:p>
      <w:pPr>
        <w:spacing w:after="0" w:line="178"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 xml:space="preserve">In addition to these platform technologies, Arcturus has developed a proprietary tool to aid our team in the efficient design and development of new mRNA drugs. Arcturus’ mRNA Design Suite is a cloud-based software suite with a collection of proprietary bioinformatic algorithms aimed at achieving highly improved potency of a drug substance through optimization of mRNA sequences. The algorithms were developed in house through the integration of experimentally validated optimization processes. Through multi-layered </w:t>
      </w:r>
      <w:r>
        <w:rPr>
          <w:rFonts w:ascii="Arial" w:cs="Arial" w:eastAsia="Arial" w:hAnsi="Arial"/>
          <w:sz w:val="16"/>
          <w:szCs w:val="16"/>
          <w:i w:val="1"/>
          <w:iCs w:val="1"/>
          <w:color w:val="auto"/>
        </w:rPr>
        <w:t>in silico</w:t>
      </w:r>
      <w:r>
        <w:rPr>
          <w:rFonts w:ascii="Arial" w:cs="Arial" w:eastAsia="Arial" w:hAnsi="Arial"/>
          <w:sz w:val="16"/>
          <w:szCs w:val="16"/>
          <w:color w:val="auto"/>
        </w:rPr>
        <w:t xml:space="preserve"> QC pipelines, mRNA Design Suite promptly generates error-free sequences in its highest quality accompanied by various statistics. Additionally, mRNA Design Suite seamlessly interacts with Arcturus plasmid/mRNA production database to accelerate the process from mRNA design to gene synthesis, cloning, and mRNA production.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Unlocked Nucleic Acid (UNA) Oligomer Chemistry</w:t>
      </w:r>
    </w:p>
    <w:p>
      <w:pPr>
        <w:spacing w:after="0" w:line="11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UNAs are RNA analogues in which the C2’-C3’ bond of the ribose ring is absent (figure below). UNA chemistry technology can potentially be applied to multiple types of RNA medicines including mRNA, siRNA, microRNA and guide RNAs for gene editing. One or more UNAs can be positioned strategically along a nucleic acid strand to manipulate the chemical properties of the molecule.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i w:val="1"/>
          <w:iCs w:val="1"/>
          <w:color w:val="auto"/>
        </w:rPr>
        <w:t>RNA structure compared with UNA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169545</wp:posOffset>
            </wp:positionV>
            <wp:extent cx="3996055" cy="19297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99605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auto"/>
        </w:rPr>
        <w:t xml:space="preserve">UNAs can potentially improve the efficiency and specificity of siRNA-mediated protein suppression. </w:t>
      </w:r>
      <w:r>
        <w:rPr>
          <w:rFonts w:ascii="Arial" w:cs="Arial" w:eastAsia="Arial" w:hAnsi="Arial"/>
          <w:sz w:val="17"/>
          <w:szCs w:val="17"/>
          <w:color w:val="auto"/>
        </w:rPr>
        <w:t>siRNAs are short double-stranded RNA</w:t>
      </w:r>
      <w:r>
        <w:rPr>
          <w:rFonts w:ascii="Arial" w:cs="Arial" w:eastAsia="Arial" w:hAnsi="Arial"/>
          <w:sz w:val="17"/>
          <w:szCs w:val="17"/>
          <w:i w:val="1"/>
          <w:iCs w:val="1"/>
          <w:color w:val="auto"/>
        </w:rPr>
        <w:t xml:space="preserve"> </w:t>
      </w:r>
      <w:r>
        <w:rPr>
          <w:rFonts w:ascii="Arial" w:cs="Arial" w:eastAsia="Arial" w:hAnsi="Arial"/>
          <w:sz w:val="17"/>
          <w:szCs w:val="17"/>
          <w:color w:val="auto"/>
        </w:rPr>
        <w:t>molecules. Once inside the cell, they become part of the RNA-induced silencing complex (“RISC”) and are split into two single siRNA strands. One of these strands stays with RISC and binds to any mRNA with a complementary sequence. If the wrong siRNA strand stays with RISC, it can bind to different mRNAs than the target mRNA and therefore inhibit translation of other proteins. This is an undesired off-target effect and is one of the major barriers to developing effective siRNA medicines. Incorporating a single UNA into siRNA molecules can make one of the strands preferentially bind to RISC improving specificity. Additionally, incorporation of UNA modifications can reduce susceptibility of the siRNA to nuclease degradation, improving the efficiency of siRNA-mediated protein suppression.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139065</wp:posOffset>
            </wp:positionV>
            <wp:extent cx="4802505" cy="7543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80250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own a comprehensive suite of UNA technology patents for therapeutic and reagent use, enabling us to operate freely and to independently pursue nucleic acid therapeutic candidates incorporating this technology. We are also actively pursuing other novel chemistry technologies with the aim of overcoming the development and therapeutic challenges of nucleic acid medicines. Our goal is to expand our nucleic acid technology portfolio and strengthen our ability to develop safer and more effective nucleic acid therapeutic candidates.</w:t>
      </w:r>
    </w:p>
    <w:p>
      <w:pPr>
        <w:spacing w:after="0" w:line="38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INTERNAL DEVELOPMENT PROGRAMS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are developing mRNA therapeutic candidates to treat rare diseases with unmet medical needs through the following two internal development programs.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1. LUNAR-OTC (ARCT-810)</w:t>
      </w:r>
    </w:p>
    <w:p>
      <w:pPr>
        <w:spacing w:after="0" w:line="11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On February 11, 2019, Arcturus disclosed that the Company will reassume 100% global rights for its flagship asset, clinical development candidate ARCT-810, a mRNA drug to treat OTC Deficiency. The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240" w:top="459" w:right="5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LUNAR-OTC program addresses orinithine transcarbamylase (OTC) deficiency, a rare, genetic disease caused by mutations in the OTC gene that leads to dysfunctional or deficient OTC levels. OTC deficiency causes the body to accumulate ammonia levels which are neurotoxic and harmful to the liver. Currently, there are only treatments to remove excess ammonia and no disease-modifying treatments of the underlying genetic disorder are available. We use our LUNAR platform to deliver normal OTC mRNA into hepatocytes, where OTC is produced and functions, to produce normal functioning OTC with potentially disease-modifying effects for these patients.</w:t>
      </w:r>
    </w:p>
    <w:p>
      <w:pPr>
        <w:spacing w:after="0" w:line="188" w:lineRule="exact"/>
        <w:rPr>
          <w:sz w:val="20"/>
          <w:szCs w:val="20"/>
          <w:color w:val="auto"/>
        </w:rPr>
      </w:pPr>
    </w:p>
    <w:p>
      <w:pPr>
        <w:ind w:left="200" w:right="520" w:firstLine="441"/>
        <w:spacing w:after="0" w:line="264" w:lineRule="auto"/>
        <w:rPr>
          <w:sz w:val="20"/>
          <w:szCs w:val="20"/>
          <w:color w:val="auto"/>
        </w:rPr>
      </w:pPr>
      <w:r>
        <w:rPr>
          <w:rFonts w:ascii="Arial" w:cs="Arial" w:eastAsia="Arial" w:hAnsi="Arial"/>
          <w:sz w:val="18"/>
          <w:szCs w:val="18"/>
          <w:color w:val="auto"/>
        </w:rPr>
        <w:t>Our LUNAR-OTC approach has the potential to treat the underlying defect that causes the debilitating symptoms that OTC deficiency (dysfunctional or decreased levels of OTC protein), rather than mitigating symptoms by sequestration of ammonia which is at high levels in these patients.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 of OTC Deficiency</w:t>
      </w:r>
    </w:p>
    <w:p>
      <w:pPr>
        <w:spacing w:after="0" w:line="117"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OTC deficiency is caused by mutations in the OTC gene which leads to a non-functional or deficient OTC enzyme. OTCD is the most common urea cycle disorder. Urea cycle disorders are a group of inherited metabolic disorders that make it difficult for afflicted patients to remove toxic waste products as proteins are digested. OTC deficiency is a life-threatening genetic disease. OTC is a critical enzyme in the urea cycle, which takes place in liver cells, and converts ammonia to urea. This conversion does not occur properly in patients with OTC deficiency and ammonia accumulates in their blood, acting as a neurotoxin and liver toxin. This can cause severe symptoms including vomiting, headaches, coma and death. OTC deficiency is an inherited disease that can cause developmental problems, seizures and death in newborn babies. It is an X-linked disorder, so is more common in boys. Patients with less severe symptoms may present later in life, as adults. There is currently no cure for OTC deficiency, apart from liver transplant. However, this treatment comes with significant risk of complications such as organ rejection, and transplant recipients must take immunosuppressant drugs for the rest of their lives. Current standard of care for OTC patients is a low-protein diet and ammonia scavengers to try and prevent patients from accumulating ammonia. These treatments do not address the underlying cause of disease.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LUNAR-OTC Solution</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 xml:space="preserve">Our preclinical proof-of-concept studies have shown that LUNAR-delivered human OTC mRNA reduces urinary orotic acid levels in a well-established mouse model of OTC deficiency: </w:t>
      </w:r>
      <w:r>
        <w:rPr>
          <w:rFonts w:ascii="Arial" w:cs="Arial" w:eastAsia="Arial" w:hAnsi="Arial"/>
          <w:sz w:val="18"/>
          <w:szCs w:val="18"/>
          <w:i w:val="1"/>
          <w:iCs w:val="1"/>
          <w:color w:val="auto"/>
        </w:rPr>
        <w:t>OTC-spf</w:t>
      </w:r>
      <w:r>
        <w:rPr>
          <w:rFonts w:ascii="Arial" w:cs="Arial" w:eastAsia="Arial" w:hAnsi="Arial"/>
          <w:sz w:val="18"/>
          <w:szCs w:val="18"/>
          <w:color w:val="auto"/>
        </w:rPr>
        <w:t xml:space="preserve"> </w:t>
      </w:r>
      <w:r>
        <w:rPr>
          <w:rFonts w:ascii="Arial" w:cs="Arial" w:eastAsia="Arial" w:hAnsi="Arial"/>
          <w:sz w:val="15"/>
          <w:szCs w:val="15"/>
          <w:i w:val="1"/>
          <w:iCs w:val="1"/>
          <w:color w:val="auto"/>
        </w:rPr>
        <w:t>ash</w:t>
      </w:r>
      <w:r>
        <w:rPr>
          <w:rFonts w:ascii="Arial" w:cs="Arial" w:eastAsia="Arial" w:hAnsi="Arial"/>
          <w:sz w:val="18"/>
          <w:szCs w:val="18"/>
          <w:color w:val="auto"/>
        </w:rPr>
        <w:t xml:space="preserve"> mice. These mice have elevated urinary orotic acid. Because they have a small amount of residual OTC enzyme activity, they are not hyperammonemic unless challenged with a high protein diet through inhibition of the residual OTC enzyme activity.</w:t>
      </w:r>
    </w:p>
    <w:p>
      <w:pPr>
        <w:spacing w:after="0" w:line="187"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 xml:space="preserve">We treated OTC-spf </w:t>
      </w:r>
      <w:r>
        <w:rPr>
          <w:rFonts w:ascii="Arial" w:cs="Arial" w:eastAsia="Arial" w:hAnsi="Arial"/>
          <w:sz w:val="15"/>
          <w:szCs w:val="15"/>
          <w:i w:val="1"/>
          <w:iCs w:val="1"/>
          <w:color w:val="auto"/>
        </w:rPr>
        <w:t>ash</w:t>
      </w:r>
      <w:r>
        <w:rPr>
          <w:rFonts w:ascii="Arial" w:cs="Arial" w:eastAsia="Arial" w:hAnsi="Arial"/>
          <w:sz w:val="18"/>
          <w:szCs w:val="18"/>
          <w:color w:val="auto"/>
        </w:rPr>
        <w:t xml:space="preserve"> mice, with induced hyperammonemia resulting from a high protein diet, with one intravenous dose of LUNAR-encapsulated human OTC mRNA (candidate mRNA sequences tested at a low, middle, and high dose levels). A LUNAR-encapsulated Luciferase mRNA was included as a control. As shown in the figure below, this single treatment significantly reduced urinary orotic acid levels for at least seven days post-treatment (n=4-6 animals per group).</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i w:val="1"/>
          <w:iCs w:val="1"/>
          <w:color w:val="auto"/>
        </w:rPr>
        <w:t>Urinary orotic acid levels following single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169545</wp:posOffset>
            </wp:positionV>
            <wp:extent cx="3747770" cy="19297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74777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Functional effects following repeat dosing of LUNAR-encapsulated human OTC mRNA in </w:t>
      </w:r>
      <w:r>
        <w:rPr>
          <w:rFonts w:ascii="Arial" w:cs="Arial" w:eastAsia="Arial" w:hAnsi="Arial"/>
          <w:sz w:val="18"/>
          <w:szCs w:val="18"/>
          <w:i w:val="1"/>
          <w:iCs w:val="1"/>
          <w:color w:val="auto"/>
        </w:rPr>
        <w:t>OTC-spf</w:t>
      </w:r>
      <w:r>
        <w:rPr>
          <w:rFonts w:ascii="Arial" w:cs="Arial" w:eastAsia="Arial" w:hAnsi="Arial"/>
          <w:sz w:val="18"/>
          <w:szCs w:val="18"/>
          <w:color w:val="auto"/>
        </w:rPr>
        <w:t xml:space="preserve"> </w:t>
      </w:r>
      <w:r>
        <w:rPr>
          <w:rFonts w:ascii="Arial" w:cs="Arial" w:eastAsia="Arial" w:hAnsi="Arial"/>
          <w:sz w:val="15"/>
          <w:szCs w:val="15"/>
          <w:i w:val="1"/>
          <w:iCs w:val="1"/>
          <w:color w:val="auto"/>
        </w:rPr>
        <w:t>ash</w:t>
      </w:r>
      <w:r>
        <w:rPr>
          <w:rFonts w:ascii="Arial" w:cs="Arial" w:eastAsia="Arial" w:hAnsi="Arial"/>
          <w:sz w:val="18"/>
          <w:szCs w:val="18"/>
          <w:color w:val="auto"/>
        </w:rPr>
        <w:t xml:space="preserve"> mice were then determined. </w:t>
      </w:r>
      <w:r>
        <w:rPr>
          <w:rFonts w:ascii="Arial" w:cs="Arial" w:eastAsia="Arial" w:hAnsi="Arial"/>
          <w:sz w:val="18"/>
          <w:szCs w:val="18"/>
          <w:i w:val="1"/>
          <w:iCs w:val="1"/>
          <w:color w:val="auto"/>
        </w:rPr>
        <w:t>OTC-spf</w:t>
      </w:r>
      <w:r>
        <w:rPr>
          <w:rFonts w:ascii="Arial" w:cs="Arial" w:eastAsia="Arial" w:hAnsi="Arial"/>
          <w:sz w:val="18"/>
          <w:szCs w:val="18"/>
          <w:color w:val="auto"/>
        </w:rPr>
        <w:t xml:space="preserve"> </w:t>
      </w:r>
      <w:r>
        <w:rPr>
          <w:rFonts w:ascii="Arial" w:cs="Arial" w:eastAsia="Arial" w:hAnsi="Arial"/>
          <w:sz w:val="15"/>
          <w:szCs w:val="15"/>
          <w:i w:val="1"/>
          <w:iCs w:val="1"/>
          <w:color w:val="auto"/>
        </w:rPr>
        <w:t>ash</w:t>
      </w:r>
      <w:r>
        <w:rPr>
          <w:rFonts w:ascii="Arial" w:cs="Arial" w:eastAsia="Arial" w:hAnsi="Arial"/>
          <w:sz w:val="18"/>
          <w:szCs w:val="18"/>
          <w:color w:val="auto"/>
        </w:rPr>
        <w:t xml:space="preserve"> mice were placed on a high-protein diet to induce hyperammonemia and treated with once weekly intravenous doses of LUNAR-encapsulated human OTC mRNA for 5 weeks at 0.3 and 1.0 mg/kg with a 2-week washout period. As shown in the figure below, animals in the 1.0 mg/kg LUNAR-OTC treatment group were completely protected from lethality (n=10 animals per group).</w:t>
      </w:r>
    </w:p>
    <w:p>
      <w:pPr>
        <w:spacing w:after="0" w:line="200" w:lineRule="exact"/>
        <w:rPr>
          <w:sz w:val="20"/>
          <w:szCs w:val="20"/>
          <w:color w:val="auto"/>
        </w:rPr>
      </w:pPr>
    </w:p>
    <w:p>
      <w:pPr>
        <w:spacing w:after="0" w:line="203"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Survival of OTC-deficient mice on high protein diet following weekly LUNAR-OTC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169545</wp:posOffset>
            </wp:positionV>
            <wp:extent cx="4253865" cy="22898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253865"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LUNAR-OTC program utilizes our current innovations in protein sequence optimization, mRNA coding region optimization and our proprietary untranslated regions that increase the efficiency of our mRNA therapeutic to translate into protein, the half-life of the OTC protein and also its localization into the mitochondria (a cellular structure) where the OTC protein resides and functions.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240" w:top="459" w:right="5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 LUNAR-CF</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LUNAR-CF program addresses cystic fibrosis, a progressive lung disease caused by mutations in the CFTR gene. We use our LUNAR platform to deliver optimized CFTR mRNA into airway epithelial cells. This allows airway cells to produce functional CFTR protein using their native translational machinery and protein trafficking pathways.</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 xml:space="preserve">This approach has the potential to treat the underlying defect that causes CF (dysfunctional or absent CFTR protein) in </w:t>
      </w:r>
      <w:r>
        <w:rPr>
          <w:rFonts w:ascii="Arial" w:cs="Arial" w:eastAsia="Arial" w:hAnsi="Arial"/>
          <w:sz w:val="18"/>
          <w:szCs w:val="18"/>
          <w:i w:val="1"/>
          <w:iCs w:val="1"/>
          <w:color w:val="auto"/>
        </w:rPr>
        <w:t>all</w:t>
      </w:r>
      <w:r>
        <w:rPr>
          <w:rFonts w:ascii="Arial" w:cs="Arial" w:eastAsia="Arial" w:hAnsi="Arial"/>
          <w:sz w:val="18"/>
          <w:szCs w:val="18"/>
          <w:color w:val="auto"/>
        </w:rPr>
        <w:t xml:space="preserve"> such patients, regardless of mutation type. The potential has been recognized by Cystic Fibrosis Foundation Therapeutics, Inc. (CFFT), with whom we have partnered to develop this important therapy.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 of CF</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According to the National Institutes of Health, CF is the most common lethal genetic disease in the United States. Currently, Arcturus is focusing on Class 1 patients which make up approximately 10% of the United States CF population. More than 30,000 people are living with CF in the United States, 70,000 people worldwide, and approximately 1,000 people are newly-diagnosed each year. There are 2,000 known mutations in the CFTR gene that affect the function of the CFTR protein, an ion channel that controls chloride and sodium movement in-and-out of cells. When this channel is absent or dysfunctional, thick mucus can accumulate in airways and pancreatic ducts, which can cause coughing, chronic bacterial infections, inflammation, tissue scarring, digestive problems and other serious complications. The median lifespan for a person with CF in the United States is 37 years, and the cause of death is usually lung damage.</w:t>
      </w:r>
    </w:p>
    <w:p>
      <w:pPr>
        <w:spacing w:after="0" w:line="189"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There are currently no FDA-approved drugs that can treat all 2,000 CFTR mutations. The FDA has approved three CFTR modulator therapies (Kalydeco</w:t>
      </w:r>
      <w:r>
        <w:rPr>
          <w:rFonts w:ascii="Arial" w:cs="Arial" w:eastAsia="Arial" w:hAnsi="Arial"/>
          <w:sz w:val="14"/>
          <w:szCs w:val="14"/>
          <w:color w:val="auto"/>
        </w:rPr>
        <w:t>®</w:t>
      </w:r>
      <w:r>
        <w:rPr>
          <w:rFonts w:ascii="Arial" w:cs="Arial" w:eastAsia="Arial" w:hAnsi="Arial"/>
          <w:sz w:val="17"/>
          <w:szCs w:val="17"/>
          <w:color w:val="auto"/>
        </w:rPr>
        <w:t>, Orkambi</w:t>
      </w:r>
      <w:r>
        <w:rPr>
          <w:rFonts w:ascii="Arial" w:cs="Arial" w:eastAsia="Arial" w:hAnsi="Arial"/>
          <w:sz w:val="14"/>
          <w:szCs w:val="14"/>
          <w:color w:val="auto"/>
        </w:rPr>
        <w:t>®</w:t>
      </w:r>
      <w:r>
        <w:rPr>
          <w:rFonts w:ascii="Arial" w:cs="Arial" w:eastAsia="Arial" w:hAnsi="Arial"/>
          <w:sz w:val="17"/>
          <w:szCs w:val="17"/>
          <w:color w:val="auto"/>
        </w:rPr>
        <w:t xml:space="preserve"> and Symdeko</w:t>
      </w:r>
      <w:r>
        <w:rPr>
          <w:rFonts w:ascii="Arial" w:cs="Arial" w:eastAsia="Arial" w:hAnsi="Arial"/>
          <w:sz w:val="14"/>
          <w:szCs w:val="14"/>
          <w:color w:val="auto"/>
        </w:rPr>
        <w:t>®</w:t>
      </w:r>
      <w:r>
        <w:rPr>
          <w:rFonts w:ascii="Arial" w:cs="Arial" w:eastAsia="Arial" w:hAnsi="Arial"/>
          <w:sz w:val="17"/>
          <w:szCs w:val="17"/>
          <w:color w:val="auto"/>
        </w:rPr>
        <w:t>), to treat fewer than 40 CF-causing mutations. These drugs do not treat the underlying genetic cause of CF, but instead assist the mutant CFTR protein to reach the cell membrane and/or increase the functional ion channel activity of the mutant CFTR protein. For patients with other mutations, palliative treatment, including antibiotics and mucolytics, is the primary standard of care. Many of these patients ultimately suffer from decreased lung function and require lung transplant.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Our LUNAR-CF Solution</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With the support of CFFT, we are developing an mRNA therapeutic to treat and prevent lung disease in CF patients. Our LUNAR-CF compound comprises normal CFTR mRNA encapsulated by LUNAR delivery technology. This approach is a form of protein replacement therapy as it enables lung cells to produce normal CFTR protein.</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We have completed preclinical proof-of-concept studies, demonstrating that LUNAR efficiently delivers a functional reporter mRNA efficiently into mouse lung epithelial cells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(figure below). Six hours following intratracheal delivery of 0.1 mg/kg of the LUNAR-encapsulated reporter green fluorescent protein (GFP) mRNA, GFP protein expression (shown in brown) was observed in mouse lung epithelial cells of the primary bronchus and in bronchioles, important lung structures, located in the upper and lower airways.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 vivo targeting to lung epithelial cells following treatment with LUNAR-reporter mRNA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169545</wp:posOffset>
            </wp:positionV>
            <wp:extent cx="4039235" cy="19037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03923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Through optimization of the CFTR mRNA coding sequence and untranslated regions, we were also able to significantly improve CFTR expression and demonstrate enhanced ion channel activity in an in vitro model system. In cystic fibrosis bronchial epithelial (CFBE) cells transfected with a lead candidate CFTR mRNA sequence, protein expression was significantly increased and the duration of expression was prolonged compared to a reference CFTR mRNA which is the natural coding sequence (figure below, left). When the Arcturus lead candidate CFTR mRNA was transfected into FRT epithelial cells (a cell type used to measure conductance in CF research), a significant increase in transepithelial conductance was observed (figure below, right), indicating that the CFTR protein produced from the mRNA is functional. In this study, the same reference CFTR mRNA was included and minimal functional activity was observed, indicating significant improvement of our proprietary mRNA design compared to the natural sequence.</w:t>
      </w: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CFTR protein expression (left) and functional activity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169545</wp:posOffset>
            </wp:positionV>
            <wp:extent cx="5154295" cy="17754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5429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COLLABORATION AGREEMENTS</w:t>
      </w:r>
    </w:p>
    <w:p>
      <w:pPr>
        <w:spacing w:after="0" w:line="229"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In addition to our internal development programs, we have a number of development partnerships structured such that we work to discover siRNA or mRNA therapeutic candidates formulated in our LUNAR lipid-mediated delivery system. We are collaborating with Janssen to develop nucleic acid-based candidates for hepatitis B virus (HBV) and potentially other infectious or respiratory diseases, with SGI to enable their self-replicating RNA</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technology for animal and human vaccines and therapeutics, with Takeda to develop nucleic acid therapeutic candidates for NASH and other gastrointestinal disorders, with Ultragenyx to develop mRNA therapeutic candidates for rare disease targets and with CureVac to develop mRNA therapeutic and vaccine candidates for various indications. We have also received funding from Cystic Fibrosis Foundation Therapeutics, Inc., or CFFT, to support our LUNAR-CF development program, which is described above.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Janssen Agreement</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On October 18, 2017, we entered into a Research Collaboration and License Agreement (“Janssen Agreement”) with Janssen to address hepatitis B virus (HBV) with an RNA approach. Under this agreement, we are collaborating with Janssen to create therapeutics intended to treat HBV, and at Janssen’s option, other infectious or respiratory disease viruses. Both parties to the Janssen Agreement will carry out their respective research obligations pursuant to agreed upon joint research plans. Janssen may select certain therapeutics in the field for further development by the parties under a joint research plan subject to the terms of the Janssen agreement. Following these joint research efforts, if Janssen selects a development candidate, we will grant to Janssen an exclusive license to the development candidate. As a part of this agreement with Janssen, we will not engage in research independent of this agreement with Janssen for HBV or other disease areas in which Janssen has exercised its option rights to products in the therapeutic area.</w:t>
      </w:r>
    </w:p>
    <w:p>
      <w:pPr>
        <w:spacing w:after="0" w:line="192"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Janssen agreement provides that Janssen will develop the licensed development candidates, obtain certain regulatory approvals and commercialize products containing the development candidates. With respect to rights in infectious and respiratory diseases, Janssen also has an option to have us develop and license therapeutics for infectious and respiratory disease viruses, provided that we may collaborate with third parties and license any rights in the option disease areas to third parties so long as Janssen has not exercised its option rights to products in the therapeutic area. Under the Janssen Agreement, both parties also grant each other certain non-exclusive, royalty-free licenses to conduct the research under the agreement.</w:t>
      </w:r>
    </w:p>
    <w:p>
      <w:pPr>
        <w:spacing w:after="0" w:line="15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Under the Janssen Agreement, Janssen paid us an up-front fee in the mid $5 million to $10 million range. On a development candidate-by-development candidate basis, Janssen will pay us certain development milestone payments of up to $56.5 million for each of the first two products in HBV and in each indication for which Janssen exercises an option. In addition, Janssen will pay us multiple sales milestone payments in the $20 million to $40 million range if specified annual net sales milestones are achieved by Janssen, on a research program-by-research program basis for the first calendar year in which such net sales milestones have been achieved. Janssen will also pay option exercise fees within the $1 to $5 million range, depending on timing of the election to include either of the option fields. In addition, Janssen will pay royalties on annual net sales of licensed products up to mid-single digits range, subject to reduction on a country-by-country and licensed-product-by-licensed-product basis and subject to certain events, such as expiration of program patents.</w:t>
      </w:r>
    </w:p>
    <w:p>
      <w:pPr>
        <w:spacing w:after="0" w:line="17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Janssen Agreement will terminate when no further royalty payments on any licensed products are payable. Janssen may terminate the Janssen Agreement at any time on a licensed product-by-licensed product and country-by-country basis, or in its entirety, in each case upon 60 days’ written notice.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Ultragenyx Agreement</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On October 26, 2015, we and Ultragenyx Pharmaceutical Inc. entered into a Research Collaboration and License Agreement, as amended on October 17, 2017 and April 20, 2018 (the “Ultragenyx Agreement”). Ultragenyx initially selected two development targets, including Glycogen Storage Disease III, and the parties agreed to a list of eight additional reserved targets related to rare diseases for which Ultragenyx has the exclusive right to evaluate for collaborative development. During the reserved target exclusivity period Ultragenyx may substitute a reserved target for a selected target, and/or exercise an expansion option by payment to us, whereby a reserved target will be deemed an additional target (and will preclude an additional reserved target in place of the converted reserved target). Further, during the reserved target exclusivity period, Ultragenyx may replace a</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reserved target with a proposed new target, subject to certain conditions including whether we have the ability to partner such new target.</w:t>
      </w:r>
    </w:p>
    <w:p>
      <w:pPr>
        <w:spacing w:after="0" w:line="225"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The Ultragenyx Agreement additionally provides for limitations on our activities with third parties utilizing LUNAR lipid-mediated delivery technology with respect to a development target for a specified period of time. During the reserved target exclusivity period, we have agreed to exclusivity with respect to any product containing mRNA, including modified mRNA, or UNA oligomer with respect to such reserved target, and will first offer Ultragenyx a right of first negotiation for any other RNA product or a product utilizing the LUNAR delivery technology with respect to such reserved target. The reserved target restrictions terminate upon expiration of the reserved target exclusivity period for each target, which may be extended on a reserved target-by-reserved target basis upon payment of an exclusivity extension fee.</w:t>
      </w:r>
    </w:p>
    <w:p>
      <w:pPr>
        <w:spacing w:after="0" w:line="17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On a reserved target-by-reserved target basis, following the target exclusivity period, Ultragenyx receives an exclusive right of first negotiation to obtain an exclusive license to exploit RNA products with respect to such reserved target. Following the reserved target right of first negotiation period, if the parties have not entered into an agreement during a specified time period, the rights of Ultragenyx terminate and we may grant a license or enter into a third-party arrangement with respect to such reserved target.</w:t>
      </w:r>
    </w:p>
    <w:p>
      <w:pPr>
        <w:spacing w:after="0" w:line="18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Under the Ultragenyx Agreement, Ultragenyx receives a co-exclusive, royalty-free, sublicenseable license under our technology and collaboration technology to conduct collaborative development of development targets, compounds and products. The license remains in effect for a specified option period based upon development plan milestones being achieved with respect to development targets and reserved targets and compounds and products with respect to such development targets and reserved targets. If Ultragenyx exercises its option with respect to a development target and the parties enter into a license agreement, Ultragenyx receives an exclusive (even as to us), royalty bearing, sublicenseable (subject to certain limitations), license under our technology and collaboration technology to exploit compound and products with respect to such development target.</w:t>
      </w:r>
    </w:p>
    <w:p>
      <w:pPr>
        <w:spacing w:after="0" w:line="165"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For development and reserved targets that revert to us, we will pay Ultragenyx royalties on net sales of discontinued targets on a country-by-country basis, until the expiration of the last valid claim or the product-specific patents or patent rights licensed by Ultragenyx to us covering such discontinued targets. Such royalties depend on the state of development of the corresponding discontinued target, set in the low-single digits range.</w:t>
      </w:r>
    </w:p>
    <w:p>
      <w:pPr>
        <w:spacing w:after="0" w:line="14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Ultragenyx paid us an upfront fee of $10 million. We are entitled to certain additional payments upon exercise of the Ultragenyx expansion option and/or exclusivity extension (if any), and for costs incurred by us in conducting the activities assigned to us under each collaboration development plan. In addition, on a development target-by-development target basis, Ultragenyx will pay us a one-time milestone payment after the first optimized lead designation for the first product with respect of such development target. For each development target for which Ultragenyx exercises its option, Ultragenyx will pay us a one-time option exercise fee based upon on the total number of development targets for which option exercises have been made by Ultragenyx. The option exercise fee is subject to reduction if a development target does not, for example, utilize RNA delivery technology covered by our patent or a nucleic acid chemistry technology covered by our patent. Ultragenyx will also pay us certain milestone payments in the maximum amount of $49 million per development target with respect to clinical/regulatory development, and a maximum amount of $90 million per development target with respect to commercialization, in each case subject to reduction if such product does not utilize RNA delivered technology covered by our patent. Ultragenyx will pay royalties as a percentage of net sales on a product-by-product and country-by-country basis during the applicable royalty term up to 10%.</w:t>
      </w:r>
    </w:p>
    <w:p>
      <w:pPr>
        <w:spacing w:after="0" w:line="183"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The Ultragenyx Agreement provides that each party owns their respective collaboration know-how and collaboration patents and jointly own all joint collaboration know-how and joint collaboration patents, provided that Ultragenyx owns all right, title and interest in and to all collaboration technology that specifically relates to (a) the composition or formulation of a particular compound or product, or (b) any method of using, making or administering a particular compound or product. Further, we will own all improvements to LUNAR lipid-mediated delivery technology and/or UNA oligomer chemistry.</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Ultragenyx Agreement expires on the last-to-expire royalty term for the last product on a development target-by-development target basis, unless earlier terminated. Upon expiration with respect to a particular development target, the licenses to Arcturus know-how granted to Ultragenyx to exploit products with respect to such development target will be fully paid-up, irrevocable and exclusive. On a target-by-target basis, Ultragenyx has the right to terminate for convenience with respect to such target upon 60 days written notice.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Synthetic Genomics Agreement</w:t>
      </w:r>
    </w:p>
    <w:p>
      <w:pPr>
        <w:spacing w:after="0" w:line="117"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On October 24, 2017, we entered into a Research and Exclusive License Agreement with Synthetic Genomics, Inc. (the “Synthetic Genomics Agreement”). Under the Synthetic Genomics Agreement, we will carry out research relating to our LUNAR lipid-mediated delivery for specifically agreed research programs in the area of self-replicating mRNA.</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granted Synthetic Genomics an exclusive, worldwide license, under our intellectual property related to LUNAR lipid-mediated delivery, to research, develop, manufacture and commercialize for vaccine and human therapeutic self-amplifying RNA products but expressly excluding diagnosis, prophylaxis and treatment of respiratory disease viruses other than influenza.</w:t>
      </w:r>
    </w:p>
    <w:p>
      <w:pPr>
        <w:spacing w:after="0" w:line="181" w:lineRule="exact"/>
        <w:rPr>
          <w:sz w:val="20"/>
          <w:szCs w:val="20"/>
          <w:color w:val="auto"/>
        </w:rPr>
      </w:pPr>
    </w:p>
    <w:p>
      <w:pPr>
        <w:jc w:val="both"/>
        <w:ind w:left="200" w:right="260" w:firstLine="441"/>
        <w:spacing w:after="0" w:line="288" w:lineRule="auto"/>
        <w:rPr>
          <w:sz w:val="20"/>
          <w:szCs w:val="20"/>
          <w:color w:val="auto"/>
        </w:rPr>
      </w:pPr>
      <w:r>
        <w:rPr>
          <w:rFonts w:ascii="Arial" w:cs="Arial" w:eastAsia="Arial" w:hAnsi="Arial"/>
          <w:sz w:val="16"/>
          <w:szCs w:val="16"/>
          <w:color w:val="auto"/>
        </w:rPr>
        <w:t>Each party retains ownership rights over intellectual property invented jointly by Synthetic Genomics and us (with inventorship determined by U.S. patent law). Under the Synthetic Genomics Agreement, we own all LUNAR product manufacturing process and process technology within any jointly invented program intellectual property (pursuant to an assignment by Synthetic Genomics of its interest in the joint intellectual property).</w:t>
      </w:r>
    </w:p>
    <w:p>
      <w:pPr>
        <w:ind w:left="200" w:right="40"/>
        <w:spacing w:after="0" w:line="253" w:lineRule="auto"/>
        <w:rPr>
          <w:sz w:val="20"/>
          <w:szCs w:val="20"/>
          <w:color w:val="auto"/>
        </w:rPr>
      </w:pPr>
      <w:r>
        <w:rPr>
          <w:rFonts w:ascii="Arial" w:cs="Arial" w:eastAsia="Arial" w:hAnsi="Arial"/>
          <w:sz w:val="18"/>
          <w:szCs w:val="18"/>
          <w:color w:val="auto"/>
        </w:rPr>
        <w:t>Synthetic Genomics owns all other intellectual property conceived by or for us or jointly invented in performing any research plan that is not expressly assigned to us. Synthetic Genomics will reimburse us for labor costs and pay us a percentage of all cash payments received from any sublicense for a LUNAR product, in the mid 10% to 20% range, less payments made to third parties to obtain the right to practice intellectual property used to develop or necessary to make, use, or sell all or part of licensed LUNAR product (which reduction may not exceed 50% of the aggregate amount paid to us with respect to a specific LUNAR product for any calendar quarter).</w:t>
      </w:r>
    </w:p>
    <w:p>
      <w:pPr>
        <w:spacing w:after="0" w:line="19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Synthetic Genomics enters into a LUNAR research agreement with a third party, does not develop a LUNAR product with such third party, but subsequently licenses non-LUNAR products to and develops non-LUNAR products with such third party, then Synthetic Genomics will pay us a percentage of the consideration received for such non-LUNAR product in the 5% to 10% range. In the event that Synthetic Genomics desires to sell LUNAR products for which it obtains marketing approval, the Synthetic Genomics Agreement provides that we and Synthetic Genomics will negotiate in good faith with respect to the economics for that specific product opportunity.</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Under the Synthetic Genomics Agreement, in order to maintain exclusive rights, Synthetic Genomics must achieve certain specified milestones or pay us annual exclusivity maintenance fees.</w:t>
      </w:r>
    </w:p>
    <w:p>
      <w:pPr>
        <w:spacing w:after="0" w:line="170"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Unless earlier terminated, the agreement with Synthetic Genomics continues in full force and effect until the expiration, abandonment, or termination of the last valid claim of a patent within the licensed intellectual property, provided that, the agreement will terminate on the seventh anniversary of the effective date if the agreement becomes non-exclusive and neither Synthetic Genomics nor its sublicensee have achieved specified preclinical milestones within designated time periods. In addition, Synthetic Genomics has the right to terminate the agreement for convenience on ninety (90) days’ written notice.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Takeda Agreement</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On December 6, 2016, we entered into a Research Agreement with Millennium Pharmaceuticals, Inc., a wholly-owned subsidiary of Takeda (collectively, “Takeda”), as amended December 21, 2017 (the “Takeda</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80"/>
          </w:cols>
          <w:pgMar w:left="24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 xml:space="preserve">Agreement”). Under the agreement with Takeda, we and Takeda are conducted a research program (“Research Program”) to discover siRNA medicine(s) for the treatment of Nonalcoholic Steatohepatitis (“NASH”). We intend to develop siRNA compounds formulated in LUNAR lipid-mediated delivery technology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The Takeda agreement stated that for the initial research term, which has a stated end date of December 20, 2018 (“Research Term”), Takeda received a non-exclusive and worldwide license, with a right to sub-license, our technology for the purpose of conducting the research program under our agreement. We have further agreed, for the period of two years after the Research Term, not to engage in any research or development activities for which LUNAR and UNA oligomers are used against the same NASH target that is the subject of the Research Program. On March 8, 2019, we entered into a Research Collaboration Agreement with Takeda for the purpose of generating, producing or optimizing therapeutic mRNA molecules.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Providence Agreement</w:t>
      </w:r>
    </w:p>
    <w:p>
      <w:pPr>
        <w:spacing w:after="0" w:line="117"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On March 16, 2016, we entered into a Research Collaboration and License Agreement with a related party, Providence (the “Providence Agreement”), whose CEO and President is also a shareholder of the Company, to identify and optimize microRNA modulators or mimetics for the treatment of neoplastic diseases. In April 2017, the Providence Agreement was amended to include mRNA for the treatment of neoplastic disease. In July 2018, the Providence Agreement was amended and restated to cover brain neoplasms, breast neoplasms and ovarian neoplasms. Each party is responsible for their own research costs under the agreement, and Providence is responsible for all of the development costs through the completion of Phase 2 clinical trials. We are entitled to share in future product revenue of each product provided we share in the product’s post Phase 2 costs. Separately, Providence has agreed to pay a specified rate for the use of our employees.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CureVac Agreements</w:t>
      </w:r>
    </w:p>
    <w:p>
      <w:pPr>
        <w:spacing w:after="0" w:line="131" w:lineRule="exact"/>
        <w:rPr>
          <w:sz w:val="20"/>
          <w:szCs w:val="20"/>
          <w:color w:val="auto"/>
        </w:rPr>
      </w:pPr>
    </w:p>
    <w:p>
      <w:pPr>
        <w:ind w:left="1060" w:hanging="424"/>
        <w:spacing w:after="0"/>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Development and Option Agreement</w:t>
      </w:r>
    </w:p>
    <w:p>
      <w:pPr>
        <w:spacing w:after="0" w:line="225"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On January 1, 2018, we entered into a Development and Option Agreement with CureVac AG (“CureVac”), which was amended on May 3, 2018, as restated in the Restated Amendment to the Development and Option Agreement on September 28, 2018 (such agreement, as amended by the restated amendment, the “Development and Option Agreement”). Under the terms of the Development and Option Agreement, CureVac and Arcturus agreed to conduct joint preclinical development programs and we granted CureVac a license on pre-agreed license terms, with respect to targets to be identified during the term of our agreement, to develop and commercialize certain products incorporating our patents and know-how related to delivery systems based on or incorporating lipid-mediated delivery systems (including the LUNAR</w:t>
      </w:r>
      <w:r>
        <w:rPr>
          <w:rFonts w:ascii="Arial" w:cs="Arial" w:eastAsia="Arial" w:hAnsi="Arial"/>
          <w:sz w:val="14"/>
          <w:szCs w:val="14"/>
          <w:color w:val="auto"/>
        </w:rPr>
        <w:t>®</w:t>
      </w:r>
      <w:r>
        <w:rPr>
          <w:rFonts w:ascii="Arial" w:cs="Arial" w:eastAsia="Arial" w:hAnsi="Arial"/>
          <w:sz w:val="17"/>
          <w:szCs w:val="17"/>
          <w:color w:val="auto"/>
        </w:rPr>
        <w:t xml:space="preserve"> platform) (the “Arcturus LMD Technology”), and CureVac patents and know-how related to mRNA technology. Under the terms of the Development and Option Agreement, we granted to CureVac a worldwide, non-exclusive license to use the Arcturus LMD Technology, including the right to grant sublicenses, for the purpose of conducting research and preclinical development activities, subject to certain limitations. In addition, CureVac granted to us a worldwide, non-exclusive license under its mRNA technology, solely to the extent necessary to execute the activities contemplated by the agreement. Subject to certain restrictions, the parties will have an undivided one-half interest in the patents and know-how developed jointly by the parties during the course of the agreement. Pursuant to a May 2018 amendment to the Development and Option Agreement (which as noted above was amended and restated on September 28, 2018), we increased the number of targets available to CureVac under the Development and Option Agreement and agreed upon the license forms to be executed upon selection of the targets by CureVac.</w:t>
      </w:r>
    </w:p>
    <w:p>
      <w:pPr>
        <w:spacing w:after="0" w:line="185"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consideration for the rights granted under the agreement, we received an upfront fee from CureVac. Each development program will be subject to the terms of a work plan under which the parties will use diligent efforts to develop defined products. CureVac may designate certain targets as reserved targets, subject to certain pre-existing restrictions. CureVac has licenses from us for a pre-defined number of targets to use the Arcturus LMD Technology for the development and commercialization of products. To the extent a reserved target is only</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80"/>
          </w:cols>
          <w:pgMar w:left="24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6"/>
          <w:szCs w:val="16"/>
          <w:color w:val="auto"/>
        </w:rPr>
        <w:t>available on a nonexclusive basis, CureVac may elect to enter into a non-exclusive license agreement. Such licenses shall be obtained under separate, pre-negotiated forms of license agreements to be entered into by the parties upon identification of the targets. If CureVac identifies a target pursuant to the agreement, it will be required to pay us a fee for an exclusive license—or non-exclusive license, as applicable—based on whether the target is a rare disease target or non-rare disease targets. Pursuant to the form of exclusive license agreement, if CureVac achieves all development and commercialization milestones with respect to the licensed product developed for an identified target, CureVac will be required to pay certain development and regulatory approval milestones depending on whether the target is a rare disease target or non-rare disease target. CureVac will also be required to pay us low single-digit royalties on the net sales of each product falling under a license agreement on a country-by-country and product-by-product basis. Such royalties are subject to reduction for third party payments with respect to licensed products or if there is no valid claim under the licensed patents, but may not fall below a specified percentage if the licensed product during the royalty term is not covered by a licensed patent. Further, if within 24 months after the license agreement effective date, CureVac grants a sublicense to a third party under the license agreement for the development and commercialization of licensed products, then CureVac will pay us a single-digit percentage of the total sublicense income actually received by CureVac to the extent the sublicense income exceeds the fee paid by CureVac under the Development and Option Agreement to identify a target for this license agreement and the milestone payments paid by CureVac under this license agreement. The fees, milestones and royalty payments for a non-exclusive license are fifty percent (50%) of the corresponding payments for an exclusive license.</w:t>
      </w:r>
    </w:p>
    <w:p>
      <w:pPr>
        <w:spacing w:after="0" w:line="172"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Development and Option Agreement has an initial term of eight years unless earlier terminated or extended in accordance with its terms. Within 60 days prior to the expiration of the initial term, CureVac has the option to extend the initial term of the agreement on an annual basis for up to a total of three successive years upon payment to us of an annual non-refundable extension fee. CureVac has the right to terminate the agreement in full or on a program-by-program basis (i) in the event of material breach by us that is not cured within the cure period specified in the agreement, (ii) in the event of a change in control of Arcturus or (iii) without cause upon 60 days’ notice to us. We have the right to terminate the agreement upon material breach by CureVac that is not cured within the period specified by the agreement. Upon termination, all licenses granted under the agreement will terminate, but any license agreement entered into pursuant upon the identification of a target will remain in effect.</w:t>
      </w:r>
    </w:p>
    <w:p>
      <w:pPr>
        <w:spacing w:after="0" w:line="73" w:lineRule="exact"/>
        <w:rPr>
          <w:sz w:val="20"/>
          <w:szCs w:val="20"/>
          <w:color w:val="auto"/>
        </w:rPr>
      </w:pPr>
    </w:p>
    <w:p>
      <w:pPr>
        <w:ind w:left="1060" w:hanging="424"/>
        <w:spacing w:after="0"/>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Co-Development and Co-Commercialization Agreement</w:t>
      </w:r>
    </w:p>
    <w:p>
      <w:pPr>
        <w:spacing w:after="0" w:line="22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Concurrently with the Development and Option Agreement, we entered into a Co-Development and Co-Commercialization Agreement with CureVac (the “Co-Development Agreement”). Pursuant to the Co-Development Agreement, the overall collaboration will be managed by a joint steering committee. The parties also have the option to co-develop two mRNA programs for CureVac and one mRNA program for us, including targets for such programs selected from the reserved target list established under the Development and Option Agreement.</w:t>
      </w:r>
    </w:p>
    <w:p>
      <w:pPr>
        <w:spacing w:after="0" w:line="171" w:lineRule="exact"/>
        <w:rPr>
          <w:sz w:val="20"/>
          <w:szCs w:val="20"/>
          <w:color w:val="auto"/>
        </w:rPr>
      </w:pPr>
    </w:p>
    <w:p>
      <w:pPr>
        <w:jc w:val="both"/>
        <w:ind w:left="200" w:right="80" w:firstLine="441"/>
        <w:spacing w:after="0" w:line="288" w:lineRule="auto"/>
        <w:rPr>
          <w:sz w:val="20"/>
          <w:szCs w:val="20"/>
          <w:color w:val="auto"/>
        </w:rPr>
      </w:pPr>
      <w:r>
        <w:rPr>
          <w:rFonts w:ascii="Arial" w:cs="Arial" w:eastAsia="Arial" w:hAnsi="Arial"/>
          <w:sz w:val="16"/>
          <w:szCs w:val="16"/>
          <w:color w:val="auto"/>
        </w:rPr>
        <w:t>Unless earlier terminated, the Co-Development Agreement shall continue in full force and effect on a product-by-product and country-by-country basis until the commercialization party no longer sells product in such country, or with respect to opt-out products, the expiration of the royalty term for such product in accordance with the terms of the agreement. A program initiated pursuant to the Co-Development Agreement may be earlier terminated</w:t>
      </w:r>
    </w:p>
    <w:p>
      <w:pPr>
        <w:ind w:left="200" w:right="80" w:firstLine="4"/>
        <w:spacing w:after="0" w:line="254" w:lineRule="auto"/>
        <w:tabs>
          <w:tab w:leader="none" w:pos="41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CureVac with respect to an Arcturus program and by Arcturus with respect to a CureVac program, for convenience upon 180 days written notice, or (ii) by either party in the event of material breach, if the breaching party has not cured such breach within the applicable cure period. The Co-Development Agreement may be earlier terminated by either party in the event the other party commences legal action against the terminating party challenging the scope of the non-challenging party’s patents.</w:t>
      </w:r>
    </w:p>
    <w:p>
      <w:pPr>
        <w:spacing w:after="0" w:line="190"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On February 11, 2019, the Company announced the termination of the obligations of CureVac for the preclinical development of ARCT-810, effective 180 days from February 5, 2019 and the re-assumption by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Company of the worldwide rights thereto. Arcturus will reassume 100% global rights for its flagship asset, clinical development candidate ARCT-810, a messenger RNA (mRNA) drug to treat ornithine transcarbamylase (OTC) deficiency. ARCT-810 was previously subject to a 50/50 collaboration between Arcturus and CureVac AG under the Co-Development Agreement. CureVac elected not to continue its obligations for the preclinical development of ARCT-810 under and pursuant to the terms of the collaboration, which will be effective in the third quarter of 2019.</w:t>
      </w:r>
    </w:p>
    <w:p>
      <w:pPr>
        <w:spacing w:after="0" w:line="17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Pursuant to the terms of the Co-Development Agreement, CureVac is obligated to continue to fund its share of the preclinical expenses for the OTC program into August of 2019.</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MATERIAL AGREEMENTS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has certain other material agreements, including the Protiva Agreement and CFFT Agreement discussed below.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Protiva Agreement</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On August 9, 2013, Marina Biotech, Inc. (“Marina”) assigned certain intellectual property, including patents, inventions and patent-related information related to UNA oligonucleotide therapeutics to us pursuant to a Patent Assignment and License Agreement, as well as Marina’s rights and obligations under a License Agreement with Protiva Biotherapeutics Inc. (“Protiva”), a wholly-owned subsidiary of Arbutus Biopharma Corporation, dated November 28, 2012 (the “Protiva Agreement”). The intellectual property licensed from Marina and Protiva is a significant component of our UNA oligomer chemistry platform. As partial consideration for the assignment from Marina, we granted Marina a royalty-free, fully-paid, irrevocable, worldwide, non-exclusive license to use the inventions, ideas and information embodied in the assigned patents to develop, make, use and sell chemical compounds intended for human and animal therapeutic uses (including certain rights to sublicense in connection with continuing research, development and/or commercialization). We also paid an upfront fee to Marina and agreed to maintain the assigned patents in certain countries.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Under the assigned Protiva Agreement, we granted Protiva a non-exclusive, irrevocable, perpetual, worldwide license with certain rights to</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sublicense (in connection with continuing research, development and/or commercialization) to exploit our patents, know-how and inventions relating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technology for purposes of the development of human therapeutics. Protiva will pay us milestone payments with an aggregate value of up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$3.25 million for each Protiva product directed to a specific gene target, upon achievement of certain development milestones with respect to each such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product and target. If, instead, Protiva sublicenses the commercialization rights for a Protiva product, then Protiva will pay us a percentage of sublicense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revenues paid to Protiva by such sublicensee, depending on the development stage of such Protiva product at the time of sublicense. In addition, Protiva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will pay us royalties on net sales of Protiva products during the royalty term depending on the type of product, on a country-by-country basis. For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licensed Protiva products, royalties will be paid in the low single digit range on net sales for such product, subject to reduction on net sales for such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product in the event there is no patent coverage or generic products are introduced with respect to such Protiva product. A royalty reduction for a Protiva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product will also apply if Protiva is required to license third party intellectual property to commercialize such product, subject to a floor for such</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reductions.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Protiva Agreement term, for a particular Protiva product in a particular country, will expire (on a country-by-country basis) upon the earlier of</w:t>
      </w:r>
    </w:p>
    <w:p>
      <w:pPr>
        <w:spacing w:after="0" w:line="46" w:lineRule="exact"/>
        <w:rPr>
          <w:sz w:val="20"/>
          <w:szCs w:val="20"/>
          <w:color w:val="auto"/>
        </w:rPr>
      </w:pPr>
    </w:p>
    <w:p>
      <w:pPr>
        <w:ind w:left="200" w:right="80" w:firstLine="4"/>
        <w:spacing w:after="0" w:line="253" w:lineRule="auto"/>
        <w:tabs>
          <w:tab w:leader="none" w:pos="41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expiration of the royalty term for such Protiva product in such country or (ii) the end of the calendar quarter in which sales in such country of generic products exceed a certain amount compared to sales of Protiva products in such country. The Protiva Agreement will expire in its entirety upon expiration of the last royalty term for any of our patents with respect to which Protiva has a license under the Protiva Agreement, unless earlier terminated. Protiva may terminate the Protiva Agreement for convenience in its entirety, or for a particular country or countries, upon ninety days’ prior written notice to Arcturus.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Cystic Fibrosis Foundation Therapeutics Agreement</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On May 16, 2017, CFFT awarded us with funds for a development program to identify lead CFTR mRNA sequences and LUNAR formulations, demonstrate tolerability of LUNAR CFTR mRNA, and demonstrate translatability of aerosolized LUNAR (the “CFFT Agreement”). The award of approximately $3.1 million will be received according to a milestone schedule and unused funds will be retained by CFFT. We will use commercially reasonable efforts to conduct the development program, and after the completion of a development program, we will use commercially reasonable efforts to continue to develop the product. The award includes a grant of rights under CFFT know-how to assist us to research, develop, commercialize, make or otherwise exploit a product.</w:t>
      </w:r>
    </w:p>
    <w:p>
      <w:pPr>
        <w:spacing w:after="0" w:line="19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the award results in a successful product, we will pay CFFT a specified payment amount in installments following commercialization based on a formula that is a single-digit multiple of the total award amount, plus a payment equal to the awarded payments, after aggregate net sales of the product exceed certain thresholds. Further, in the event of a license, sale or other transfer of the product or our development program technology (including a change of control transaction), we will pay CFFT a percentage of such transfer payments actually received by us or our shareholders (subject to a royalty cap).</w:t>
      </w:r>
    </w:p>
    <w:p>
      <w:pPr>
        <w:spacing w:after="0" w:line="188"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CFFT has an interruption license right under the CFFT Agreement so that if we fail to use commercially reasonable efforts to develop a product for a certain time period before the first commercial sale of the product, CFFT may, upon written notice of such interruption to us and our failure to effectively deny such interruption or cure such interruption as set forth in the CFFT Agreement, exercise certain rights pursuant to procedures set forth in the CFFT Agreement. CFFT’s interruption license rights include, in certain cases, payments from us to CFFT, or the grant of an exclusive (even as to us), worldwide license to CFFT under our development program technology solely to the extent necessary to manufacture, have manufactured, license, use, sell, offer to sell, and support the product in the field of treatment of cystic fibrosis and other pulmonary diseases.</w:t>
      </w:r>
    </w:p>
    <w:p>
      <w:pPr>
        <w:spacing w:after="0" w:line="16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All inventions, data, know-how, information, results, analyses and other intellectual property rights resulting from the development program will be owned by us, and subject to certain exceptions, CFFT assigns and transfers to us all of CFFT’s right, title, and interest in and to all inventions and other intellectual property resulting from the development program.</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Either party may terminate the CFFT Agreement for cause (e.g., material breach by the other party of its covenants or obligations).</w:t>
      </w:r>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Our business success depends in part on our ability to obtain and maintain intellectual property protection for our proprietary technologies, inventions and know-how, and on its ability to operate without infringing on the proprietary rights of others. We strive to protect our intellectual property through a combination of patents, trademarks, trade secrets, licensing agreements and confidentiality agreements with employees, advisors, consultants and contractors.</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rely on continuing technological innovation to strengthen our proprietary position in the field of nucleic acid medicines. Therefore, we plan to continue to file patent applications in jurisdictions around the world as we discover and develops novel nucleic acid technology platforms and novel nucleic acid therapeutic candidates. We cannot guarantee that future applications will be issued.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Patent Portfolio</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As of March 1, 2019, we are the sole owner of 152 patents and pending patent applications including 18 U.S. patents, 24 pending U.S. patent applications, 7 pending international applications under Patent Cooperation</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60"/>
          </w:cols>
          <w:pgMar w:left="24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Treaty (“PCT”), 44 foreign patents and 59 pending foreign patent applications. The claims of these patents and pending applications include compositions of matter, methods of use, manufacturing process and drug product formulations. These claims cover the use of our core platform technologies including the use of LUNAR and lipid components to deliver nucleic acid, the use of UNA oligomers for therapeutics and reagents, and the use of LNA oligomers for therapeutics. Claims also cover the composition of matter and use of our therapeutic candidates to treat target diseases including HBV and NASH. Our issued patents are expected to expire between 2028 and 2038, without taking into account any possible patent term extensions.</w:t>
      </w:r>
    </w:p>
    <w:p>
      <w:pPr>
        <w:spacing w:after="0" w:line="193"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Our patent portfolio includes the following patents and pending patent applications for LUNAR, UNA and the use of LNA in certain RNA medicines:</w:t>
      </w:r>
    </w:p>
    <w:p>
      <w:pPr>
        <w:spacing w:after="0" w:line="76" w:lineRule="exact"/>
        <w:rPr>
          <w:sz w:val="20"/>
          <w:szCs w:val="20"/>
          <w:color w:val="auto"/>
        </w:rPr>
      </w:pPr>
    </w:p>
    <w:p>
      <w:pPr>
        <w:jc w:val="both"/>
        <w:ind w:left="1060" w:right="320" w:hanging="316"/>
        <w:spacing w:after="0" w:line="264"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LUNAR—As of March 1, 2019, we own 10 U.S. patents, 8 U.S. pending patent applications, 3 international applications (PTC), and 29 foreign pending patent applications covering the composition of matter and use of our LUNAR technology for nucleic acid delivery and drug delivery.</w:t>
      </w:r>
    </w:p>
    <w:p>
      <w:pPr>
        <w:spacing w:after="0" w:line="86"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UNA, mRNA and LNA—As of March 1, 2019, we own 8 U.S. patents, 16 U.S. pending patent applications, 4 PCT applications, 44 foreign patents and 30 foreign pending patent applications covering methods and uses of LNA, UNA oligomer and mRNA therapeutics, and compositions of UNA oligomers or mRNA to treat specific target diseases.</w:t>
      </w:r>
    </w:p>
    <w:p>
      <w:pPr>
        <w:spacing w:after="0" w:line="181"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Our patent portfolio includes a filing covering our LUNAR-OTC program, specifically our engineered OTC protein and our optimized mRNA sequence that encodes for the engineered OTC protein. This patent application will have a term until 2040 without extension.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Patent Terms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term of individual patents depends on the countries in which they are obtained. The patent term is 20 years from the earliest effective date of filing a non-provisional patent application in most of the countries in which we file.</w:t>
      </w:r>
    </w:p>
    <w:p>
      <w:pPr>
        <w:spacing w:after="0" w:line="170"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Under the Drug Price Competition and Patent Term Restoration Act (also known as the Hatch-Waxman Act), U.S. patent holders can apply for a patent term extension to compensate for the patent term lost during the FDA regulatory review process. Patent extension is only available for patents covering FDA-approved drugs. The extension can be up to five years beyond the original expiration date of the patent and cannot extend a patent term for longer than 14 years from the date of product approval. Only one patent extension is granted per approved drug. Similar provisions may be available in foreign jurisdictions including Europe. Arcturus intends to apply for patent term extensions where possible.</w:t>
      </w:r>
    </w:p>
    <w:p>
      <w:pPr>
        <w:spacing w:after="0" w:line="173"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Item 3.D. “Risk Factors”—“Risks Related to Our Intellectual Property.”</w:t>
      </w:r>
    </w:p>
    <w:p>
      <w:pPr>
        <w:spacing w:after="0" w:line="181"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success depends in part on our ability to:</w:t>
      </w:r>
    </w:p>
    <w:p>
      <w:pPr>
        <w:spacing w:after="0" w:line="131" w:lineRule="exact"/>
        <w:rPr>
          <w:sz w:val="20"/>
          <w:szCs w:val="20"/>
          <w:color w:val="auto"/>
        </w:rPr>
      </w:pPr>
    </w:p>
    <w:p>
      <w:pPr>
        <w:ind w:left="1060" w:hanging="316"/>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preserve trade secrets;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prevent third parties from infringing upon our proprietary rights; and</w:t>
      </w:r>
    </w:p>
    <w:p>
      <w:pPr>
        <w:spacing w:after="0" w:line="130" w:lineRule="exact"/>
        <w:rPr>
          <w:rFonts w:ascii="Arial" w:cs="Arial" w:eastAsia="Arial" w:hAnsi="Arial"/>
          <w:sz w:val="18"/>
          <w:szCs w:val="18"/>
          <w:color w:val="auto"/>
        </w:rPr>
      </w:pPr>
    </w:p>
    <w:p>
      <w:pPr>
        <w:jc w:val="center"/>
        <w:ind w:left="5580" w:right="480" w:hanging="4836"/>
        <w:spacing w:after="0" w:line="449" w:lineRule="auto"/>
        <w:tabs>
          <w:tab w:leader="none" w:pos="106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operate our business without infringing the patents and proprietary rights of third parties, both in the United States and internationally. 124</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believe that our scientific knowledge and expertise in nucleic acid-based therapies provide us with competitive advantages over the various companies and other entities that are attempting to develop similar treatments. However, we face competition at the technology platform and therapeutic indication levels from both large and small biopharmaceutical companies, academic institutions, governmental agencies and public and private research institutions. Many of our competitors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Our success will be based in part upon our ability to identify, develop and manage a portfolio of drugs that are safer and more effective than competing products in the treatment of our targeted patients. Our commercial opportunity could be reduced or eliminated if our competitors develop and commercialize products that are safer, more effective, are more convenient or are less expensive than any products we may develop.</w:t>
      </w:r>
    </w:p>
    <w:p>
      <w:pPr>
        <w:spacing w:after="0" w:line="14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are aware of several other companies that are working to develop nucleic acid medicines, including gene therapy, gene editing, mRNA, siRNA, and antisense therapeutics. Many of these companies, such as the newly formed Genevant, are also developing nucleic acid delivery platforms which compete with LUNAR technology.</w:t>
      </w:r>
    </w:p>
    <w:p>
      <w:pPr>
        <w:spacing w:after="0" w:line="18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Companies currently developing mRNA therapeutics for prophylactic vaccines, cancer vaccines, or mRNA replacement therapy for rare genetic diseases include Moderna Therapeutics, Translate Bio, Ethris GmbH, CureVac GmbH, BioNTech, and eTheRNA. Translate Bio is developing mRNA replacement therapies for cystic fibrosis and OTC deficiency which are in preclinical or early clinical development, and which directly compete with our LUNAR-OTC and LUNAR-CF programs. Ethris is in preclinical development of ETH-CFTR, a mRNA replacement therapy for cystic fibrosis. A number of companies are developing viral vector or DNA-based approaches to gene delivery for rare liver diseases, including Ultragenyx Pharmaceutical, REGENXBIO, Inc., uniQure, Vivet Therapeutics, LogicBio Therapeutics, Touchlight Genetics Ltd., Generation Bio, and Audentes Therapeutics. Ultragenyx is developing a gene therapy product for OTC deficiency which is in early clinical trials.</w:t>
      </w:r>
    </w:p>
    <w:p>
      <w:pPr>
        <w:spacing w:after="0" w:line="17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Companies developing siRNA therapeutics include Arbutus Biopharma, Arrowhead Pharmaceuticals, Inc, Quark Pharmaceuticals, Inc., Silence Therapeutics plc, Nitto Denko, Dicerna Pharmaceuticals, Inc., and Alnylam Pharmaceuticals, Inc. Antisense therapeutics are also in development by Ionis Pharmaceuticals, Roche Pharma, WAVE Life Sciences, Celgene Corporation, Akcea Therapeutics, Inc., Antisense Therapeutics, Ltd., ProQR, and Sarepta Therapeutics, Inc. Both Ionis Pharmaceuticals and ProQR are developing antisense therapies for cystic fibrosis which compete with our LUNAR-CF program.</w:t>
      </w:r>
    </w:p>
    <w:p>
      <w:pPr>
        <w:spacing w:after="0" w:line="188"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addition, to the companies mentioned above, several companies are developing non-nucleic acid therapies for OTC deficiency which are competitors to our LUNAR-OTC program. For example, Synlogic’s SYNB1020 product is treating urea cycle disorders, including OTC deficiency, by introducing engineered probiotic bacteria to the gut. Promethera’s Heparesc product involves infusion of their HepaStem, liver-derived stem cells into urea</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24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64" w:lineRule="auto"/>
        <w:rPr>
          <w:sz w:val="20"/>
          <w:szCs w:val="20"/>
          <w:color w:val="auto"/>
        </w:rPr>
      </w:pPr>
      <w:r>
        <w:rPr>
          <w:rFonts w:ascii="Arial" w:cs="Arial" w:eastAsia="Arial" w:hAnsi="Arial"/>
          <w:sz w:val="18"/>
          <w:szCs w:val="18"/>
          <w:color w:val="auto"/>
        </w:rPr>
        <w:t>cycle disorder patients to restore normal enzyme function. For cystic fibrosis, many companies are pursuing small molecule therapies designed to increase CFTR function, targeted to different patient populations, which could compete with our LUNAR-CF program. These include Vertex Pharmaceuticals, Proteostasis Therapeutics, Inc., Novartis and Galapagos.</w:t>
      </w:r>
    </w:p>
    <w:p>
      <w:pPr>
        <w:spacing w:after="0" w:line="181"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The competitive landscape continues to expand and we expect that additional companies will initiate programs focused on the development of nucleic acid therapeutic products using the approaches described above as well as potentially new approaches that may result in the more rapid development of nucleic acid therapeutics or more effective technologies for nucleic acid drug development or delivery.</w:t>
      </w: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To date, we have manufactured only limited quantities of drug substance for use in research activities. We have contracted with several third-party contract manufacturing organizations, or CMOs, for the supply of drug substance and finished product to meet our testing needs for preclinical toxicology and clinical testing. We expect to continue to rely on third-party CMOs for the supply of drug substance and drug product for our product candidates for at least the next several years, including to support the launch of our first commercial products.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80"/>
          </w:cols>
          <w:pgMar w:left="24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PRODUCT APPROVAL AND GOVERNMENT REGULATION</w:t>
      </w:r>
    </w:p>
    <w:p>
      <w:pPr>
        <w:spacing w:after="0" w:line="22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are developing. Any product candidate that we develop must be approved by the FDA before it may be legally marketed in the United States and by the appropriate foreign regulatory agency before it may be legally marketed in foreign countries.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civil or criminal sanctions. FDA sanctions could include refusal to approve pending applications, withdrawal of an approval, clinical hold, warning letters, product recalls, product seizures, total or partial suspension of production or distribution, injunctions, fines, refusals of government contracts, debarment, restitution, disgorgement or civil or criminal penalties. Any agency or judicial enforcement action could have a material adverse effect on us. The process required by the FDA before a drug may be marketed in the United States generally involves the following:</w:t>
      </w:r>
    </w:p>
    <w:p>
      <w:pPr>
        <w:spacing w:after="0" w:line="87" w:lineRule="exact"/>
        <w:rPr>
          <w:sz w:val="20"/>
          <w:szCs w:val="20"/>
          <w:color w:val="auto"/>
        </w:rPr>
      </w:pPr>
    </w:p>
    <w:p>
      <w:pPr>
        <w:ind w:left="1060" w:right="180" w:hanging="316"/>
        <w:spacing w:after="0" w:line="277"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completion of nonclinical laboratory tests, animal studies and formulation studies according to good laboratory practices, or GLP, or other applicable regulations;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trials may begin;</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regulations commonly referred to as current good clinical practices, or GCPs, to establish the safety and efficacy of the proposed drug for its intended use;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submission to the FDA of an NDA for a new drug;</w:t>
      </w:r>
    </w:p>
    <w:p>
      <w:pPr>
        <w:spacing w:after="0" w:line="130"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drug is produced to assess compliance with the FDA’s current good manufacturing practice standards, or cGMP, to assure that the facilities, methods and controls are adequate to preserve the drug’s identity, strength, quality and purity;</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trial sites that generated the data in support of the NDA;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25"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lengthy process of seeking required approvals and the continuing need for compliance with applicable statutes and regulations require the expenditure of substantial resources and approvals are inherently uncertain.</w:t>
      </w:r>
    </w:p>
    <w:p>
      <w:pPr>
        <w:spacing w:after="0" w:line="170"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Before testing any compounds with potential therapeutic value in humans, the drug candidate enters the preclinical study stage. Preclinical tests, also referred to as nonclinical studies, include laboratory evaluations of product chemistry, toxicity and formulation, as well as animal studies to assess the potential safety and activity of the drug candidate. The conduct of the preclinical tests must comply with federal regulations and requirements including GLP. The sponsor must submit the results of the preclinical tests, together with manufacturing information, analytical data, any available clinical data or literature and a proposed clinical protocol, to the FDA</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as part of the IND. The IND automatically becomes effective 30 days after receipt by the FDA, unless the FDA imposes a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trial.</w:t>
      </w:r>
    </w:p>
    <w:p>
      <w:pPr>
        <w:spacing w:after="0" w:line="18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Clinical trials involve the administration of the drug candidate to healthy volunteers or patients under the supervision of qualified investigators, generally physicians not employed by or under the trial sponsor’s direct control. Clinical trials are conducted under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regulations comprising the good clinical practices requirements.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provide oversight for the clinical trial until completed.</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31" w:lineRule="exact"/>
        <w:rPr>
          <w:sz w:val="20"/>
          <w:szCs w:val="20"/>
          <w:color w:val="auto"/>
        </w:rPr>
      </w:pPr>
    </w:p>
    <w:p>
      <w:pPr>
        <w:ind w:left="1060" w:right="380" w:hanging="316"/>
        <w:spacing w:after="0" w:line="312" w:lineRule="auto"/>
        <w:tabs>
          <w:tab w:leader="none" w:pos="10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Phase 1. The drug is initially introduced into healthy human subjects and tested for safety, dosage tolerance, absorption, metabolism, distribution and excretion. In the case of some products for severe or life-threatening diseases, especially when the product may be too inherently toxic to ethically administer to healthy volunteers, the initial human testing may be conducted in patients.</w:t>
      </w:r>
    </w:p>
    <w:p>
      <w:pPr>
        <w:spacing w:after="0" w:line="52" w:lineRule="exact"/>
        <w:rPr>
          <w:rFonts w:ascii="Arial" w:cs="Arial" w:eastAsia="Arial" w:hAnsi="Arial"/>
          <w:sz w:val="16"/>
          <w:szCs w:val="16"/>
          <w:color w:val="auto"/>
        </w:rPr>
      </w:pPr>
    </w:p>
    <w:p>
      <w:pPr>
        <w:ind w:left="1060" w:right="100" w:hanging="316"/>
        <w:spacing w:after="0" w:line="342" w:lineRule="auto"/>
        <w:tabs>
          <w:tab w:leader="none" w:pos="10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Phase 2. The drug is evaluated in a limited patient population to identify possible adverse effects and safety risks, to preliminarily evaluate the efficacy of the product for specific targeted diseases and to determine dosage tolerance, optimal dosage and dosing schedule.</w:t>
      </w:r>
    </w:p>
    <w:p>
      <w:pPr>
        <w:spacing w:after="0" w:line="29" w:lineRule="exact"/>
        <w:rPr>
          <w:rFonts w:ascii="Arial" w:cs="Arial" w:eastAsia="Arial" w:hAnsi="Arial"/>
          <w:sz w:val="16"/>
          <w:szCs w:val="16"/>
          <w:color w:val="auto"/>
        </w:rPr>
      </w:pPr>
    </w:p>
    <w:p>
      <w:pPr>
        <w:ind w:left="1060" w:right="80" w:hanging="316"/>
        <w:spacing w:after="0" w:line="259"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Phase 3. Clinical trials are undertaken to further evaluate dosage, clinical efficacy and safety in an expanded patient population at geographically dispersed clinical trial sites. These clinical trials are intended to establish the overall risk/benefit ratio of the product and provide an adequate basis for product labeling. Generally, two adequate and well-controlled Phase 3 clinical trials are required by the FDA for approval of an NDA.</w:t>
      </w:r>
    </w:p>
    <w:p>
      <w:pPr>
        <w:spacing w:after="0" w:line="18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Annual progress reports detailing the results of the clinical trials must be submitted to the FDA and written IND safety reports must be promptly submitted to the FDA and the investigators for serious and unexpected adverse events or any finding from tests in laboratory animals that suggests a significant risk for human subjects.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89"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Concurrently with clinical trials, companies usually complete additional animal studies and must also develop additional information about the chemistry and physical characteristics of the drug as well as finalize a</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240" w:top="459" w:right="5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The results of product development,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p>
    <w:p>
      <w:pPr>
        <w:spacing w:after="0" w:line="187"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for an indication for which orphan designation has been granted.</w:t>
      </w:r>
    </w:p>
    <w:p>
      <w:pPr>
        <w:spacing w:after="0" w:line="154"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FDA reviews all NDAs submitted to determine if they are substantially complete before it accepts them for filing. If the FDA determines that an NDA is incomplete or is found to be non-navigable, the filing may be refused and must be re-submitted for consideration. Once the submission is accepted for filing, the FDA begins an in-depth review of the NDA. Under the goals and policies agreed to by the FDA under the Prescription Drug User Fee Act, or PDUFA, the FDA has 10 months from acceptance of filing in which to complete its initial review of a standard NDA and respond to the applicant, and six months from acceptance of filing for a priority NDA. The FDA does not always meet its PDUFA goal dates. The review process and the PDUFA goal date may be extended by three months or longer if the FDA requests or the NDA sponsor otherwise provides additional information or clarification regarding information already provided in the submission before the PDUFA goal date.</w:t>
      </w:r>
    </w:p>
    <w:p>
      <w:pPr>
        <w:spacing w:after="0" w:line="17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or biological products or drug or biological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drug approval process, the FDA also will determine whether a risk evaluation and mitigation strategy, or REMS, is necessary to assure the safe use of the drug. If the FDA concludes a REMS is needed, the sponsor of the NDA must submit a proposed REMS; the FDA will not approve the NDA without a REMS, if required.</w:t>
      </w:r>
    </w:p>
    <w:p>
      <w:pPr>
        <w:spacing w:after="0" w:line="166"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will typically inspect the sponsor and one or more clinical sites to assure that the clinical trials were conducted in compliance with IND study requirements. If the FDA determines that the application, manufacturing process or manufacturing facilities are not acceptable it will outline the deficiencies in the submission and often will request additional testing or information.</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NDA review and approval process is lengthy and difficult and the FDA may refuse to approve an NDA if the applicable regulatory criteria are not satisfied or may require additional clinical data or other data and information. Even if such data and information is submitted, the FDA may ultimately decide that the NDA does not satisfy the criteria for approval. Data obtained from clinical trials are not always conclusive and the FDA may interpret data differently than we interpret the same data. The FDA will issue a complete response letter if the agency decides not to approve the NDA. The complete response letter usually describes all of the specific deficiencies in the NDA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submit new information, addressing all of the deficiencies identified in the letter, or withdraw the application.</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post marketing clinical trials, sometimes referred to as Phase 4 clinical trials, which are designed to further assess a drug safety and effectiveness and may require testing and surveillance programs to monitor the safety of approved products that have been commercialized.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65"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has similar but not identical benefits in the European Union.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FDA has several regulatory pathways for expedited development and/or review of products intended to treat serious conditions. These pathways are Fast Track designation, Breakthrough Therapy designation, accelerated approval, and priority review. These programs do not change the standards for approval but may expedite the development or approval process. Products may meet the standards for consideration under one or more of these pathways.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Fast Track program is intended to expedite development or facilitate the process for reviewing new drugs and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In addition to more frequent meetings with the FDA to discuss the drug’s development plan and ensure collection of appropriate data needed to support drug approval, the FDA will consider for review sections of the NDA on a rolling basis as sections are completed, based on an agreed schedule, and the sponsor pays any required user fees upon submission of the first section of the NDA.</w:t>
      </w:r>
    </w:p>
    <w:p>
      <w:pPr>
        <w:spacing w:after="0" w:line="18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Breakthrough Therapy designation is a process designed to expedite the development and review of drugs that are intended to treat a serious condition and where preliminary clinical evidence indicates that the drug may demonstrate substantial improvement over available therapy on or more clinically significant endpoint(s). A drug that receives Breakthrough Therapy designation from the FDA is eligible for all Fast Track designation features, plus intensive guidance on an efficient drug development program beginning as early as Phase 1 and organizational commitment involving senior managers.</w:t>
      </w:r>
    </w:p>
    <w:p>
      <w:pPr>
        <w:spacing w:after="0" w:line="188"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Products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Accelerated Approval can be granted with restrictions to the marketing and distribution of the product, and the FDA can withdraw marketing approval if the required post-marketing studies fail to show a clinical benefit or if the sponsor fails to conduct required post-marketing studies.</w:t>
      </w:r>
    </w:p>
    <w:p>
      <w:pPr>
        <w:spacing w:after="0" w:line="18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Any drug products for which we or our strategic alliance partners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which include, among others, standards for direct-to-consumer advertising, promoting drugs for uses or in patient populations that are not described in the drug’s approved labeling (known as “off-label use”), industry-sponsored scientific and educational activities, and promotional activities involving the internet. Failure to comply with FDA requirements can have negative consequences, including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w:t>
      </w:r>
    </w:p>
    <w:p>
      <w:pPr>
        <w:spacing w:after="0" w:line="166"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Manufacturers of our products are required to comply with applicable FDA manufacturing requirements contained in the FDA’s cGMP regulations. cGMP regulations require among other things, quality control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24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91" w:lineRule="auto"/>
        <w:rPr>
          <w:sz w:val="20"/>
          <w:szCs w:val="20"/>
          <w:color w:val="auto"/>
        </w:rPr>
      </w:pPr>
      <w:r>
        <w:rPr>
          <w:rFonts w:ascii="Arial" w:cs="Arial" w:eastAsia="Arial" w:hAnsi="Arial"/>
          <w:sz w:val="16"/>
          <w:szCs w:val="16"/>
          <w:color w:val="auto"/>
        </w:rPr>
        <w:t>quality assurance as well as the corresponding maintenance of records and documentation.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including withdrawal of the product from the market.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Depending upon the timing, duration and specifics of the FDA approval of the use of our drug candidates, some of our United States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183"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Market exclusivity provisions under the FDCA can also delay the submission or the approval of certain applications of other companies seeking to reference another company’s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Foreign Corrupt Practices Act</w:t>
      </w:r>
    </w:p>
    <w:p>
      <w:pPr>
        <w:spacing w:after="0" w:line="117" w:lineRule="exact"/>
        <w:rPr>
          <w:sz w:val="20"/>
          <w:szCs w:val="20"/>
          <w:color w:val="auto"/>
        </w:rPr>
      </w:pPr>
    </w:p>
    <w:p>
      <w:pPr>
        <w:ind w:left="200" w:right="200"/>
        <w:spacing w:after="0" w:line="297" w:lineRule="auto"/>
        <w:rPr>
          <w:sz w:val="20"/>
          <w:szCs w:val="20"/>
          <w:color w:val="auto"/>
        </w:rPr>
      </w:pPr>
      <w:r>
        <w:rPr>
          <w:rFonts w:ascii="Arial" w:cs="Arial" w:eastAsia="Arial" w:hAnsi="Arial"/>
          <w:sz w:val="16"/>
          <w:szCs w:val="16"/>
          <w:color w:val="auto"/>
        </w:rPr>
        <w:t>The U.S. Foreign Corrupt Practices Act, or FCPA, prohibits certain individuals and entities, including us, from promising, paying, offering to pay, or authorizing the payment of anything of value to any foreign government official, directly or indirectly, to obtain or retain business or an improper advantage. The U.S. Department of Justice and the U.S. Securities and Exchange Commission, or SEC, have increased their enforcement efforts with respect to the FCPA. Violations of the FCPA may result in large civil and criminal penalties and could result in an adverse effect on a company’s reputation, operations, and financial condition. A company may also face collateral consequences such as debarment and the loss of export privileges.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Federal and state healthcare laws and regulations</w:t>
      </w:r>
    </w:p>
    <w:p>
      <w:pPr>
        <w:spacing w:after="0" w:line="117"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In addition to FDA restrictions on marketing of pharmaceutical products, several other types of state and federal healthcare laws and regulations have been applied to restrict certain business practices in the biopharmaceutical industry in recent years. These laws include the following:</w:t>
      </w:r>
    </w:p>
    <w:p>
      <w:pPr>
        <w:spacing w:after="0" w:line="124"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exemptions and regulatory safe harbors protecting certain common activities from prosecution, the exemptions and safe harbors are drawn narrowly, and our practices may not in all cases meet all of the criteria for statutory exemptions or safe harbor protection. Practices that involve remuneration that may be alleged to be intended to induce prescribing, purchases, or recommendations may be subject to scrutiny if they do not qualify for an exemption or safe harbor. Several courts have interpreted the statute’s intent requirement to mean that if any one purpose of an arrangement involving remuneration is to induce referrals of federal healthcare covered business, the statute has been violated. The reach of the Anti-Kickback Statute was also broadened by the Patient Protection and Affordable Health Care Act, as amended by the Health Care and Education Reconciliation Act, or collectively the ACA, which, among other things, amended the intent requirement of the federal Anti-Kickback Statute. Pursuant to the statutory amendment, a person or entity no longer needs to have actual knowledge of this statute or specific intent to violate it in order to have committed a violation. In addition, the ACA provides that the government may assert that a claim including items or services resulting from a violation of the federal Anti-Kickback Statute constitutes a false or fraudulent claim for purposes of the civil False Claims Act (discussed below)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w:t>
      </w:r>
    </w:p>
    <w:p>
      <w:pPr>
        <w:spacing w:after="0" w:line="17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Federal false claims laws, including the federal civil False Claims Act, prohibit any person from knowingly presenting, or causing to be presented, a false claim for payment to the federal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spacing w:after="0" w:line="18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Many states also have statutes or regulations similar to the federal Anti-Kickback Statute and civil False Claims Act, which state laws apply to items and services reimbursed under Medicaid and other state programs, or, in several states, apply regardless of the payor. Also, the federal Health Insurance Portability and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Accountability Act of 1996, or HIPAA, created additional federal criminal statutes that prohibit, among other things, knowingly and willfully executing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Because of the breadth of these laws and the narrowness of the federal Anti-Kickback Statute’s safe harbors, it is possible that some of our business activities could be subject to challenge under one or more of such laws. Such a challenge could have a material adverse effect on our business, financial condition and results of operations.</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addition, we may be subject to data privacy and security regulation by both the federal government and the states in which we conduct our business. HIPAA, as amended by the Health Information Technology for Economic and Clinical Health Act, or HITECH, and their implementing regulations, impose on certain types of individuals and entities certain requirements relating to the privacy, security and transmission of individually identifiable health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State laws also govern the privacy and security of health information in certain circumstances, many of which differ from each other in significant ways and may not have the same effect, thus complicating compliance efforts. In addition, the European Union, or EU, has established its own data security and privacy legal framework, including but not limited to Directive 95/46/EC, or the Data Protection Directive. The Data Protection Directive will be replaced starting in May 2018 with the recently adopted European General Data Protection Regulation, or GDPR,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the GDPR.</w:t>
      </w:r>
    </w:p>
    <w:p>
      <w:pPr>
        <w:spacing w:after="0" w:line="16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Further, the federal Physician Payments Sunshine Act, enacted as part of the ACA,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and teaching hospitals. Applicable manufacturers and applicable group purchasing organizations must also report annually to CMS ownership and investment interests held by the physicians and their immediate family members.</w:t>
      </w:r>
    </w:p>
    <w:p>
      <w:pPr>
        <w:spacing w:after="0" w:line="173"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Other state laws and regulations may also apply, such as those that: require pharmaceutical companies to comply with the pharmaceutical industry’s voluntary compliance guidelines and the relevant compliance guidance promulgated by the federal government; and/or state laws that require manufacturers to report information related to transfers of value to healthcare providers or marketing expenditures.</w:t>
      </w:r>
    </w:p>
    <w:p>
      <w:pPr>
        <w:spacing w:after="0" w:line="166"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If our operations are found to be in violation of any of the federal and state healthcare laws or regulations described above or any other governmental regulations that apply to us, we may be subject to penalties, including criminal and significant civil monetary penalties, damages, fines, imprisonment, exclusion of products from reimbursement under government programs, disgorgement, additional reporting requirements and/or oversight if we become subject to a corporate integrity agreement or similar agreement to resolve allegations of non-compliance with these laws, contractual damages, reputational harm, diminished profits and future earnings,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302" w:lineRule="auto"/>
        <w:rPr>
          <w:sz w:val="20"/>
          <w:szCs w:val="20"/>
          <w:color w:val="auto"/>
        </w:rPr>
      </w:pPr>
      <w:r>
        <w:rPr>
          <w:rFonts w:ascii="Arial" w:cs="Arial" w:eastAsia="Arial" w:hAnsi="Arial"/>
          <w:sz w:val="16"/>
          <w:szCs w:val="16"/>
          <w:color w:val="auto"/>
        </w:rPr>
        <w:t>and the curtailment or restructuring of our operations, any of which could adversely affect our ability to operate our business and our results of operations. To the extent that any of our product candidates are ultimately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54"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 the United States and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example, the ACA includes measures to significantly change the way healthcare is financed by both governmental and private insurers.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Among the provisions of the ACA of greatest importance to the pharmaceutical and biotechnology industry are the following:</w:t>
      </w:r>
    </w:p>
    <w:p>
      <w:pPr>
        <w:spacing w:after="0" w:line="116" w:lineRule="exact"/>
        <w:rPr>
          <w:sz w:val="20"/>
          <w:szCs w:val="20"/>
          <w:color w:val="auto"/>
        </w:rPr>
      </w:pPr>
    </w:p>
    <w:p>
      <w:pPr>
        <w:ind w:left="1060" w:right="80" w:hanging="316"/>
        <w:spacing w:after="0" w:line="308" w:lineRule="auto"/>
        <w:tabs>
          <w:tab w:leader="none" w:pos="10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 that began in 2011;</w:t>
      </w:r>
    </w:p>
    <w:p>
      <w:pPr>
        <w:spacing w:after="0" w:line="51" w:lineRule="exact"/>
        <w:rPr>
          <w:rFonts w:ascii="Arial" w:cs="Arial" w:eastAsia="Arial" w:hAnsi="Arial"/>
          <w:sz w:val="17"/>
          <w:szCs w:val="17"/>
          <w:color w:val="auto"/>
        </w:rPr>
      </w:pPr>
    </w:p>
    <w:p>
      <w:pPr>
        <w:ind w:left="1060" w:hanging="316"/>
        <w:spacing w:after="0" w:line="277"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increase in the rebates a manufacturer must pay under the Medicaid Drug Rebate Program to 23.1% and 13% of the average manufacturer price for branded and generic drugs, respectively;</w:t>
      </w:r>
    </w:p>
    <w:p>
      <w:pPr>
        <w:spacing w:after="0" w:line="75"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to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30"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establishment of a Center for Medicare Innovation at CMS to test innovative payment and service delivery models to lower Medicare and Medicaid spending, potentially including prescription drug spending.</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Some of the provisions of the ACA have yet to be implemented, and there have been judicial and Congressional challenges to certain aspects of the ACA, as well as recent efforts by the Trump administration to repeal or replace certain aspects of the ACA. Since January 2017, President Trump has signed two Executive Orders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repeal legislation, two bills affecting the implementation of certain taxes under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23,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Congress may enact additional legislation to real or replace certain elements of the ACA. As a result, there is significant uncertainty regarding future healthcare reform and its impact on our operations.</w:t>
      </w:r>
    </w:p>
    <w:p>
      <w:pPr>
        <w:spacing w:after="0" w:line="16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Further, there has been heightened governmental scrutiny in the United States and abroad of pharmaceutical pricing practices in light of the rising cost of prescription drugs and biologics. In the United States, such scrutiny has resulted in several recent Congressional inquiries and proposed federal legislation designed to, among other things, bring more transparency to product pricing, review the relationship between pricing and manufacturer patient programs, and reform government program reimbursement methodologies for products.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Outside of the United States,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or our collaborators receive regulatory approval for commercial sale will depend, in part, on the extent to which third-party payors provide coverage and establish adequate reimbursement levels for such drug products.</w:t>
      </w:r>
    </w:p>
    <w:p>
      <w:pPr>
        <w:spacing w:after="0" w:line="147"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In the United States, third-party payors include federal and state healthcare programs, government authorities, private managed care providers, private health insurers and other organizations. Third-party payors are increasingly challenging the price, examining the medical necessity and reviewing the cost-effectiveness of medical drug products and medical services, in addition to questioning their safety and efficacy.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w:t>
      </w:r>
    </w:p>
    <w:p>
      <w:pPr>
        <w:spacing w:after="0" w:line="166"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or our collaborators receive regulatory approval, less favorable coverage policies and reimbursement rates may be implemented in the future.</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addition to regulations in the United States, we and our strategic alliance partners are subject to a variety of regulations in other jurisdictions governing, among other things, clinical trials and any commercial sales and distribution of our products.</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Whether or not we or our collaborators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or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9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GCPs and the applicable regulatory requirements and the ethical principles that have their origin in the Declaration of Helsinki.</w:t>
      </w:r>
    </w:p>
    <w:p>
      <w:pPr>
        <w:spacing w:after="0" w:line="181"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To obtain regulatory approval of an investigational drug or biological product under European Union regulatory systems, we or our strategic alliance partners must submit a marketing authorization application. The application in the United States is similar to that required in the European Union, with the exception of, among other things, country-specific document requirements.</w:t>
      </w:r>
    </w:p>
    <w:p>
      <w:pPr>
        <w:spacing w:after="0" w:line="18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GCPs and the applicable regulatory requirements and the ethical principles that have their origin in the Declaration of Helsinki.</w:t>
      </w:r>
    </w:p>
    <w:p>
      <w:pPr>
        <w:spacing w:after="0" w:line="147"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If we or our strategic alliance partners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Organizational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wholly-owned subsidiaries are Alcobra, Inc. and Arcturus Therapeutics, Inc. which are both Delaware corporations.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Property, plants and equipment</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San Diego, California headquarters consists of approximately 24,700 square feet of leased office and laboratory space under a lease that extends through 2025. Our wholly owned subsidiary We believe that our existing facility is adequate for our current needs and that suitable additional space will be available if and when needed.</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60"/>
          </w:cols>
          <w:pgMar w:left="240" w:top="459"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Previously Disclosed Litigation in Israel and California and California Arbitration</w:t>
      </w:r>
    </w:p>
    <w:p>
      <w:pPr>
        <w:spacing w:after="0" w:line="117"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The Company, executive officers Joe Payne (CEO) and Pad Chivukula (COO and CSO) and certain former and current members of the Company’s board of directors were party to now terminated lawsuits filed in Israel and California and an arbitration in California. These lawsuits and the arbitration emanated from disputes among certain of these parties in connection with actions taken by former board members to terminate the employment of Mr. Payne and Dr. Chivukula and lawsuits filed by Mr. Payne in response to these terminations.</w:t>
      </w:r>
    </w:p>
    <w:p>
      <w:pPr>
        <w:spacing w:after="0" w:line="17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Mr. Payne and Dr. Chivukula have been reappointed to their roles as CEO (Payne) and COO and CSO (Chivukula) with the Company and the Company entered into an Agreement and Release with its current officers and certain former directors and officers to terminate all of the then ongoing litigation in Israel and the Unites States and the arbitration that arose in connection with the terminations of Mr. Payne and Dr. Chivukula. Accordingly, all of the previously described lawsuits and the arbitration have been dismissed with prejudice.</w:t>
      </w:r>
    </w:p>
    <w:p>
      <w:pPr>
        <w:spacing w:after="0" w:line="171"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On February 8, 2019, the Company entered into a share exchange agreement (the “Share Exchange Agreement”) between the Company and a special-purpose company, Arcturus Therapeutics Holdings Inc. (“NewCo”) in connection with the contemplated redomiciliation of the Company from Israel to Delaware (the “Redomiciliation”). Pursuant to the Share Exchange Agreement, and in order to effectuate the transactions contemplated by the Share Exchange Agreement, on February 11, 2019, the Company filed an application with the Tel Aviv District Court to approve the convening of a general shareholders meeting of the Company for the approval of the Redomiciliation pursuant to Sections 350 and 351 of the Companies Law. The Share Exchange Agreement and the Redomiciliation are subject to shareholder approval as required by the Companies Law, Israeli court approval, effectiveness of filings to be made with the SEC, approval of the listing of shares of NewCo by the NASDAQ Stock Market LLC (“Nasdaq”) and the other conditions precedent set forth in the Share Exchange Agreement (the “Conditions Precedent”).</w:t>
      </w:r>
    </w:p>
    <w:p>
      <w:pPr>
        <w:spacing w:after="0" w:line="166"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furtherance of the Redomiciliation, the holders of ordinary shares of the Company as of a future record date and the holders of options to purchase ordinary shares of the Company as of the same record date will transfer their ordinary shares of the Company and options to purchase ordinary shares of the Company, respectively, to NewCo and, in exchange thereof, will receive one share of common stock of NewCo for each ordinary share of the Company and one option to purchase one share of common stock of NewCo in exchange for each option to purchase an ordinary share of the Company, respectively.</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Concurrently, the Company intends the common stock of NewCo to be listed on NASDAQ. Upon consummation of the transactions contemplated by the Share Exchange Agreement, it is expected that the Company’s ordinary shares will be delisted from trading on NASDAQ, and the Company is expected to become a private company (as defined in the Companies Law) wholly-owned by NewCo.</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Pursuant to the Share Exchange Agreement, the Company also agreed, subject to the Conditions Precedent, to transfer all of the shares of Arcturus Therapeutics Inc. (“Arcturus Sub”), a wholly-owned subsidiary of the Company, to NewCo through a reduction of the Company’s equity and the distribution of a dividend-in-kind, such that Arcturus Sub and the Company shall each become a wholly-owned and direct subsidiary of NewCo.</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AND RESULTS OF OPERATIONS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are an emerging RNA medicines company focused on the development and commercialization of therapeutics directed towards rare, infectious, fibrotic, and respiratory diseases with significant unmet medical need. The genetic medicines industry is constantly struggling to identify non-viral delivery solutions for large RNA molecules to different cell types. Arcturus’ LUNAR</w:t>
      </w:r>
      <w:r>
        <w:rPr>
          <w:rFonts w:ascii="Arial" w:cs="Arial" w:eastAsia="Arial" w:hAnsi="Arial"/>
          <w:sz w:val="14"/>
          <w:szCs w:val="14"/>
          <w:color w:val="auto"/>
        </w:rPr>
        <w:t>®</w:t>
      </w:r>
      <w:r>
        <w:rPr>
          <w:rFonts w:ascii="Arial" w:cs="Arial" w:eastAsia="Arial" w:hAnsi="Arial"/>
          <w:sz w:val="17"/>
          <w:szCs w:val="17"/>
          <w:color w:val="auto"/>
        </w:rPr>
        <w:t xml:space="preserve"> Delivery technology is lipid mediated—and non-viral. LUNAR is versatile, compatible with various types of RNA—and has been shown to deliver large RNA to different cell types including Liver hepatocytes, Liver stellate cells, Muscle cells (myocytes), and Lung cells (including bronchial epithelial cells).</w:t>
      </w:r>
    </w:p>
    <w:p>
      <w:pPr>
        <w:spacing w:after="0" w:line="173"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Our activities since inception have consisted principally of performing research and development activities, general and administrative activities and raising capital to fund those efforts. Our activities are subject to significant risks and uncertainties, including failing to secure additional funding before we achieve sustainable revenues and profit from operations. As of December 31, 2018, we had an accumulated deficit of $44.9 million.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Going Concern and Management’s Plans</w:t>
      </w:r>
    </w:p>
    <w:p>
      <w:pPr>
        <w:spacing w:after="0" w:line="12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The Company’s products that are being developed have not generated significant revenue. As a result, the Company has suffered recurring losses and requires significant cash resources to execute its business plans. These losses are expected to continue for an extended period of time. Based on our planned operations, we do not expect that our current cash and cash equivalents balances will be sufficient to fund our operations for at least 12 months after the date the consolidated financial statements are filed without raising additional capital through equity or debt financing. These conditions raise substantial doubt about our ability to continue as a going concern for a period of one year from the date of the issuance of our 2018 consolidated financial statements. The accompanying financial statements have been prepared on a going concern basis, which contemplates the realization of assets and the satisfaction of liabilities in the normal course of business. The financial statements do not include any adjustments relating to the recoverability and classification of asset amounts or the classification of liabilities that might be necessary should the Company be unable to continue as a going concern within one year after the date the financial statements are issued.</w:t>
      </w:r>
    </w:p>
    <w:p>
      <w:pPr>
        <w:spacing w:after="0" w:line="182"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Historically, our major sources of cash have comprised proceeds from collaboration partners, various public and private offerings of our ordinary shares, option and warrant exercises, and interest income. From inception through December 2018, the Company raised approximately $131.5 million in gross proceeds from various public and private offerings of our ordinary shares, debt issuances, collaboration agreements, and the merger with Alcobra.</w:t>
      </w:r>
    </w:p>
    <w:p>
      <w:pPr>
        <w:spacing w:after="0" w:line="147"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As of December 31, 2018, the Company had approximately $36.8 million in cash, restricted cash and cash equivalents. Management’s plans to mitigate an expected shortfall of capital, to support future operations, include raising additional funds. The actual amount of cash that it will need to operate is subject to many factors.</w:t>
      </w:r>
    </w:p>
    <w:p>
      <w:pPr>
        <w:spacing w:after="0" w:line="181"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The Company also recognizes it will need to raise additional capital in order to continue to execute its business plan in the future. There is no assurance that additional financing will be available when needed or that management will be able to obtain financing on terms acceptable to the Company or whether the Company will become profitable and generate positive operating cash flow. If the Company is unable to raise sufficient additional funds, it will have to scale back its operations.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Since our inception, we have funded our operations principally with proceeds from the sale of capital stock, convertible notes and revenues earned through collaborative agreements. In November 2017, we obtained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$36.4 million in cash and short-term investments from our merger with Alcobra Ltd. At December 31, 2018, we had $36.7 million in unrestricted cash and cash equivalents.</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On October 12, 2018, the Company entered into a Loan and Security Agreement with Western Alliance Bank whereby the Company received gross proceeds of $10.0 million under a long-term debt agreement (the “Loan”). The Loan has a maturity date of October 1, 2022 and carries interest at the U.S. prime rate plus 1.25%. The loan has an interest-only period of 19 months, which could be extended by an additional 6 months if certain conditions are met, followed by an amortization period of 30 months, or 24 months if the interest-only period is extended. Upon maturity or prepayment, the Company will be required to pay a 3% fee, or a 2% fee if the U.S. Food and Drug Administration accepts certain Investigational New Drug applications prior to maturity. The Company paid a loan origination fee of $128,000 which was recorded as a debt discount and will be accreted over the term of the loan. In addition, the Company is required to pay a fee of $350,000 upon certain change of control events. The Loan is collateralized by all of the assets of the Company, excluding intellectual property, which is subject to a negative pledge. In addition, the Company is required to maintain at least 50% of its deposit and investment accounts, or $20 million, whichever is lower, with the Western Alliance Bank.</w:t>
      </w:r>
    </w:p>
    <w:p>
      <w:pPr>
        <w:spacing w:after="0" w:line="167" w:lineRule="exact"/>
        <w:rPr>
          <w:sz w:val="20"/>
          <w:szCs w:val="20"/>
          <w:color w:val="auto"/>
        </w:rPr>
      </w:pPr>
    </w:p>
    <w:p>
      <w:pPr>
        <w:ind w:left="200" w:right="260" w:firstLine="441"/>
        <w:spacing w:after="0" w:line="276" w:lineRule="auto"/>
        <w:rPr>
          <w:sz w:val="20"/>
          <w:szCs w:val="20"/>
          <w:color w:val="auto"/>
        </w:rPr>
      </w:pPr>
      <w:r>
        <w:rPr>
          <w:rFonts w:ascii="Arial" w:cs="Arial" w:eastAsia="Arial" w:hAnsi="Arial"/>
          <w:sz w:val="17"/>
          <w:szCs w:val="17"/>
          <w:color w:val="auto"/>
        </w:rPr>
        <w:t>The Loan includes financial covenants which include the Company’s (1) nomination of a clinical candidate by December 31, 2018, which the Company is in compliance with, and (2) submission of a clinical candidate for Investigational New Drug application (“IND”), made to the U.S. Food and Drug Administration by December 31, 2019 and have it approved by January 31, 2020, provided that, if the Company has received net cash proceeds from sale, on or after October 12, 2018, of the Company’s equity securities in an amount of not less than $15,000,000, then the IND submission date shall extended to May 31, 2020 and the approval date shall be extended to June 30, 2020.</w:t>
      </w:r>
    </w:p>
    <w:p>
      <w:pPr>
        <w:spacing w:after="0" w:line="173"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On October 15, 2018, the Company entered into a Sales Agreement (the “Sales Agreement”) with Leerink Partners LLC (“Leerink”), pursuant to which it may sell from time to time, at its option, up to an aggregate of $30.0 million of the Company’s ordinary shares through Leerink, as sales agent. The Company is required to pay Leerink compensation in cash equal to 3.0% of gross proceeds for the ordinary shares sold through the Sales Agreement and the Company has agreed to reimburse Leerink for certain fees and expenses. Under the Sales Agreement, Leerink may sell ordinary shares by any method permitted by law deemed to be an “at the market offering” as defined in Rule 415 of the Securities Act of 1933, as amended, and the rules and regulations thereunder, including, without limitation, sales made directly on or through NASDAQ, on or through any other existing trading market for the ordinary shares or to or through a market maker. If expressly authorized by the Company, Leerink may also sell ordinary shares in negotiated transactions.</w:t>
      </w:r>
    </w:p>
    <w:p>
      <w:pPr>
        <w:spacing w:after="0" w:line="19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we are unable to maintain sufficient financial resources, our business, financial condition and results of operations will be materially and adversely affected. There can be no assurance that the Company will be able to obtain the needed financing on acceptable terms or at all. Additionally, equity or debt financings may have a dilutive effect on the holdings of the Company’s existing shareholders. Our future capital requirements are difficult to forecast and will depend on many factors.</w:t>
      </w:r>
    </w:p>
    <w:p>
      <w:pPr>
        <w:spacing w:after="0" w:line="187"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We expect to continue to incur additional losses for the foreseeable future, and we will need to raise additional debt or equity financing or enter into additional partnerships to fund development. The ability of our Company to transition to profitability is dependent on identifying and developing successful mRNA drug candidates. In the near future, if we are not able to achieve planned milestones, incur costs in excess of our forecasts, or do not meet covenant requirements of our debt, we will need to reduce discretionary spending, discontinue the development of some or all of our products, which will delay part of our development programs, all of which will have a material adverse effect on our ability to achieve our intended business objectives. There can be no assurances that additional financing will be secured or, if secured, will be on favorable terms. These conditions raise substantial doubt about the business, results of operations, financial condition and/or our ability to fund scheduled obligations on a timely basis or at all. The accompanying financial statements have been prepared assuming that we will continue as a going concern, which contemplates the realization of assets and the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settlement of liabilities and commitments in the normal course of business. The consolidated financial statements do not reflect any adjustments related to the recoverability and classification of assets or the amounts and classification of liabilities that might be necessary if we are unable to continue as a going concern.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a summary of our cash flows for the year ended December 31, 2018 and 2017 (in thousands):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29"/>
        </w:trPr>
        <w:tc>
          <w:tcPr>
            <w:tcW w:w="450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provided by (used in):</w:t>
            </w: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(20,760)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restricted cash</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11,578</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primary use of cash is to fund operating expenses, which consist mainly of research and development expenditures and general and administrative expenditures. We have incurred significant expenses which have been partially offset by cash collected through our collaboration agreements and acquired through our recent merger. Cash collections under the collaboration agreements can vary from year to year depending on the terms of agreement and work performed. These changes on cash flows primarily relate to the timing of cash receipts for upfront payments, reimbursable expenses and achievement of milestones under these collaborative agreements.</w:t>
      </w:r>
    </w:p>
    <w:p>
      <w:pPr>
        <w:spacing w:after="0" w:line="188" w:lineRule="exact"/>
        <w:rPr>
          <w:sz w:val="20"/>
          <w:szCs w:val="20"/>
          <w:color w:val="auto"/>
        </w:rPr>
      </w:pPr>
    </w:p>
    <w:p>
      <w:pPr>
        <w:jc w:val="both"/>
        <w:ind w:left="200" w:right="20" w:firstLine="441"/>
        <w:spacing w:after="0" w:line="288" w:lineRule="auto"/>
        <w:rPr>
          <w:sz w:val="20"/>
          <w:szCs w:val="20"/>
          <w:color w:val="auto"/>
        </w:rPr>
      </w:pPr>
      <w:r>
        <w:rPr>
          <w:rFonts w:ascii="Arial" w:cs="Arial" w:eastAsia="Arial" w:hAnsi="Arial"/>
          <w:sz w:val="16"/>
          <w:szCs w:val="16"/>
          <w:color w:val="auto"/>
        </w:rPr>
        <w:t>Net cash used in operating activities was $20.8 million on a net loss of $21.8 million for the year ended December 31, 2018, compared to net cash used of $0.5 million on a net loss of $10.9 million for the year ended December 31, 2017. Adjustments for non-cash charges which includes share-based compensation and depreciation and amortization were $2.2 million and $3.1 million for the year ended December 31, 2018 and 2017, respectively.</w:t>
      </w:r>
    </w:p>
    <w:p>
      <w:pPr>
        <w:ind w:left="200" w:right="180"/>
        <w:spacing w:after="0" w:line="261" w:lineRule="auto"/>
        <w:rPr>
          <w:sz w:val="20"/>
          <w:szCs w:val="20"/>
          <w:color w:val="auto"/>
        </w:rPr>
      </w:pPr>
      <w:r>
        <w:rPr>
          <w:rFonts w:ascii="Arial" w:cs="Arial" w:eastAsia="Arial" w:hAnsi="Arial"/>
          <w:sz w:val="18"/>
          <w:szCs w:val="18"/>
          <w:color w:val="auto"/>
        </w:rPr>
        <w:t>Changes in working capital resulted in adjustments to operating net cash outflows of $1.2 million for the year ended December 31, 2018, and net cash inflows of $7.4 million for the year December 31, 2017.</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Net cash provided by investing activities of $22.1 million for the year ended December 31, 2018 reflected proceeds from the maturities of our short-term investments of $30.2 million, offset by purchases of short-term investments of $6.6 million, and cash used to purchase property and equipment of $1.5 million. Net cash provided by investing activities of $10.4 million for the year ended December 31, 2017 reflected proceeds from the maturities of our short-term investments of $10.6 million and negligible proceeds from the sale of equipment, offset by cash used to purchase property and equipment of $0.3 million.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Net cash provided by financing activities of $10.2 million for the year ended December 31, 2018 consisted of net proceeds from the exercise of stock options of $0.3 million and net proceeds from the long-term debt of $9.9 million. Net cash provided by financing activities of $7.0 million for the year ended December 31, 2017 consisted of proceeds from issuance of convertible promissory notes of $5.7 million, net proceeds from exercise of stock options and warrants of $0.9 million and net cash received in the issuance of shares for the net assets of Alcobra Ltd. of $0.5 million.</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80"/>
          </w:cols>
          <w:pgMar w:left="24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anticipate that we will continue to generate annual net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The Company intends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 the following:</w:t>
      </w:r>
    </w:p>
    <w:p>
      <w:pPr>
        <w:spacing w:after="0" w:line="131" w:lineRule="exact"/>
        <w:rPr>
          <w:sz w:val="20"/>
          <w:szCs w:val="20"/>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achievement of milestones under our strategic alliance agreements;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terms and timing of any other strategic alliance, licensing and other arrangements that we may establish;</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costs associated with legal proceedings;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costs associated with potential litigation related to collaboration agreements;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consolidated financial statements included in this annual report. Our historical results of operations and the year-to-year comparisons of our results of operations that follow are not necessarily indicative of future results. As noted in the 2017 Annual Report, from an accounting perspective, the merger which closed on November 15, 2017 has been reflected in our financial statements as a recapitalization, whereby Arcturus Therapeutics, Inc. was the deemed accounting acquirer. Accordingly, our results of operations described below reflect Arcturus Therapeutics, Inc.’s results, not Alcobra Ltd.’s results, for all periods presented.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enter into arrangements with pharmaceutical and biotechnology partners that may contain upfront payments, license fees for research and development arrangements, research and development funding, milestone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00"/>
          </w:cols>
          <w:pgMar w:left="24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payments, option exercise and exclusivity fees and royalties on future sales. The following table summarizes our total revenues for the periods indicated (in thousands):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140" w:type="dxa"/>
            <w:vAlign w:val="bottom"/>
          </w:tcPr>
          <w:p>
            <w:pPr>
              <w:spacing w:after="0"/>
              <w:rPr>
                <w:sz w:val="14"/>
                <w:szCs w:val="14"/>
                <w:color w:val="auto"/>
              </w:rPr>
            </w:pPr>
          </w:p>
        </w:tc>
        <w:tc>
          <w:tcPr>
            <w:tcW w:w="20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3"/>
              </w:rPr>
              <w:t>2017 to 2018</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40" w:type="dxa"/>
            <w:vAlign w:val="bottom"/>
            <w:gridSpan w:val="3"/>
            <w:vMerge w:val="continue"/>
          </w:tcPr>
          <w:p>
            <w:pPr>
              <w:spacing w:after="0"/>
              <w:rPr>
                <w:sz w:val="11"/>
                <w:szCs w:val="11"/>
                <w:color w:val="auto"/>
              </w:rPr>
            </w:pPr>
          </w:p>
        </w:tc>
        <w:tc>
          <w:tcPr>
            <w:tcW w:w="2140" w:type="dxa"/>
            <w:vAlign w:val="bottom"/>
          </w:tcPr>
          <w:p>
            <w:pPr>
              <w:spacing w:after="0"/>
              <w:rPr>
                <w:sz w:val="11"/>
                <w:szCs w:val="11"/>
                <w:color w:val="auto"/>
              </w:rPr>
            </w:pPr>
          </w:p>
        </w:tc>
        <w:tc>
          <w:tcPr>
            <w:tcW w:w="700" w:type="dxa"/>
            <w:vAlign w:val="bottom"/>
          </w:tcPr>
          <w:p>
            <w:pPr>
              <w:jc w:val="right"/>
              <w:ind w:right="122"/>
              <w:spacing w:after="0" w:line="129" w:lineRule="exact"/>
              <w:rPr>
                <w:sz w:val="20"/>
                <w:szCs w:val="20"/>
                <w:color w:val="auto"/>
              </w:rPr>
            </w:pPr>
            <w:r>
              <w:rPr>
                <w:rFonts w:ascii="Arial" w:cs="Arial" w:eastAsia="Arial" w:hAnsi="Arial"/>
                <w:sz w:val="14"/>
                <w:szCs w:val="14"/>
                <w:b w:val="1"/>
                <w:bCs w:val="1"/>
                <w:color w:val="auto"/>
              </w:rPr>
              <w:t>2018</w:t>
            </w:r>
          </w:p>
        </w:tc>
        <w:tc>
          <w:tcPr>
            <w:tcW w:w="1340" w:type="dxa"/>
            <w:vAlign w:val="bottom"/>
            <w:gridSpan w:val="2"/>
          </w:tcPr>
          <w:p>
            <w:pPr>
              <w:jc w:val="right"/>
              <w:ind w:right="150"/>
              <w:spacing w:after="0" w:line="129"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 change</w:t>
            </w:r>
          </w:p>
        </w:tc>
        <w:tc>
          <w:tcPr>
            <w:tcW w:w="760" w:type="dxa"/>
            <w:vAlign w:val="bottom"/>
          </w:tcPr>
          <w:p>
            <w:pPr>
              <w:spacing w:after="0" w:line="129"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Collaboration revenue</w:t>
            </w:r>
          </w:p>
        </w:tc>
        <w:tc>
          <w:tcPr>
            <w:tcW w:w="21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15,753</w:t>
            </w:r>
          </w:p>
        </w:tc>
        <w:tc>
          <w:tcPr>
            <w:tcW w:w="6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12,998</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2,755</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20" w:firstLine="441"/>
        <w:spacing w:after="0" w:line="291" w:lineRule="auto"/>
        <w:rPr>
          <w:sz w:val="20"/>
          <w:szCs w:val="20"/>
          <w:color w:val="auto"/>
        </w:rPr>
      </w:pPr>
      <w:r>
        <w:rPr>
          <w:rFonts w:ascii="Arial" w:cs="Arial" w:eastAsia="Arial" w:hAnsi="Arial"/>
          <w:sz w:val="16"/>
          <w:szCs w:val="16"/>
          <w:color w:val="auto"/>
        </w:rPr>
        <w:t>Collaboration revenue increased by $2.8 million during the year ended December 31, 2018 as compared to the year ended December 31, 2017. The increase in revenue was due to a new collaboration agreement that was signed during the first quarter of 2018 with CureVac that resulted in</w:t>
      </w:r>
    </w:p>
    <w:p>
      <w:pPr>
        <w:ind w:left="200" w:right="160"/>
        <w:spacing w:after="0" w:line="270" w:lineRule="auto"/>
        <w:rPr>
          <w:sz w:val="20"/>
          <w:szCs w:val="20"/>
          <w:color w:val="auto"/>
        </w:rPr>
      </w:pPr>
      <w:r>
        <w:rPr>
          <w:rFonts w:ascii="Arial" w:cs="Arial" w:eastAsia="Arial" w:hAnsi="Arial"/>
          <w:sz w:val="17"/>
          <w:szCs w:val="17"/>
          <w:color w:val="auto"/>
        </w:rPr>
        <w:t>$4.4 million in revenue, an increase in revenue of $1.2 million related to the collaboration agreement with Ultragenyx as upfront payment amortization increased due to a change to the amortization period as well as revenue recognized from a payment received from Ultragenyx that extended the exclusivity period of reserved targets for one year. Lastly, a $1.4 million increase in revenue with Synthetic Genomics, Inc. related to a contract signed during the fourth quarter of 2017. These increases were primarily offset by decreased revenue of $3.6 million associated with Janssen as a result of the previous agreement being completed during the third quarter of 2017. Furthermore, a decrease in revenue of $0.6 million resulted from lower revenue recognition for research and development funding from two other collaboration partners.</w:t>
      </w:r>
    </w:p>
    <w:p>
      <w:pPr>
        <w:spacing w:after="0" w:line="179"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On February 11, 2019, we announced the termination of the obligations of CureVac for preclinical development, effective 180 days from February 5, 2019 and the re-assumption by us of the worldwide rights thereto. We will reassume 100% global rights of our flagship asset and clinical development candidate, a messenger RNA (mRNA) drug to treat ornithine transcarbamylase (OTC) deficiency.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operating expenses consist of research and development and general and administrative expenses.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2017 to 2018</w:t>
            </w:r>
          </w:p>
        </w:tc>
        <w:tc>
          <w:tcPr>
            <w:tcW w:w="0" w:type="dxa"/>
            <w:vAlign w:val="bottom"/>
          </w:tcPr>
          <w:p>
            <w:pPr>
              <w:spacing w:after="0"/>
              <w:rPr>
                <w:sz w:val="1"/>
                <w:szCs w:val="1"/>
                <w:color w:val="auto"/>
              </w:rPr>
            </w:pPr>
          </w:p>
        </w:tc>
      </w:tr>
      <w:tr>
        <w:trPr>
          <w:trHeight w:val="129"/>
        </w:trPr>
        <w:tc>
          <w:tcPr>
            <w:tcW w:w="68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1"/>
                <w:szCs w:val="11"/>
                <w:color w:val="auto"/>
              </w:rPr>
            </w:pPr>
          </w:p>
        </w:tc>
        <w:tc>
          <w:tcPr>
            <w:tcW w:w="1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change</w:t>
            </w:r>
          </w:p>
        </w:tc>
        <w:tc>
          <w:tcPr>
            <w:tcW w:w="10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8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Research and development, net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16,982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15,918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1,064</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20,582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4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7"/>
              </w:rPr>
              <w:t>37,564</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23,490</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14,074</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Greater than 100%</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11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Our research and development expenses consist primarily of payments for salaries and related personnel expenses, third-party clinical consultants, and laboratory supplies related to conducting research and development activities in conjunction with collaborative agreements and our internal research and development activities.</w:t>
      </w:r>
    </w:p>
    <w:p>
      <w:pPr>
        <w:spacing w:after="0" w:line="181" w:lineRule="exact"/>
        <w:rPr>
          <w:sz w:val="20"/>
          <w:szCs w:val="20"/>
          <w:color w:val="auto"/>
        </w:rPr>
      </w:pPr>
    </w:p>
    <w:p>
      <w:pPr>
        <w:ind w:left="200" w:right="240" w:firstLine="441"/>
        <w:spacing w:after="0" w:line="288" w:lineRule="auto"/>
        <w:rPr>
          <w:sz w:val="20"/>
          <w:szCs w:val="20"/>
          <w:color w:val="auto"/>
        </w:rPr>
      </w:pPr>
      <w:r>
        <w:rPr>
          <w:rFonts w:ascii="Arial" w:cs="Arial" w:eastAsia="Arial" w:hAnsi="Arial"/>
          <w:sz w:val="16"/>
          <w:szCs w:val="16"/>
          <w:color w:val="auto"/>
        </w:rPr>
        <w:t>The increase of $1.1 million in research and development expenses for the year ended December 31, 2018 as compared to the year ended December 31, 2017 was due to an increase of $0.6 million in share-based compensation expense, an increase of $1.0 million in salaries related to new hires and increases in general facility costs of $0.7 million. The increase in research and development expenses were offset by lower expense of</w:t>
      </w:r>
    </w:p>
    <w:p>
      <w:pPr>
        <w:ind w:left="200" w:right="140"/>
        <w:spacing w:after="0" w:line="261" w:lineRule="auto"/>
        <w:rPr>
          <w:sz w:val="20"/>
          <w:szCs w:val="20"/>
          <w:color w:val="auto"/>
        </w:rPr>
      </w:pPr>
      <w:r>
        <w:rPr>
          <w:rFonts w:ascii="Arial" w:cs="Arial" w:eastAsia="Arial" w:hAnsi="Arial"/>
          <w:sz w:val="18"/>
          <w:szCs w:val="18"/>
          <w:color w:val="auto"/>
        </w:rPr>
        <w:t>$0.9 million in research supplies and contract manufacturing costs primarily from the completion of our initial collaboration agreement with Janssen as well as the $0.3 million increase in grant funding from the Cystic Fibrosis Foundation.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240" w:top="459" w:right="4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147"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The increase in general and administrative expenses of $13.0 million for year ended December 31, 2018 as compared to the year ended December 31, 2017 was partly due to proxy and related costs of $7.3 million, which included legal fees of $4.4 million, $1.2 million increase in insurance cost from a director “tail” insurance policy that was purchased pursuant to the terms of the Agreement and Release, additional professional fees of $0.9 million, and other personnel costs of $0.8 million. The remaining increase of $5.7 million was due primarily the increase of $2.5 million of salaries and related expenses for new hires, $2.4 million of professional fees, $0.8 million of public company related expenses, $0.8 million in general facility and office costs and $0.6 million of insurance costs, offset by lower expense in share-based compensation of $1.6 million. The offset in share-based compensation is primarily related to a one-time modification of a restricted ordinary share agreement in 2017. Without the effect of this one-time adjustment, share-based compensation expenses for the year ended December 31, 2018 would have been relatively the same amount as it was during the year ended December 31, 2017.</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Finance income (expense), net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2017 to 2018</w:t>
            </w:r>
          </w:p>
        </w:tc>
        <w:tc>
          <w:tcPr>
            <w:tcW w:w="0" w:type="dxa"/>
            <w:vAlign w:val="bottom"/>
          </w:tcPr>
          <w:p>
            <w:pPr>
              <w:spacing w:after="0"/>
              <w:rPr>
                <w:sz w:val="1"/>
                <w:szCs w:val="1"/>
                <w:color w:val="auto"/>
              </w:rPr>
            </w:pPr>
          </w:p>
        </w:tc>
      </w:tr>
      <w:tr>
        <w:trPr>
          <w:trHeight w:val="129"/>
        </w:trPr>
        <w:tc>
          <w:tcPr>
            <w:tcW w:w="4420" w:type="dxa"/>
            <w:vAlign w:val="bottom"/>
            <w:gridSpan w:val="3"/>
            <w:vMerge w:val="continue"/>
          </w:tcPr>
          <w:p>
            <w:pPr>
              <w:spacing w:after="0"/>
              <w:rPr>
                <w:sz w:val="11"/>
                <w:szCs w:val="11"/>
                <w:color w:val="auto"/>
              </w:rPr>
            </w:pPr>
          </w:p>
        </w:tc>
        <w:tc>
          <w:tcPr>
            <w:tcW w:w="2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5"/>
              </w:rPr>
              <w:t>change</w:t>
            </w:r>
          </w:p>
        </w:tc>
        <w:tc>
          <w:tcPr>
            <w:tcW w:w="8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Finance income (expense), net:</w:t>
            </w:r>
          </w:p>
        </w:tc>
        <w:tc>
          <w:tcPr>
            <w:tcW w:w="2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514</w:t>
            </w:r>
          </w:p>
        </w:tc>
        <w:tc>
          <w:tcPr>
            <w:tcW w:w="3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8"/>
                <w:szCs w:val="18"/>
                <w:color w:val="auto"/>
              </w:rPr>
            </w:pPr>
          </w:p>
        </w:tc>
        <w:tc>
          <w:tcPr>
            <w:tcW w:w="34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425</w:t>
            </w: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3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Debt conversion expense</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(348)</w:t>
            </w:r>
          </w:p>
        </w:tc>
        <w:tc>
          <w:tcPr>
            <w:tcW w:w="34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(409)</w:t>
            </w:r>
          </w:p>
        </w:tc>
        <w:tc>
          <w:tcPr>
            <w:tcW w:w="3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Greater than 100%</w:t>
      </w:r>
    </w:p>
    <w:p>
      <w:pPr>
        <w:spacing w:after="0" w:line="225"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Interest income is generated on cash and cash equivalents and our short-term investments. For the year ended December 31, 2018, the increase in interest income over the year ended December 31, 2017 resulted from increased balances including cash and investments obtained in conjunction with our merger.</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Interest expense during 2018 was incurred primarily in conjunction with the long-term debt with Western Alliance Bank. Interest expense during 2017 was incurred from our convertible notes which were converted to Ordinary Shares in conjunction with our merger.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or U.S. GAAP. As such, we make certain estimates, judgements and assumptions that we believe are reasonable, based upon information available to us. These judgements involve making estimates about the effect of matters that are inherently uncertain and may significantly impact our results of operations and financial condition. We describe our significant accounting policies more fully in Note 2 to our consolidated financial statements for the year ended December 31, 2018. In the following paragraphs, we describe the specific risks associated with these critical accounting policies and we caution that future events may not reflect exactly as one may expect, and that best estimates may require adjustment.</w:t>
      </w:r>
    </w:p>
    <w:p>
      <w:pPr>
        <w:spacing w:after="0" w:line="178"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following are our significant accounting policies which we believe are the most critical to aid in fully understanding and evaluating our reported financial results.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240" w:top="459" w:right="4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recognize revenue when each of the following four criteria is met: (i) persuasive evidence of an arrangement exists; (ii) products are delivered or as services are rendered; (iii) the sales price is fixed or determinable; and (iv) collectability is reasonably assured.</w:t>
      </w:r>
    </w:p>
    <w:p>
      <w:pPr>
        <w:spacing w:after="0" w:line="170"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Multiple-element arrangements may include (i) grants of licenses, or options to obtain licenses, to intellectual property, (ii) research and development services, (iii) participation on joint research or joint development committees, or (iv) manufacturing or supply services. The payments we may receive under these arrangements typically include one or more of the following: non-refundable upfront license fees, option exercise fees, funding of research or development efforts, amounts due upon the achievement of specified objectives, or royalties on future product sales.</w:t>
      </w:r>
    </w:p>
    <w:p>
      <w:pPr>
        <w:spacing w:after="0" w:line="154"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Multiple-element arrangements require the separability of deliverables included in an arrangement into different units of accounting and the allocation of arrangement consideration to the units of accounting. The evaluation of multiple-element arrangements requires management to make judgments about (i) the identification of deliverables, (ii) whether such deliverables are separable from the other aspects of the contractual relationship, (iii) the estimated selling price of each deliverable, and (iv) the expected period of performance for each deliverable.</w:t>
      </w:r>
    </w:p>
    <w:p>
      <w:pPr>
        <w:spacing w:after="0" w:line="17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To determine the units of accounting under a multiple-element arrangement, management evaluates certain separation criteria, including whether the deliverables have stand-alone value, based on the relevant facts and circumstances for each arrangement. Management then estimates the selling price for each unit of accounting and allocates the arrangement consideration to each unit using the relative selling price method. The allocated consideration for each unit of accounting is recognized based on the method most appropriate for that unit of account and in accordance with the revenue recognition criteria detailed above.</w:t>
      </w:r>
    </w:p>
    <w:p>
      <w:pPr>
        <w:spacing w:after="0" w:line="18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If there are deliverables in an arrangement that are not separable from other aspects of the contractual relationship, they are treated as a combined unit of accounting, with the allocated revenue for the combined unit recognized in a manner consistent with the revenue recognition applicable to the final deliverable in the combined unit. Payments received prior to satisfying the relevant revenue recognition criteria are recorded as deferred revenue in the accompanying balance sheets and recognized as revenue when the related revenue recognition criteria are met.</w:t>
      </w:r>
    </w:p>
    <w:p>
      <w:pPr>
        <w:spacing w:after="0" w:line="17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Most of our collaboration agreements provide for non-refundable milestone payments. We recognize revenue that is contingent upon the achievement of a substantive milestone in its entirety in the period in which the milestone is achieved. A milestone is considered substantive when the consideration payable to us for such milestone (i) is consistent with our performance necessary to achieve the milestone or the increase in value to the collaboration resulting from our performance, (ii) relates solely to our past performance and (iii) is reasonable relative to all of the other deliverables and payments within the arrangement. In making this assessment, we consider all facts and circumstances relevant to the arrangement, including factors such as the scientific, regulatory, commercial and other risks that must be overcome to achieve the milestone, the level of effort and investment required to achieve the milestone and whether any portion of the milestone consideration is related to future performance or deliverables.</w:t>
      </w:r>
    </w:p>
    <w:p>
      <w:pPr>
        <w:spacing w:after="0" w:line="167" w:lineRule="exact"/>
        <w:rPr>
          <w:sz w:val="20"/>
          <w:szCs w:val="20"/>
          <w:color w:val="auto"/>
        </w:rPr>
      </w:pPr>
    </w:p>
    <w:p>
      <w:pPr>
        <w:ind w:left="200" w:right="480" w:firstLine="441"/>
        <w:spacing w:after="0" w:line="259" w:lineRule="auto"/>
        <w:rPr>
          <w:sz w:val="20"/>
          <w:szCs w:val="20"/>
          <w:color w:val="auto"/>
        </w:rPr>
      </w:pPr>
      <w:r>
        <w:rPr>
          <w:rFonts w:ascii="Arial" w:cs="Arial" w:eastAsia="Arial" w:hAnsi="Arial"/>
          <w:sz w:val="18"/>
          <w:szCs w:val="18"/>
          <w:color w:val="auto"/>
        </w:rPr>
        <w:t>We periodically review the estimated performance periods under the collaboration agreements, which provide for non-refundable upfront payments and fees. We adjusted the periods over which revenue was recognized when appropriate to reflect changes in assumptions relating to the estimated performance periods. In the first quarter of 2019, we will adopt new accounting guidance that will change future patterns of revenue recognition.</w:t>
      </w:r>
    </w:p>
    <w:p>
      <w:pPr>
        <w:spacing w:after="0" w:line="18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We record revenues related to the reimbursement of costs incurred under the collaboration agreements where we act as a principal, control the research or development activities and bear credit risk. Under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collaboration agreements, we are reimbursed for associated out-of-pocket costs and for a certain amount of our full-time equivalent, or FTE, costs based on an agreed-upon FTE rate. The gross amount of these pass-through reimbursed costs is reported as revenue in the accompanying consolidated statements of operations and comprehensive loss, while the actual expenses for which we are reimbursed are reflected as research and development costs.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Company will no longer qualify as an emerging growth company after December 31, 2018. Subject to certain conditions set forth in the JOBS Act, as an “emerging growth company” through December 31, 2018, we elected to rely on other exemptions, including without limitation, (i) providing an auditor’s attestation report on our internal control over financial reporting pursuant to Section 404 of the Sarbanes-Oxley Act and (ii) complying with any requirement that may be adopted by the PCAOB regarding mandatory audit firm rotation or a supplement to the auditor’s report providing additional information about the audit and the financial statements (auditor discussion and analysis).</w:t>
      </w:r>
    </w:p>
    <w:p>
      <w:pPr>
        <w:spacing w:after="0" w:line="17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Under the JOBS Act, an emerging growth company can take advantage of an extended transition period for complying with new or revised accounting standards. This provision allows an emerging growth company to delay the adoption of new or revised accounting standards that have different transition dates for public and private companies until those standards would otherwise apply to private companies. We have elected to use this extended transition period specifically for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As a result of this election, our timeline to comply with this standard will in many cases be delayed as compared to other public companies that were not eligible to take advantage of this election or did not make this election. Therefore, our consolidated financial statements may not be comparable to those of companies that complied with the public company effective dates for this standard.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00"/>
          </w:cols>
          <w:pgMar w:left="240" w:top="460"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April 1, 2019:</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ind w:left="2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6"/>
                <w:szCs w:val="16"/>
                <w:color w:val="auto"/>
              </w:rPr>
            </w:pPr>
          </w:p>
        </w:tc>
        <w:tc>
          <w:tcPr>
            <w:tcW w:w="6060" w:type="dxa"/>
            <w:vAlign w:val="bottom"/>
          </w:tcPr>
          <w:p>
            <w:pPr>
              <w:ind w:left="2700"/>
              <w:spacing w:after="0"/>
              <w:rPr>
                <w:sz w:val="20"/>
                <w:szCs w:val="20"/>
                <w:color w:val="auto"/>
              </w:rPr>
            </w:pPr>
            <w:r>
              <w:rPr>
                <w:rFonts w:ascii="Arial" w:cs="Arial" w:eastAsia="Arial" w:hAnsi="Arial"/>
                <w:sz w:val="14"/>
                <w:szCs w:val="14"/>
                <w:b w:val="1"/>
                <w:bCs w:val="1"/>
                <w:color w:val="auto"/>
              </w:rPr>
              <w:t>Position(s)</w:t>
            </w:r>
          </w:p>
        </w:tc>
      </w:tr>
      <w:tr>
        <w:trPr>
          <w:trHeight w:val="195"/>
        </w:trPr>
        <w:tc>
          <w:tcPr>
            <w:tcW w:w="20" w:type="dxa"/>
            <w:vAlign w:val="bottom"/>
          </w:tcPr>
          <w:p>
            <w:pPr>
              <w:spacing w:after="0"/>
              <w:rPr>
                <w:sz w:val="16"/>
                <w:szCs w:val="16"/>
                <w:color w:val="auto"/>
              </w:rPr>
            </w:pPr>
          </w:p>
        </w:tc>
        <w:tc>
          <w:tcPr>
            <w:tcW w:w="4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i w:val="1"/>
                <w:iCs w:val="1"/>
                <w:color w:val="auto"/>
              </w:rPr>
              <w:t>Executive Officers</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60" w:type="dxa"/>
            <w:vAlign w:val="bottom"/>
            <w:tcBorders>
              <w:top w:val="single" w:sz="8" w:color="auto"/>
            </w:tcBorders>
          </w:tcPr>
          <w:p>
            <w:pPr>
              <w:spacing w:after="0"/>
              <w:rPr>
                <w:sz w:val="16"/>
                <w:szCs w:val="16"/>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Joseph E. Payne</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47</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President and Chief Executive Officer and Director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Andrew Sassine</w:t>
            </w:r>
            <w:r>
              <w:rPr>
                <w:rFonts w:ascii="Arial" w:cs="Arial" w:eastAsia="Arial" w:hAnsi="Arial"/>
                <w:sz w:val="15"/>
                <w:szCs w:val="15"/>
                <w:color w:val="auto"/>
              </w:rPr>
              <w:t>(6)</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54</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 and Director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Padmanabh Chivukula</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40</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Chief Scientific Officer and Chief Operating Officer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60" w:type="dxa"/>
            <w:vAlign w:val="bottom"/>
          </w:tcPr>
          <w:p>
            <w:pPr>
              <w:spacing w:after="0"/>
              <w:rPr>
                <w:sz w:val="18"/>
                <w:szCs w:val="18"/>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Dr. Peter Farrell</w:t>
            </w:r>
            <w:r>
              <w:rPr>
                <w:rFonts w:ascii="Arial" w:cs="Arial" w:eastAsia="Arial" w:hAnsi="Arial"/>
                <w:sz w:val="15"/>
                <w:szCs w:val="15"/>
                <w:color w:val="auto"/>
              </w:rPr>
              <w:t>(1)(2)(3)(4)(5)</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76</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Director and Chairman of the Board</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James Barlow</w:t>
            </w:r>
            <w:r>
              <w:rPr>
                <w:rFonts w:ascii="Arial" w:cs="Arial" w:eastAsia="Arial" w:hAnsi="Arial"/>
                <w:sz w:val="15"/>
                <w:szCs w:val="15"/>
                <w:color w:val="auto"/>
              </w:rPr>
              <w:t>(1)(2)(3)(4)(5)</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60</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Dr. Magda Marquet</w:t>
            </w:r>
            <w:r>
              <w:rPr>
                <w:rFonts w:ascii="Arial" w:cs="Arial" w:eastAsia="Arial" w:hAnsi="Arial"/>
                <w:sz w:val="15"/>
                <w:szCs w:val="15"/>
                <w:color w:val="auto"/>
              </w:rPr>
              <w:t>(1)(2)(3)(4)(5)</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60</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ind w:left="640" w:hanging="436"/>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Indicates independent director under Nasdaq rules.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Member of the Executive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rFonts w:ascii="Arial" w:cs="Arial" w:eastAsia="Arial" w:hAnsi="Arial"/>
          <w:sz w:val="18"/>
          <w:szCs w:val="18"/>
          <w:color w:val="auto"/>
        </w:rPr>
      </w:pPr>
    </w:p>
    <w:p>
      <w:pPr>
        <w:ind w:left="640" w:right="280" w:hanging="436"/>
        <w:spacing w:after="0" w:line="255" w:lineRule="auto"/>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Andrew Sassine served as a Director of the Board during the year ended December 31, 2018. Mr. Sassine also served as the Interim Chief Financial Officer from August 24, 2018 to December 31, 2018. Effective January 1, 2019, Mr. Sassine became our Chief Financial Officer on a full-time basis.</w:t>
      </w:r>
    </w:p>
    <w:p>
      <w:pPr>
        <w:spacing w:after="0" w:line="186"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b w:val="1"/>
          <w:bCs w:val="1"/>
          <w:color w:val="auto"/>
        </w:rPr>
        <w:t xml:space="preserve">Joseph E. Payne </w:t>
      </w:r>
      <w:r>
        <w:rPr>
          <w:rFonts w:ascii="Arial" w:cs="Arial" w:eastAsia="Arial" w:hAnsi="Arial"/>
          <w:sz w:val="18"/>
          <w:szCs w:val="18"/>
          <w:color w:val="auto"/>
        </w:rPr>
        <w:t>is the President and Chief Executive Officer of Arcturus Therapeutics Ltd. He serves on Arcturus’s Board since March 2013. He</w:t>
      </w:r>
      <w:r>
        <w:rPr>
          <w:rFonts w:ascii="Arial" w:cs="Arial" w:eastAsia="Arial" w:hAnsi="Arial"/>
          <w:sz w:val="18"/>
          <w:szCs w:val="18"/>
          <w:b w:val="1"/>
          <w:bCs w:val="1"/>
          <w:color w:val="auto"/>
        </w:rPr>
        <w:t xml:space="preserve"> </w:t>
      </w:r>
      <w:r>
        <w:rPr>
          <w:rFonts w:ascii="Arial" w:cs="Arial" w:eastAsia="Arial" w:hAnsi="Arial"/>
          <w:sz w:val="18"/>
          <w:szCs w:val="18"/>
          <w:color w:val="auto"/>
        </w:rPr>
        <w:t>brings with him an exceptional track record of ushering novel therapeutics to the clinic including targeted RNA medicines utilizing lipid-mediated delivery technologies. Joseph’s background includes over 20 years of successful drug discovery experience at Merck Research Labs, DuPont Pharmaceuticals, Bristol-Myers Squibb, Kalypsys, and Nitto as evidenced by over 40 publications and patents, and several investigational new drug (IND) clinical candidates. His academic training includes a Bachelor’s Degree in Chemistry, magna cum laude from Brigham Young University, a Master of Science in Synthetic Organic Chemistry from the University of Calgary and Executive Training Certification from MIT Sloan School of Management.</w:t>
      </w:r>
    </w:p>
    <w:p>
      <w:pPr>
        <w:spacing w:after="0" w:line="189" w:lineRule="exact"/>
        <w:rPr>
          <w:sz w:val="20"/>
          <w:szCs w:val="20"/>
          <w:color w:val="auto"/>
        </w:rPr>
      </w:pPr>
    </w:p>
    <w:p>
      <w:pPr>
        <w:ind w:left="200" w:right="80" w:firstLine="441"/>
        <w:spacing w:after="0" w:line="258" w:lineRule="auto"/>
        <w:rPr>
          <w:sz w:val="20"/>
          <w:szCs w:val="20"/>
          <w:color w:val="auto"/>
        </w:rPr>
      </w:pPr>
      <w:r>
        <w:rPr>
          <w:rFonts w:ascii="Arial" w:cs="Arial" w:eastAsia="Arial" w:hAnsi="Arial"/>
          <w:sz w:val="18"/>
          <w:szCs w:val="18"/>
          <w:b w:val="1"/>
          <w:bCs w:val="1"/>
          <w:color w:val="auto"/>
        </w:rPr>
        <w:t xml:space="preserve">Dr. Padmanabh Chivukula </w:t>
      </w:r>
      <w:r>
        <w:rPr>
          <w:rFonts w:ascii="Arial" w:cs="Arial" w:eastAsia="Arial" w:hAnsi="Arial"/>
          <w:sz w:val="18"/>
          <w:szCs w:val="18"/>
          <w:color w:val="auto"/>
        </w:rPr>
        <w:t>is the Chief Scientific Officer and Chief Operating Officer of Arcturus Therapeutics. Dr. Chivukula has an</w:t>
      </w:r>
      <w:r>
        <w:rPr>
          <w:rFonts w:ascii="Arial" w:cs="Arial" w:eastAsia="Arial" w:hAnsi="Arial"/>
          <w:sz w:val="18"/>
          <w:szCs w:val="18"/>
          <w:b w:val="1"/>
          <w:bCs w:val="1"/>
          <w:color w:val="auto"/>
        </w:rPr>
        <w:t xml:space="preserve"> </w:t>
      </w:r>
      <w:r>
        <w:rPr>
          <w:rFonts w:ascii="Arial" w:cs="Arial" w:eastAsia="Arial" w:hAnsi="Arial"/>
          <w:sz w:val="18"/>
          <w:szCs w:val="18"/>
          <w:color w:val="auto"/>
        </w:rPr>
        <w:t>exceptional and technically solid foundation in nanoparticle technology. Prior to Arcturus, from 2008 until February 2013, Dr. Chivukula was employed by Nitto, where his titles included Group Leader and Chief Scientist. Dr. Chivukula brings over 15 years of experience in drug delivery and therapeutic drug development, including leading the polymeric RNAi research department at Nitto. Dr. Chivukula has a Ph.D. in Pharmaceutical Chemistry from the University of Utah where he specialized in nanoparticle technology.</w:t>
      </w:r>
    </w:p>
    <w:p>
      <w:pPr>
        <w:spacing w:after="0" w:line="184"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b w:val="1"/>
          <w:bCs w:val="1"/>
          <w:color w:val="auto"/>
        </w:rPr>
        <w:t xml:space="preserve">Dr. Peter Farrell </w:t>
      </w:r>
      <w:r>
        <w:rPr>
          <w:rFonts w:ascii="Arial" w:cs="Arial" w:eastAsia="Arial" w:hAnsi="Arial"/>
          <w:sz w:val="17"/>
          <w:szCs w:val="17"/>
          <w:color w:val="auto"/>
        </w:rPr>
        <w:t>is the founder, former long-term CEO and current Chairman of ResMed Inc. (NYSE:RMD). Dr. Farrell has been Chairman and</w:t>
      </w:r>
      <w:r>
        <w:rPr>
          <w:rFonts w:ascii="Arial" w:cs="Arial" w:eastAsia="Arial" w:hAnsi="Arial"/>
          <w:sz w:val="17"/>
          <w:szCs w:val="17"/>
          <w:b w:val="1"/>
          <w:bCs w:val="1"/>
          <w:color w:val="auto"/>
        </w:rPr>
        <w:t xml:space="preserve"> </w:t>
      </w:r>
      <w:r>
        <w:rPr>
          <w:rFonts w:ascii="Arial" w:cs="Arial" w:eastAsia="Arial" w:hAnsi="Arial"/>
          <w:sz w:val="17"/>
          <w:szCs w:val="17"/>
          <w:color w:val="auto"/>
        </w:rPr>
        <w:t>a director of ResMed since 1989, when the company began as a management buyout of sleep technology from Baxter Healthcare. Peter was previously Foundation Director of the University of New South Wales (UNSW) Graduate School for Biomedical Engineering (1978-89) while simultaneously serving as Vice President of Research &amp; Development for Baxter Healthcare in Tokyo (1984-89). Dr. Farrell served on the board of directors of NuVasive, Inc., a company focused on the surgical treatment of spine disorders. Dr. Farrell serves on the board of trustees of The Scripps Research Institute in La Jolla and is Chairman of the Boston-based POC NMR diagnostic company, WaveGuide. Dr. Farrell is a fellow or honorary fellow of several professional bodies, including the US National Academy of Engineering. He was inducted as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240" w:top="460" w:right="4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1998 San Diego Entrepreneur of the Year for Health Sciences, 2001 Australian Entrepreneur of the Year and 2005 US National Entrepreneur of the Year for Health Sciences. Peter was appointed to the Executive Council of the division of Sleep Medicine at Harvard Medical School in 1998, was appointed Vice Chairman in 2000 (2000-2010), became Chairman in 2010 and served in that capacity for three years. He is on various academic advisory boards including UCSD’s Jacobs School of Engineering, where he was named the 2012 Gordon Fellow, UCSD’s Rady Business School and the MIT Dean of Engineering’s Advisory Council. Peter holds a B.E. with honors in chemical engineering from the University of Sydney, an SM in chemical engineering from MIT, a PhD in bioengineering from the University of Washington, Seattle, and a DSc from UNSW for research which resulted in improved treatment for both hemodialysis and peritoneal dialysis patients.</w:t>
      </w:r>
    </w:p>
    <w:p>
      <w:pPr>
        <w:spacing w:after="0" w:line="174"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b w:val="1"/>
          <w:bCs w:val="1"/>
          <w:color w:val="auto"/>
        </w:rPr>
        <w:t xml:space="preserve">Andrew Sassine </w:t>
      </w:r>
      <w:r>
        <w:rPr>
          <w:rFonts w:ascii="Arial" w:cs="Arial" w:eastAsia="Arial" w:hAnsi="Arial"/>
          <w:sz w:val="16"/>
          <w:szCs w:val="16"/>
          <w:color w:val="auto"/>
        </w:rPr>
        <w:t>serves on the Board of Directors of Nasdaq listed ICAD Inc. and Nasdaq listed Gemphire Therapeutics, Inc. (GEMP). ICAD Inc.</w:t>
      </w:r>
      <w:r>
        <w:rPr>
          <w:rFonts w:ascii="Arial" w:cs="Arial" w:eastAsia="Arial" w:hAnsi="Arial"/>
          <w:sz w:val="16"/>
          <w:szCs w:val="16"/>
          <w:b w:val="1"/>
          <w:bCs w:val="1"/>
          <w:color w:val="auto"/>
        </w:rPr>
        <w:t xml:space="preserve"> </w:t>
      </w:r>
      <w:r>
        <w:rPr>
          <w:rFonts w:ascii="Arial" w:cs="Arial" w:eastAsia="Arial" w:hAnsi="Arial"/>
          <w:sz w:val="16"/>
          <w:szCs w:val="16"/>
          <w:color w:val="auto"/>
        </w:rPr>
        <w:t>is a leading provider of advanced image analysis, workflow solutions and radiation therapy for early detection and treatment of cancer. Gemphire Therapeutics, Inc. is a clinical-stage biopharmaceutical company focused on delivering and commercializing therapies for the treatment of cardiovascular disease and Non-alcoholic steatohepatitis. He also is Chairman of the Board of privately held ComHear Inc., a digital audio software and device company. Mr. Sassine previously served on the board of Acorn Energy, Inc., CNS Response, Inc. and FluoroPharma Medical, Inc., (FMPI).</w:t>
      </w:r>
    </w:p>
    <w:p>
      <w:pPr>
        <w:spacing w:after="0" w:line="2" w:lineRule="exact"/>
        <w:rPr>
          <w:sz w:val="20"/>
          <w:szCs w:val="20"/>
          <w:color w:val="auto"/>
        </w:rPr>
      </w:pPr>
    </w:p>
    <w:p>
      <w:pPr>
        <w:ind w:left="200" w:right="40"/>
        <w:spacing w:after="0" w:line="268" w:lineRule="auto"/>
        <w:rPr>
          <w:sz w:val="20"/>
          <w:szCs w:val="20"/>
          <w:color w:val="auto"/>
        </w:rPr>
      </w:pPr>
      <w:r>
        <w:rPr>
          <w:rFonts w:ascii="Arial" w:cs="Arial" w:eastAsia="Arial" w:hAnsi="Arial"/>
          <w:sz w:val="17"/>
          <w:szCs w:val="17"/>
          <w:color w:val="auto"/>
        </w:rPr>
        <w:t>Mr. Sassine served in various positions at Fidelity Investments from 1999 to 2012, including, most recently as Portfolio Manager. Between 2004 and 2011, he managed the Fidelity Small Cap Stock Fund, the Fidelity International Small Cap Opportunities Fund and the Fidelity Advisor International Small Cap Opportunities Fund. Mr. Sassine joined Fidelity as a high yield research analyst, covering the Telecommunications, Satellite, Technology, Defense and Aerospace, and Restaurant Industries and in 2001, joined the international group as a research analyst covering small and mid-cap international stocks. Prior to joining Fidelity, he served as a vice president in the Acquisition Finance Group at Fleet National Bank. Mr. Sassine has been a member of the Henry B. Tippie College of Business, University of Iowa Board of Advisors since 2009 and served on the Board of Trustees at the Clarke Schools for Hearing and Speech between 2009 and 2014. Mr. Sassine earned a Bachelor of Arts degree at the University of Iowa in 1987 and an MBA from the Wharton School at the University of Pennsylvania in 1993.</w:t>
      </w:r>
    </w:p>
    <w:p>
      <w:pPr>
        <w:spacing w:after="0" w:line="180"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b w:val="1"/>
          <w:bCs w:val="1"/>
          <w:color w:val="auto"/>
        </w:rPr>
        <w:t xml:space="preserve">James Barlow </w:t>
      </w:r>
      <w:r>
        <w:rPr>
          <w:rFonts w:ascii="Arial" w:cs="Arial" w:eastAsia="Arial" w:hAnsi="Arial"/>
          <w:sz w:val="17"/>
          <w:szCs w:val="17"/>
          <w:color w:val="auto"/>
        </w:rPr>
        <w:t>is a member of the Board of Directors of NAHS Holding, Inc., an Employee Stock Ownership Plan company, whose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post-acute care, subacute care, short and long-term rehabilitation, and skilled nursing in the United States. Mr. Barlow is a C-level financial executive with more than 30 years of experience leading teams in the successful strategic achievement of financial and operational goals, and expertise in domestic and international operations, financial planning, forecasting and reporting, restructurings, business development and integrations, treasury and investor relations. As an Executive Officer (Principal Accounting Officer) at Allergan, Inc. from January 2002 to March 2015, he oversaw financial due diligence, integration and structuring for all significant asset purchases, sales, business combinations and licensing transactions, the spin-off of Advanced Medical Optics, the $3.3 billion acquisition of Inamed Corporation and more than $4.5 billion in other transactions. He ensured consistent application of corporate policies and procedures and alignment with global reporting and corporate compliance requirements, made recommendations globally to improve financial operations and participated in robust financial planning/forecasting activities. Prior to joining Allergan, Mr. Barlow served as Chief Financial Officer of Wynn Oil Company, a division of Parker Hannifin Corporation, during 2001, Treasurer and Controller of Wynn’s International, Inc. from 1990 to 2000 and Vice President and Controller of Ford Equipment Leasing Company from 1986 to 1990. From 1983 to 1985 Mr. Barlow worked for the accounting firm Deloitte Haskins and Sells. Mr. Barlow received a Bachelor of Science degree in Accounting, graduating magna cum laude, from Brigham Young University and a Master of Accountancy, graduating with honors—high distinction, from Brigham Young University. He is a certified public accountant (inactive).</w:t>
      </w:r>
    </w:p>
    <w:p>
      <w:pPr>
        <w:spacing w:after="0" w:line="185" w:lineRule="exact"/>
        <w:rPr>
          <w:sz w:val="20"/>
          <w:szCs w:val="20"/>
          <w:color w:val="auto"/>
        </w:rPr>
      </w:pPr>
    </w:p>
    <w:p>
      <w:pPr>
        <w:ind w:left="200" w:firstLine="441"/>
        <w:spacing w:after="0" w:line="261" w:lineRule="auto"/>
        <w:rPr>
          <w:sz w:val="20"/>
          <w:szCs w:val="20"/>
          <w:color w:val="auto"/>
        </w:rPr>
      </w:pPr>
      <w:r>
        <w:rPr>
          <w:rFonts w:ascii="Arial" w:cs="Arial" w:eastAsia="Arial" w:hAnsi="Arial"/>
          <w:sz w:val="18"/>
          <w:szCs w:val="18"/>
          <w:b w:val="1"/>
          <w:bCs w:val="1"/>
          <w:color w:val="auto"/>
        </w:rPr>
        <w:t xml:space="preserve">Dr. Magda Marquet </w:t>
      </w:r>
      <w:r>
        <w:rPr>
          <w:rFonts w:ascii="Arial" w:cs="Arial" w:eastAsia="Arial" w:hAnsi="Arial"/>
          <w:sz w:val="18"/>
          <w:szCs w:val="18"/>
          <w:color w:val="auto"/>
        </w:rPr>
        <w:t>is an experienced and highly-regarded leader in the life sciences industry with a very successful track record in</w:t>
      </w:r>
      <w:r>
        <w:rPr>
          <w:rFonts w:ascii="Arial" w:cs="Arial" w:eastAsia="Arial" w:hAnsi="Arial"/>
          <w:sz w:val="18"/>
          <w:szCs w:val="18"/>
          <w:b w:val="1"/>
          <w:bCs w:val="1"/>
          <w:color w:val="auto"/>
        </w:rPr>
        <w:t xml:space="preserve"> </w:t>
      </w:r>
      <w:r>
        <w:rPr>
          <w:rFonts w:ascii="Arial" w:cs="Arial" w:eastAsia="Arial" w:hAnsi="Arial"/>
          <w:sz w:val="18"/>
          <w:szCs w:val="18"/>
          <w:color w:val="auto"/>
        </w:rPr>
        <w:t>entrepreneurship. She has a true passion for creating a winning corporate culture of innovation and expertise in strategic growth and corporate governance. She co-founded Althea Technologies in 1998, and led the company as co-CEO for ten years. Althea Technologies was successfully acquired by</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Ajinomoto in 2013. As of today, Dr. Marquet remains as Chairman of the Board of the new entity Aji Bio-Pharma, a leading global contract development and manufacturing organization. She is also the co-Founder of AltheaDx, a commercial stage precision medicine company with the world’s leading pharmacogenomics test for anxiety and depression. She is co-Founder and co-CEO of ALMA Life Sciences, an early stage investment firm focusing on the creation and growth of innovative healthcare companies with an overall focus on prevention. In addition, Dr. Marquet serves as a Board member of Senté, Matrisys Bioscience, Arcturus Therapeutics (ARCT), HUYA and Independa. She is an advisor to Mesa Verde Venture Partners and City National Bank. Dr. Marquet plays a pivotal role in developing San Diego’s entrepreneurial ecosystem where she serves on several non-profit boards, including BIOCOM, CONNECT, EDC and Moores Cancer Center at UC San Diego. Dr. Marquet has over three decades of experience in the biotechnology industry in the United States and Europe. Prior to starting Althea Technologies, Dr. Marquet held management positions at Vical, Amylin Pharmaceuticals, Protein Polymer Technologies, Syntro Corporation and Transgene. She holds a Ph.D. in Biochemical Engineering from INSA/University of Toulouse, France. Dr. Marquet has received numerous awards throughout her career including the 2005 Regional Ernst &amp; Young Entrepreneur of the Year award in the Life Sciences category, the Athena Pinnacle award, the Most Admired CEO award from the San Diego Business Journal, and the Director of the Year award (Corporate Governance) from the Corporate Directors Forum. Under her leadership, Althea Technologies received several Best Companies to Work For awards. Dr. Marquet is the first woman to be inducted into the CONNECT Entrepreneur Hall of Fame.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of Directors and Executives—Term and Contracts</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have entered into written employment agreements with all of our executive officers. Each of these agreements contains provisions regarding non-competition, confidentiality of information and ownership of inventions. The non-competition provision applies for a period that is generally 12 months following termination of employment. The employment agreements also include severance for certain key employees subject to our compensation policy. The enforceability of covenants not to compete in Israel and the United States is subject to limitations. In addition, we are required to provide notice prior to terminating the employment of our executive officers, other than in the case of a termination for cause.</w:t>
      </w:r>
    </w:p>
    <w:p>
      <w:pPr>
        <w:spacing w:after="0" w:line="173"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Other than with respect to our directors that are also executive officers, we do not have written agreements with any director providing for benefits upon the termination of his employment with our company.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of Directors—Israeli Law</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Under the Companies Law, our Board of Directors is vested with the power to set corporate policy and oversee our business. Our Board of Directors may exercise all powers and may take all actions that are not specifically granted to our shareholders or to management. Our Board of Directors serves as the primary corporate body responsible for risk management for our company, including cybersecurity risks, and periodically consults with the management of our company to obtain updates concerning, and internally discusses, the most material risks currently facing our company, and how those risks are being mitigated. Our executive officers are responsible for our day-to-day management and have individual responsibilities established by our Board of Directors. Our principal executive officer is appointed by, and serves at the discretion of, our Board of Directors, subject to the employment agreement that we have entered into with him. All other executive officers are appointed by our principal executive officer, and are subject to the terms of any applicable employment agreements that we may enter into with them.</w:t>
      </w:r>
    </w:p>
    <w:p>
      <w:pPr>
        <w:spacing w:after="0" w:line="179" w:lineRule="exact"/>
        <w:rPr>
          <w:sz w:val="20"/>
          <w:szCs w:val="20"/>
          <w:color w:val="auto"/>
        </w:rPr>
      </w:pPr>
    </w:p>
    <w:p>
      <w:pPr>
        <w:ind w:left="200" w:right="320" w:firstLine="441"/>
        <w:spacing w:after="0" w:line="279" w:lineRule="auto"/>
        <w:rPr>
          <w:sz w:val="20"/>
          <w:szCs w:val="20"/>
          <w:color w:val="auto"/>
        </w:rPr>
      </w:pPr>
      <w:r>
        <w:rPr>
          <w:rFonts w:ascii="Arial" w:cs="Arial" w:eastAsia="Arial" w:hAnsi="Arial"/>
          <w:sz w:val="17"/>
          <w:szCs w:val="17"/>
          <w:color w:val="auto"/>
        </w:rPr>
        <w:t>Under our amended and restated articles of association, our Board of Directors must consist of at least five and not more than eleven directors. Our Board of Directors currently consists of five directors. We have only one class of directors. In accordance with the Companies Law and our amended and restated articles of association, our Board of Directors is required to appoint one of its members to serve as Chairman of the Board of Directors. Our Board of Directors has appointed Dr. Farrell to serve as Chairman of the Board of Directors.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Each of our directors is elected at an annual or extraordinary general meeting of shareholders. The vote required for the election of each director is a majority of the voting power represented at the meeting and voting on the election proposal.</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External Directors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Exemption</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In June 2016, we elected to be governed by an exemption under the Companies Law regulations that exempts us from appointing external directors and from complying with the Companies Law requirements related to the composition of the audit committee and compensation committee of our Board of Directors. Our eligibility for that exemption is conditioned upon: (i) the continued listing of our Ordinary Shares on the Nasdaq Stock Market (or one of a few select other non-Israeli stock exchanges); (ii) there not being a controlling shareholder (generally understood to be a 25% or greater shareholder) of our company under the Companies Law; and (iii) our compliance with the Nasdaq Listing Rules requirements as to the composition of (a) our Board of Directors—which requires that we maintain a majority of independent directors (as defined under the Nasdaq Listing Rules) on our Board of Directors (subject to applicable cure periods under the Nasdaq Listing Rules) and (b) the audit and compensation committees of our Board of Directors, which rules require that such committees consist solely of independent directors (at least three and two members, respectively). At the time that it was determined to exempt our company from the external director requirement, our board affirmatively determined that we meet the conditions for exemption from the external director requirement.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Board Nominations and Removal</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Our directors are each elected at an annual or extraordinary general meeting of our shareholders and serve until the next annual general meeting. Such election is subject to the nomination, and recommendation for the Board of Directors’ nomination, by a majority of independent directors. Directors may nevertheless be removed prior to the end of their term by the majority of our shareholders at a general meeting of our shareholders or upon the occurrence of certain events, all in accordance with the Companies Law and our amended and restated articles of association.</w:t>
      </w:r>
    </w:p>
    <w:p>
      <w:pPr>
        <w:spacing w:after="0" w:line="154"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addition, our amended and restated articles of association allow our Board of Directors to appoint directors, to fill vacancies on our Board of Directors, for a term of office equal to the remaining period of the term of office of the directors whose offices have been vacated or appoint new additions to Board of Directors up to the maximum number of directors.</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Under the Companies Law, following the publication of a notice convening the general meeting of shareholders by the Company, nominations for directors may be made by any shareholder holding at least one percent (1%) of our outstanding voting power. However, any such shareholder may make such a nomination only if a written notice of such shareholder’s intent to make such nomination has been given to our Board of Directors. Any such notice must include certain information which under the Companies Law requires to be provided to our shareholders, the consent of the proposed director nominee(s) to serve as our director(s) if elected and a declaration signed by the nominee(s) declaring that there is no limitation under the Companies Law preventing their election and that all of the information that is required under the Companies Law to be provided to us in connection with such election has been provided.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Board Member Qualifications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addition to its role in making director nominations, under the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00"/>
          </w:cols>
          <w:pgMar w:left="24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86" w:lineRule="auto"/>
        <w:rPr>
          <w:sz w:val="20"/>
          <w:szCs w:val="20"/>
          <w:color w:val="auto"/>
        </w:rPr>
      </w:pPr>
      <w:r>
        <w:rPr>
          <w:rFonts w:ascii="Arial" w:cs="Arial" w:eastAsia="Arial" w:hAnsi="Arial"/>
          <w:sz w:val="17"/>
          <w:szCs w:val="17"/>
          <w:color w:val="auto"/>
        </w:rPr>
        <w:t>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 Mr. James Barlow has such accounting and financial expertise.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Israeli Law Requirements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Companies Law, the board of directors of a public company must appoint an audit committee.</w:t>
      </w:r>
    </w:p>
    <w:p>
      <w:pPr>
        <w:spacing w:after="0" w:line="225"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Our Audit Committee assists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Companies Law, our Audit Committee is responsible for:</w:t>
      </w:r>
    </w:p>
    <w:p>
      <w:pPr>
        <w:spacing w:after="0" w:line="131" w:lineRule="exact"/>
        <w:rPr>
          <w:sz w:val="20"/>
          <w:szCs w:val="20"/>
          <w:color w:val="auto"/>
        </w:rPr>
      </w:pPr>
    </w:p>
    <w:p>
      <w:pPr>
        <w:ind w:left="1060" w:right="380" w:hanging="316"/>
        <w:spacing w:after="0" w:line="27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determining whether there are deficiencies in the business management practices of our Company, and making recommendations to our Board of Directors to improve such practices;</w:t>
      </w:r>
    </w:p>
    <w:p>
      <w:pPr>
        <w:spacing w:after="0" w:line="75" w:lineRule="exact"/>
        <w:rPr>
          <w:rFonts w:ascii="Arial" w:cs="Arial" w:eastAsia="Arial" w:hAnsi="Arial"/>
          <w:sz w:val="18"/>
          <w:szCs w:val="18"/>
          <w:color w:val="auto"/>
        </w:rPr>
      </w:pPr>
    </w:p>
    <w:p>
      <w:pPr>
        <w:ind w:left="1060" w:right="180" w:hanging="316"/>
        <w:spacing w:after="0" w:line="312" w:lineRule="auto"/>
        <w:tabs>
          <w:tab w:leader="none" w:pos="10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determining whether to approve certain related party transactions (including transactions in which an office holder has a personal interest and whether such transaction is extraordinary or material under the Companies Law) (see Item 16G.—“Corporate Governance—Approval of Related Party Transactions under Israeli Law” of our Annual Report on Form 20-F for the fiscal year ended December 31, 2017);</w:t>
      </w:r>
    </w:p>
    <w:p>
      <w:pPr>
        <w:spacing w:after="0" w:line="52" w:lineRule="exact"/>
        <w:rPr>
          <w:rFonts w:ascii="Arial" w:cs="Arial" w:eastAsia="Arial" w:hAnsi="Arial"/>
          <w:sz w:val="16"/>
          <w:szCs w:val="16"/>
          <w:color w:val="auto"/>
        </w:rPr>
      </w:pPr>
    </w:p>
    <w:p>
      <w:pPr>
        <w:ind w:left="1060" w:right="120" w:hanging="316"/>
        <w:spacing w:after="0" w:line="27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examining our internal controls and internal auditor’s performance, including whether the internal auditor has sufficient resources and tools to dispose of its responsibilities;</w:t>
      </w:r>
    </w:p>
    <w:p>
      <w:pPr>
        <w:spacing w:after="0" w:line="75" w:lineRule="exact"/>
        <w:rPr>
          <w:rFonts w:ascii="Arial" w:cs="Arial" w:eastAsia="Arial" w:hAnsi="Arial"/>
          <w:sz w:val="18"/>
          <w:szCs w:val="18"/>
          <w:color w:val="auto"/>
        </w:rPr>
      </w:pPr>
    </w:p>
    <w:p>
      <w:pPr>
        <w:ind w:left="1060" w:right="640" w:hanging="316"/>
        <w:spacing w:after="0" w:line="27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examining the scope of our auditor’s work and compensation and submitting a recommendation with respect thereto to our Board of Directors or shareholders, depending on which of them is considering the appointment of our auditor;</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75" w:lineRule="exact"/>
        <w:rPr>
          <w:rFonts w:ascii="Arial" w:cs="Arial" w:eastAsia="Arial" w:hAnsi="Arial"/>
          <w:sz w:val="18"/>
          <w:szCs w:val="18"/>
          <w:color w:val="auto"/>
        </w:rPr>
      </w:pPr>
    </w:p>
    <w:p>
      <w:pPr>
        <w:ind w:left="1060" w:right="40" w:hanging="316"/>
        <w:spacing w:after="0" w:line="25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determining whether certain acts of an office holder not in accordance with his or her fiduciary duty owed to the Company are extraordinary or material and to approve such acts and certain related party transactions (including transactions in which an office holder has a personal interest) and whether such transaction is extraordinary or material under the Companies Law (see Item 16G.—“Corporate Governance— Approval of Related Party Transactions under Israeli Law” of our Annual Report on Form 20-F for the fiscal year ended December 31, 2017);</w:t>
      </w:r>
    </w:p>
    <w:p>
      <w:pPr>
        <w:spacing w:after="0" w:line="93" w:lineRule="exact"/>
        <w:rPr>
          <w:rFonts w:ascii="Arial" w:cs="Arial" w:eastAsia="Arial" w:hAnsi="Arial"/>
          <w:sz w:val="18"/>
          <w:szCs w:val="18"/>
          <w:color w:val="auto"/>
        </w:rPr>
      </w:pPr>
    </w:p>
    <w:p>
      <w:pPr>
        <w:ind w:left="1060" w:right="640" w:hanging="316"/>
        <w:spacing w:after="0" w:line="308" w:lineRule="auto"/>
        <w:tabs>
          <w:tab w:leader="none" w:pos="10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deciding whether to approve and to establish the approval process (including by tender or other competitive proceedings) for certain transactions with a controlling shareholder or in which a controlling shareholder has a personal interest; and</w:t>
      </w:r>
    </w:p>
    <w:p>
      <w:pPr>
        <w:spacing w:after="0" w:line="51" w:lineRule="exact"/>
        <w:rPr>
          <w:rFonts w:ascii="Arial" w:cs="Arial" w:eastAsia="Arial" w:hAnsi="Arial"/>
          <w:sz w:val="17"/>
          <w:szCs w:val="17"/>
          <w:color w:val="auto"/>
        </w:rPr>
      </w:pPr>
    </w:p>
    <w:p>
      <w:pPr>
        <w:ind w:left="1060" w:right="520" w:hanging="316"/>
        <w:spacing w:after="0" w:line="27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determining the process of approval of transactions that are not negligible, including determining the types of transactions that will be subject to the approval of our Audit Committee.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Nasdaq Requirements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Under the Nasdaq Listing Rules, we are required to maintain an audit committee consisting of at least three independent directors, all of whom are financially literate and one of whom has accounting or related financial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 xml:space="preserve">management expertise. Under the Nasdaq Listing Rules, the audit committee is responsible for, among other things: the oversight of our independent registered public accounting firm; the receipt, retention, and treatment of complaints received by our company regarding accounting, internal accounting controls, or auditing matters; and </w:t>
      </w:r>
      <w:r>
        <w:rPr>
          <w:rFonts w:ascii="Arial" w:cs="Arial" w:eastAsia="Arial" w:hAnsi="Arial"/>
          <w:sz w:val="18"/>
          <w:szCs w:val="18"/>
          <w:b w:val="1"/>
          <w:bCs w:val="1"/>
          <w:color w:val="auto"/>
        </w:rPr>
        <w:t>t</w:t>
      </w:r>
      <w:r>
        <w:rPr>
          <w:rFonts w:ascii="Arial" w:cs="Arial" w:eastAsia="Arial" w:hAnsi="Arial"/>
          <w:sz w:val="18"/>
          <w:szCs w:val="18"/>
          <w:color w:val="auto"/>
        </w:rPr>
        <w:t>he confidential, anonymous submission by our employees of concerns regarding questionable accounting or auditing matters.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Audit Committee consists of Mr. Barlow, who serves as the chairperson of the Audit Committee, Mr. Farrell and Dr. Marquet, all of whom are independent under the listing standards of the Nasdaq Listing Rules. The existing Board of Directors has determined that Mr. Barlow is an audit committee financial expert as defined by the SEC rules and has the requisite financial sophistication as defined by the Nasdaq Listing Rules. All of the members of our Audit Committee meet the requirements for financial literacy under the applicable Nasdaq Listing Rules. Each member of the Audit Committee is required to be (and each of the foregoing members of our Audit Committee actually is) “independent” as such term is defined in Rule 10A-3(b)(1) under the Exchange Act.</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Charter</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Board of Directors has adopted an audit committee charter setting forth the responsibilities of our Audit Committee consistent with the rules of the SEC and the Nasdaq Listing Rules, as well as the requirements for such committee under the Companies Law. The audit committee charter is posted on our website.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 and Compensation Policy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Israeli Law Requirements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Under the Companies Law, the board of directors of a public company must appoint a compensation committee, which must be responsible for</w:t>
      </w:r>
    </w:p>
    <w:p>
      <w:pPr>
        <w:spacing w:after="0" w:line="46" w:lineRule="exact"/>
        <w:rPr>
          <w:sz w:val="20"/>
          <w:szCs w:val="20"/>
          <w:color w:val="auto"/>
        </w:rPr>
      </w:pPr>
    </w:p>
    <w:p>
      <w:pPr>
        <w:ind w:left="200" w:right="60" w:firstLine="4"/>
        <w:spacing w:after="0" w:line="252" w:lineRule="auto"/>
        <w:tabs>
          <w:tab w:leader="none" w:pos="41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approving, and proposing for approval by the board of directors and shareholders, a compensation policy, (ii) proposing necessary revisions to the compensation policy and examining its implementation, (iii) determining whether to approve transactions with respect to the terms of office and employment of office holders, and (iv) determining, in accordance with the compensation policy, whether to exempt an engagement with an unaffiliated nominee for the position of principal executive officer from requiring shareholders’ approval. The term “office holder,” as defined in the Companies Law, includes directors, executive officers and any manager directly subordinate to the chief executive officer. Under the regulations promulgated under the Companies Law, certain exemptions and reliefs with respect to the compensation committee are granted to companies such as ours whose securities are traded outside of Israel.</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Compensation Policy Requirements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Companies Law provides that a compensation policy must serve as the basis for the decisions concerning the financial terms of employment or engagement of the office holders, including exculpation, insurance, indemnification or any monetary payment or obligation of payment in respect of employment or engagement. The compensation policy must be approved (or reapproved) not less frequently than every three years, and relate to certain factors, including advancement of the company’s objective, business plan and its long-term strategy and creation of appropriate incentives for office holders. It must also consider, among other things, the company’s risk management, size and nature of its operations. The compensation policy must furthermore consider the following additional factors:</w:t>
      </w:r>
    </w:p>
    <w:p>
      <w:pPr>
        <w:spacing w:after="0" w:line="99" w:lineRule="exact"/>
        <w:rPr>
          <w:sz w:val="20"/>
          <w:szCs w:val="20"/>
          <w:color w:val="auto"/>
        </w:rPr>
      </w:pPr>
    </w:p>
    <w:p>
      <w:pPr>
        <w:ind w:left="1060" w:hanging="316"/>
        <w:spacing w:after="0"/>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knowledge, skills, expertise and accomplishments of the relevant office holder;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office holder’s roles and responsibilities and prior compensation agreements with him or her;</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relationship between the terms offered and the average compensation of the other employees of the company, including those employed through manpower companies;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impact of disparities in salary upon work relationships in the company;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77" w:lineRule="auto"/>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possibility of reducing variable compensation at the discretion of the board of directors or the possibility of setting a limit on the exercise value of non-cash variable equity-based compensation; and</w:t>
      </w:r>
    </w:p>
    <w:p>
      <w:pPr>
        <w:spacing w:after="0" w:line="75" w:lineRule="exact"/>
        <w:rPr>
          <w:rFonts w:ascii="Arial" w:cs="Arial" w:eastAsia="Arial" w:hAnsi="Arial"/>
          <w:sz w:val="18"/>
          <w:szCs w:val="18"/>
          <w:color w:val="auto"/>
        </w:rPr>
      </w:pPr>
    </w:p>
    <w:p>
      <w:pPr>
        <w:ind w:left="1060" w:right="60" w:hanging="316"/>
        <w:spacing w:after="0" w:line="286" w:lineRule="auto"/>
        <w:tabs>
          <w:tab w:leader="none" w:pos="10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as to severance compensation, the period of service of the office holder, the terms of his or her compensation during such service period, the company’s performance during that period of service, the person’s contributions towards the company’s achievement of its goals and the maximization of its profits and the circumstances under which the person is leaving the company.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compensation policy must also include the following principles:</w:t>
      </w:r>
    </w:p>
    <w:p>
      <w:pPr>
        <w:spacing w:after="0" w:line="131" w:lineRule="exact"/>
        <w:rPr>
          <w:sz w:val="20"/>
          <w:szCs w:val="20"/>
          <w:color w:val="auto"/>
        </w:rPr>
      </w:pPr>
    </w:p>
    <w:p>
      <w:pPr>
        <w:ind w:left="1060" w:hanging="316"/>
        <w:spacing w:after="0"/>
        <w:tabs>
          <w:tab w:leader="none" w:pos="10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link between variable compensation and long-term performance and measurable criteria;</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relationship between variable and fixed compensation, and the ceiling for the value of variable compensation;</w:t>
      </w:r>
    </w:p>
    <w:p>
      <w:pPr>
        <w:spacing w:after="0" w:line="130" w:lineRule="exact"/>
        <w:rPr>
          <w:rFonts w:ascii="Arial" w:cs="Arial" w:eastAsia="Arial" w:hAnsi="Arial"/>
          <w:sz w:val="18"/>
          <w:szCs w:val="18"/>
          <w:color w:val="auto"/>
        </w:rPr>
      </w:pPr>
    </w:p>
    <w:p>
      <w:pPr>
        <w:ind w:left="1060" w:right="80" w:hanging="316"/>
        <w:spacing w:after="0" w:line="342" w:lineRule="auto"/>
        <w:tabs>
          <w:tab w:leader="none" w:pos="10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conditions under which a director or executive would be required to repay compensation paid to him or her if it was later shown that the data upon which such compensation was based was inaccurate and was required to be restated in the company’s financial statements;</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minimum holding or vesting period for variable, equity-based compensation;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maximum limits for severance compensation.</w:t>
      </w:r>
    </w:p>
    <w:p>
      <w:pPr>
        <w:spacing w:after="0" w:line="225"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compensation policy must be approved by the board of directors, after considering the recommendations of the compensation committee. The compensation policy must also be approved by a majority of the company’s shareholders, provided that (i) such majority includes at least a majority of the shareholders who are not controlling shareholders and who do not have a personal interest in the matter, present and voting (abstentions are disregarded), or (ii) the non-controlling shareholders and shareholders who do not have a personal interest in the matter who were present and voted against the policy hold two percent or less of the outstanding voting power of the company. Other than for a newly public company, for which the regulations provide for a five-year period, for all other public companies, the compensation policy must be approved by the board of directors and the shareholders every three years. If the compensation policy is not approved by the shareholders, the compensation committee and the board of directors may nonetheless approve the policy, following further discussion of the matter and for specified reasons.</w:t>
      </w:r>
    </w:p>
    <w:p>
      <w:pPr>
        <w:spacing w:after="0" w:line="166"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Our amended and restated Compensation policy, that meets the above requirements, was recently restated and approved by our shareholders in August 2018.</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Israeli Law Office Holder Compensation Approvals</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Under the Companies Law, the terms of office and employment of office holders require the approval of the compensation committee and the board of directors. The terms of office and employment of directors and the Chief Executive Officer must also be approved by shareholders (excluding several exemptions). Changes to existing terms of office and employment of office holders (other than directors) can be made with the approval of the compensation committee only, if the committee determines that the change is not substantially different from the existing terms.</w:t>
      </w:r>
    </w:p>
    <w:p>
      <w:pPr>
        <w:spacing w:after="0" w:line="154"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Under certain circumstances, the compensation committee and the board of directors may approve an arrangement that deviates from the compensation policy, provided that such arrangement is approved by the special majority of the company’s shareholders mentioned above. Such shareholder approval will also be required with respect to determining the terms of office and employment of a director or the principal executive officer during the transition period until a company adopts a compensation policy (or during any period between the three-year anniversary (or in the case of a newly public company, the initial five-year anniversary) of the last adoption of a compensation policy and the actual adoption of an updated compensation policy). Notwithstanding the foregoing, a company may be exempted from receiving shareholder approval with respect to the terms of</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42" w:lineRule="auto"/>
        <w:rPr>
          <w:sz w:val="20"/>
          <w:szCs w:val="20"/>
          <w:color w:val="auto"/>
        </w:rPr>
      </w:pPr>
      <w:r>
        <w:rPr>
          <w:rFonts w:ascii="Arial" w:cs="Arial" w:eastAsia="Arial" w:hAnsi="Arial"/>
          <w:sz w:val="16"/>
          <w:szCs w:val="16"/>
          <w:color w:val="auto"/>
        </w:rPr>
        <w:t>office and employment of a candidate for principal executive officer if such candidate meets certain independence criteria, the terms are in line with the compensation policy and the compensation committee has determined for specified reasons that shareholder approval would prevent the engagement.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Compensation Committee—Nasdaq Requirements</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Under the Nasdaq Listing Rules, we are required to maintain a compensation committee, consisting entirely of independent directors, which is authorized to determine the compensation of our executive officers (or, the determination of that compensation of our executive officers must be made solely by the independent members of the board of directors).</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Compensation Committee consists of Dr. Marquet, who serves as the chairperson of the committee, Mr. Farrell and Mr. Barlow, all of whom are independent under the listing standards of the Nasdaq Listing Rules.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Charter</w:t>
      </w:r>
    </w:p>
    <w:p>
      <w:pPr>
        <w:spacing w:after="0" w:line="117" w:lineRule="exact"/>
        <w:rPr>
          <w:sz w:val="20"/>
          <w:szCs w:val="20"/>
          <w:color w:val="auto"/>
        </w:rPr>
      </w:pPr>
    </w:p>
    <w:p>
      <w:pPr>
        <w:ind w:left="200" w:right="380" w:firstLine="441"/>
        <w:spacing w:after="0" w:line="312" w:lineRule="auto"/>
        <w:rPr>
          <w:sz w:val="20"/>
          <w:szCs w:val="20"/>
          <w:color w:val="auto"/>
        </w:rPr>
      </w:pPr>
      <w:r>
        <w:rPr>
          <w:rFonts w:ascii="Arial" w:cs="Arial" w:eastAsia="Arial" w:hAnsi="Arial"/>
          <w:sz w:val="16"/>
          <w:szCs w:val="16"/>
          <w:color w:val="auto"/>
        </w:rPr>
        <w:t>Our Board of Directors has adopted a compensation committee charter setting forth the responsibilities of our Compensation Committee consistent with the Nasdaq Listing Rules and the requirements under the Companies Law, as described above. The compensation committee charter requires that our Compensation Committee be comprised of at least three members. The compensation committee charter is posted on our website.</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Our Nominating and Corporate Governance Committee consists of Mr. Farrell, who serves as the chairperson of the committee, and Mr. Barlow and Dr. Marquet, each of whom are independent under the listing standards of the Nasdaq Listing Rules. No committee member may be an employee of the Company and each member must be free from any relationship that would interfere with the exercise of his or her independent judgment, as determined by the Board of Directors, in accordance with the applicable independence requirements under the Nasdaq Listing Rules. The members of the committee and the committee chairperson are appointed by the Board of Directors. To the extent that the Board of Directors is then required to include external directors under the Companies Law, at least one such external director will serve on the Nominating and Corporate Governance Committee.</w:t>
      </w:r>
    </w:p>
    <w:p>
      <w:pPr>
        <w:spacing w:after="0" w:line="18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purpose of the Nominating and Corporate Governance Committee is to: (i) oversee all aspects of the Company’s corporate governance functions on behalf of the Board of Directors; (ii) make recommendations to the Board of Directors regarding corporate governance issues; (iii) identify, review and evaluate candidates to serve as directors of the Company and review and evaluate incumbent directors; (iv) serve as a focal point for communication between such candidates, non-committee directors and the Company’s management; (v) recommend for nomination by the Board of Directors and election by the shareholders candidates to serve on the Board of Directors; and (vi) make other recommendations to the Board of Directors regarding affairs relating to the directors of the Company, including director compensation (subject to approval by the compensation committee of the Board of Directors to the extent required under Israeli law).</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Nominating and Corporate Governance Committee has the following primary responsibilities:</w:t>
      </w:r>
    </w:p>
    <w:p>
      <w:pPr>
        <w:spacing w:after="0" w:line="131" w:lineRule="exact"/>
        <w:rPr>
          <w:sz w:val="20"/>
          <w:szCs w:val="20"/>
          <w:color w:val="auto"/>
        </w:rPr>
      </w:pPr>
    </w:p>
    <w:p>
      <w:pPr>
        <w:ind w:left="1060" w:right="20" w:hanging="316"/>
        <w:spacing w:after="0" w:line="257" w:lineRule="auto"/>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Director Nominations</w:t>
      </w:r>
      <w:r>
        <w:rPr>
          <w:rFonts w:ascii="Arial" w:cs="Arial" w:eastAsia="Arial" w:hAnsi="Arial"/>
          <w:sz w:val="18"/>
          <w:szCs w:val="18"/>
          <w:color w:val="auto"/>
        </w:rPr>
        <w:t>—The committee has the responsibility of identifying, reviewing and evaluating candidates to serve 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including consideration of any potential conflicts of interest as well as applicable independence and experience requirements. The committee will also have the primary responsibility for reviewing, evaluating and considering the recommendation for nomination of incumbent directors for re-election to the Board, as well as monitoring the size of the Board of Directors. The committee will also recommend to the Board of</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0"/>
        <w:spacing w:after="0" w:line="257" w:lineRule="auto"/>
        <w:rPr>
          <w:sz w:val="20"/>
          <w:szCs w:val="20"/>
          <w:color w:val="auto"/>
        </w:rPr>
      </w:pPr>
      <w:r>
        <w:rPr>
          <w:rFonts w:ascii="Arial" w:cs="Arial" w:eastAsia="Arial" w:hAnsi="Arial"/>
          <w:sz w:val="18"/>
          <w:szCs w:val="18"/>
          <w:color w:val="auto"/>
        </w:rPr>
        <w:t>Directors for selection candidates to the Board of Directors. The committee will also have the power and authority to consider recommendations for Board of Directors nominees and proposals submitted by the Company’s shareholders and to establish any policies, requirements, criteria and procedures, including policies and procedures to facilitate shareholder communications with the Board of Directors, to recommend to the Board of Directors appropriate action on any such proposal or recommendation and to make any disclosures required by applicable law in the course of exercising its authority.</w:t>
      </w:r>
    </w:p>
    <w:p>
      <w:pPr>
        <w:spacing w:after="0" w:line="94" w:lineRule="exact"/>
        <w:rPr>
          <w:sz w:val="20"/>
          <w:szCs w:val="20"/>
          <w:color w:val="auto"/>
        </w:rPr>
      </w:pPr>
    </w:p>
    <w:p>
      <w:pPr>
        <w:ind w:left="1060" w:hanging="316"/>
        <w:spacing w:after="0" w:line="270" w:lineRule="auto"/>
        <w:tabs>
          <w:tab w:leader="none" w:pos="1060" w:val="left"/>
        </w:tabs>
        <w:numPr>
          <w:ilvl w:val="0"/>
          <w:numId w:val="129"/>
        </w:numPr>
        <w:rPr>
          <w:rFonts w:ascii="Arial" w:cs="Arial" w:eastAsia="Arial" w:hAnsi="Arial"/>
          <w:sz w:val="17"/>
          <w:szCs w:val="17"/>
          <w:color w:val="auto"/>
        </w:rPr>
      </w:pPr>
      <w:r>
        <w:rPr>
          <w:rFonts w:ascii="Arial" w:cs="Arial" w:eastAsia="Arial" w:hAnsi="Arial"/>
          <w:sz w:val="17"/>
          <w:szCs w:val="17"/>
          <w:i w:val="1"/>
          <w:iCs w:val="1"/>
          <w:color w:val="auto"/>
        </w:rPr>
        <w:t>Management and Board Assessment</w:t>
      </w:r>
      <w:r>
        <w:rPr>
          <w:rFonts w:ascii="Arial" w:cs="Arial" w:eastAsia="Arial" w:hAnsi="Arial"/>
          <w:sz w:val="17"/>
          <w:szCs w:val="17"/>
          <w:color w:val="auto"/>
        </w:rPr>
        <w:t>—The committee will periodically review, discuss and assess the performance of management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including Board of Directors committees, seeking input from senior management, the full Board of Directors and others. The assessment will include evaluation of the Board of Director’s contribution as a whole and effectiveness in serving the best interests of the Company and its shareholders, specific areas in which the Board of Directors and/or management believe contributions could be improved, and overall Board of Directors composition and makeup, including the reelection of current board members. The factors to be considered will include whether the directors, both individually and collectively, can and do provide the integrity, experience, judgment, commitment, skills and expertise appropriate for the Company. The committee will also consider and assess the independence of directors, including whether a majority of the Board of Directors continue to be independent from management in both fact and appearance, as well as within the meaning prescribed by the Nasdaq Listing Rules. The results of these reviews will be provided to the Board of Directors for further discussion as appropriate.</w:t>
      </w:r>
    </w:p>
    <w:p>
      <w:pPr>
        <w:spacing w:after="0" w:line="83" w:lineRule="exact"/>
        <w:rPr>
          <w:rFonts w:ascii="Arial" w:cs="Arial" w:eastAsia="Arial" w:hAnsi="Arial"/>
          <w:sz w:val="17"/>
          <w:szCs w:val="17"/>
          <w:color w:val="auto"/>
        </w:rPr>
      </w:pPr>
    </w:p>
    <w:p>
      <w:pPr>
        <w:ind w:left="1060" w:right="340" w:hanging="316"/>
        <w:spacing w:after="0" w:line="259" w:lineRule="auto"/>
        <w:tabs>
          <w:tab w:leader="none" w:pos="106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Board Committee Nominations</w:t>
      </w:r>
      <w:r>
        <w:rPr>
          <w:rFonts w:ascii="Arial" w:cs="Arial" w:eastAsia="Arial" w:hAnsi="Arial"/>
          <w:sz w:val="18"/>
          <w:szCs w:val="18"/>
          <w:color w:val="auto"/>
        </w:rPr>
        <w:t>—The committee, after due consideration of the interests, independence and experience of the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the independence and experience requirements of the Nasdaq Listing Rules, the rules and regulations of the SEC and applicable law, will recommend to the entire Board of Directors annually the chairmanship and membership of each committee. The committee will conduct an annual self-evaluation.</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Continuing Education</w:t>
      </w:r>
      <w:r>
        <w:rPr>
          <w:rFonts w:ascii="Arial" w:cs="Arial" w:eastAsia="Arial" w:hAnsi="Arial"/>
          <w:sz w:val="18"/>
          <w:szCs w:val="18"/>
          <w:color w:val="auto"/>
        </w:rPr>
        <w:t>—The committee will consider instituting a plan or program for the continuing education of directors.</w:t>
      </w:r>
    </w:p>
    <w:p>
      <w:pPr>
        <w:spacing w:after="0" w:line="130" w:lineRule="exact"/>
        <w:rPr>
          <w:rFonts w:ascii="Arial" w:cs="Arial" w:eastAsia="Arial" w:hAnsi="Arial"/>
          <w:sz w:val="18"/>
          <w:szCs w:val="18"/>
          <w:color w:val="auto"/>
        </w:rPr>
      </w:pPr>
    </w:p>
    <w:p>
      <w:pPr>
        <w:ind w:left="1060" w:right="80" w:hanging="316"/>
        <w:spacing w:after="0" w:line="259" w:lineRule="auto"/>
        <w:tabs>
          <w:tab w:leader="none" w:pos="106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Corporate Governance Principles</w:t>
      </w:r>
      <w:r>
        <w:rPr>
          <w:rFonts w:ascii="Arial" w:cs="Arial" w:eastAsia="Arial" w:hAnsi="Arial"/>
          <w:sz w:val="18"/>
          <w:szCs w:val="18"/>
          <w:color w:val="auto"/>
        </w:rPr>
        <w:t>—The committee has the authority to develop a set of corporate governance principles to be applicable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may periodically review and assess these principles and their application, and may recommend any changes deemed appropriate to the Board of Directors for its consideration. Further, the committee will periodically review Company policy statements to determine their adherence to the Company’s code of conduct.</w:t>
      </w:r>
    </w:p>
    <w:p>
      <w:pPr>
        <w:spacing w:after="0" w:line="92" w:lineRule="exact"/>
        <w:rPr>
          <w:rFonts w:ascii="Arial" w:cs="Arial" w:eastAsia="Arial" w:hAnsi="Arial"/>
          <w:sz w:val="18"/>
          <w:szCs w:val="18"/>
          <w:color w:val="auto"/>
        </w:rPr>
      </w:pPr>
    </w:p>
    <w:p>
      <w:pPr>
        <w:ind w:left="1060" w:right="120" w:hanging="316"/>
        <w:spacing w:after="0" w:line="257" w:lineRule="auto"/>
        <w:tabs>
          <w:tab w:leader="none" w:pos="106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Procedures for Information Dissemination</w:t>
      </w:r>
      <w:r>
        <w:rPr>
          <w:rFonts w:ascii="Arial" w:cs="Arial" w:eastAsia="Arial" w:hAnsi="Arial"/>
          <w:sz w:val="18"/>
          <w:szCs w:val="18"/>
          <w:color w:val="auto"/>
        </w:rPr>
        <w:t>—The committee will oversee and review the processes and procedures used by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information to the Board of Directors and its committees. The committee should consider, among other factors, the reporting channels through which the Board of Directors and its committees receive information and the level of access to outside advisors where necessary or appropriate, as well as the procedures for providing accurate, relevant and appropriately detailed information to the Board of Directors and its committees on a timely basis.</w:t>
      </w:r>
    </w:p>
    <w:p>
      <w:pPr>
        <w:spacing w:after="0" w:line="93" w:lineRule="exact"/>
        <w:rPr>
          <w:rFonts w:ascii="Arial" w:cs="Arial" w:eastAsia="Arial" w:hAnsi="Arial"/>
          <w:sz w:val="18"/>
          <w:szCs w:val="18"/>
          <w:color w:val="auto"/>
        </w:rPr>
      </w:pPr>
    </w:p>
    <w:p>
      <w:pPr>
        <w:ind w:left="1060" w:right="140" w:hanging="316"/>
        <w:spacing w:after="0" w:line="264" w:lineRule="auto"/>
        <w:tabs>
          <w:tab w:leader="none" w:pos="106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Director Compensation</w:t>
      </w:r>
      <w:r>
        <w:rPr>
          <w:rFonts w:ascii="Arial" w:cs="Arial" w:eastAsia="Arial" w:hAnsi="Arial"/>
          <w:sz w:val="18"/>
          <w:szCs w:val="18"/>
          <w:color w:val="auto"/>
        </w:rPr>
        <w:t>—The committee will periodically review the compensation paid to non-employee directors for their service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and its committees and recommend any changes considered appropriate to the compensation committee, which in turn can recommend to the full Board of Directors for its approval.</w:t>
      </w:r>
    </w:p>
    <w:p>
      <w:pPr>
        <w:spacing w:after="0" w:line="86"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Management Succession</w:t>
      </w:r>
      <w:r>
        <w:rPr>
          <w:rFonts w:ascii="Arial" w:cs="Arial" w:eastAsia="Arial" w:hAnsi="Arial"/>
          <w:sz w:val="18"/>
          <w:szCs w:val="18"/>
          <w:color w:val="auto"/>
        </w:rPr>
        <w:t>—The committee will periodically review with the Chief Executive Officer the plans for succession to the offices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executive officers and make recommendations to the Board of Directors with respect to the selection of appropriate individuals to succeed to these positions.</w:t>
      </w:r>
    </w:p>
    <w:p>
      <w:pPr>
        <w:spacing w:after="0" w:line="86"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Self-Assessment</w:t>
      </w:r>
      <w:r>
        <w:rPr>
          <w:rFonts w:ascii="Arial" w:cs="Arial" w:eastAsia="Arial" w:hAnsi="Arial"/>
          <w:sz w:val="18"/>
          <w:szCs w:val="18"/>
          <w:color w:val="auto"/>
        </w:rPr>
        <w:t>—The committee will review, discuss and assess its own performance at least annually. The committee will also periodically</w:t>
      </w:r>
      <w:r>
        <w:rPr>
          <w:rFonts w:ascii="Arial" w:cs="Arial" w:eastAsia="Arial" w:hAnsi="Arial"/>
          <w:sz w:val="18"/>
          <w:szCs w:val="18"/>
          <w:i w:val="1"/>
          <w:iCs w:val="1"/>
          <w:color w:val="auto"/>
        </w:rPr>
        <w:t xml:space="preserve"> </w:t>
      </w:r>
      <w:r>
        <w:rPr>
          <w:rFonts w:ascii="Arial" w:cs="Arial" w:eastAsia="Arial" w:hAnsi="Arial"/>
          <w:sz w:val="18"/>
          <w:szCs w:val="18"/>
          <w:color w:val="auto"/>
        </w:rPr>
        <w:t>review and assess the adequacy of the committee charter,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240" w:top="460"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0"/>
        <w:spacing w:after="0" w:line="277" w:lineRule="auto"/>
        <w:rPr>
          <w:sz w:val="20"/>
          <w:szCs w:val="20"/>
          <w:color w:val="auto"/>
        </w:rPr>
      </w:pPr>
      <w:r>
        <w:rPr>
          <w:rFonts w:ascii="Arial" w:cs="Arial" w:eastAsia="Arial" w:hAnsi="Arial"/>
          <w:sz w:val="18"/>
          <w:szCs w:val="18"/>
          <w:color w:val="auto"/>
        </w:rPr>
        <w:t>including the committee’s role and responsibilities as outlined in the committee charter, and will recommend any proposed changes to the Board of Directors for its consideration.</w:t>
      </w:r>
    </w:p>
    <w:p>
      <w:pPr>
        <w:spacing w:after="0" w:line="76" w:lineRule="exact"/>
        <w:rPr>
          <w:sz w:val="20"/>
          <w:szCs w:val="20"/>
          <w:color w:val="auto"/>
        </w:rPr>
      </w:pPr>
    </w:p>
    <w:p>
      <w:pPr>
        <w:ind w:left="1060" w:hanging="316"/>
        <w:spacing w:after="0" w:line="277" w:lineRule="auto"/>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Reporting to the Board</w:t>
      </w:r>
      <w:r>
        <w:rPr>
          <w:rFonts w:ascii="Arial" w:cs="Arial" w:eastAsia="Arial" w:hAnsi="Arial"/>
          <w:sz w:val="18"/>
          <w:szCs w:val="18"/>
          <w:color w:val="auto"/>
        </w:rPr>
        <w:t>—The committee, through the committee chairperson, will report all material activities of the committee to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from time to time or whenever so requested by the Board of Directors.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Nominating and Corporate Governance Committee—Nasdaq Requirements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maintain a Nominating and Corporate Governance Committee, consisting entirely of independent directors, which is authorized to oversee our corporate governance functions on behalf of the Board of Directors and identify, review and evaluate candidates to serve as directors of the company (including coordinating communication between candidates, non-committee directors and the company’s management, making nomination recommendations and other recommendations regarding director-related affairs).</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Our Nominating and Corporate Governance Committee consists of Mr. Farrell, who serves as the chairperson of the committee, and Mr. Barlow and Dr. Marquet, who are all independent under the listing standards of the Nasdaq Listing Rules.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Nominating and Corporate Governance Committee—Charter</w:t>
      </w:r>
    </w:p>
    <w:p>
      <w:pPr>
        <w:spacing w:after="0" w:line="11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Our Board of Directors has adopted a Nominating and Corporate Governance Committee Charter setting forth the responsibilities of the Nominating and Corporate Governance Committee consistent with the Nasdaq Listing Rules and the requirements under the Companies Law, as described above. The Nominating and Corporate Governance Committee Charter requires that our Nominating and Corporate Governance Committee be comprised of at least two members. The Nominating and Corporate Governance Committee Charter is posted on our website. The Nominating and Corporate Governance Committee holds at least one regular meeting per year and additional meetings, as the committee deems appropriate.</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240" w:top="460"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Our named executive officers for the year ended December 31, 2018, which consist of all individuals who served as our principal executive officer during 2018 and our two most highly compensated executive officers other that the principal executive officer who were serving as executive officers at the end of the last completed fiscal year, are:</w:t>
      </w:r>
    </w:p>
    <w:p>
      <w:pPr>
        <w:spacing w:after="0" w:line="87" w:lineRule="exact"/>
        <w:rPr>
          <w:sz w:val="20"/>
          <w:szCs w:val="20"/>
          <w:color w:val="auto"/>
        </w:rPr>
      </w:pPr>
    </w:p>
    <w:p>
      <w:pPr>
        <w:ind w:left="1060" w:hanging="316"/>
        <w:spacing w:after="0"/>
        <w:tabs>
          <w:tab w:leader="none" w:pos="10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Joseph E. Payne, our President, Chief Executive Officer, and Director of the Board;</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Andrew Sassine, our Interim Chief Financial Officer from August 24, 2018 to December 31, 2018. Effective January 1, 2019, Mr. Sassine was appointed the Company’s Chief Financial Officer;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Padmanabh Chivukula, our Chief Science Officer and Chief Operating Officer;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Mark Herbert, Interim President from February 2, 2018 to May 26,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93"/>
              </w:rPr>
              <w:t>Nonequity</w:t>
            </w:r>
          </w:p>
        </w:tc>
        <w:tc>
          <w:tcPr>
            <w:tcW w:w="2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Nonqualified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351"/>
              <w:spacing w:after="0"/>
              <w:rPr>
                <w:sz w:val="20"/>
                <w:szCs w:val="20"/>
                <w:color w:val="auto"/>
              </w:rPr>
            </w:pPr>
            <w:r>
              <w:rPr>
                <w:rFonts w:ascii="Arial" w:cs="Arial" w:eastAsia="Arial" w:hAnsi="Arial"/>
                <w:sz w:val="14"/>
                <w:szCs w:val="14"/>
                <w:b w:val="1"/>
                <w:bCs w:val="1"/>
                <w:color w:val="auto"/>
              </w:rPr>
              <w:t>All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2"/>
                <w:szCs w:val="12"/>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7"/>
              </w:rPr>
              <w:t>Deferred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87"/>
              </w:rPr>
              <w:t>Bonus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100" w:type="dxa"/>
            <w:vAlign w:val="bottom"/>
            <w:gridSpan w:val="3"/>
          </w:tcPr>
          <w:p>
            <w:pPr>
              <w:jc w:val="center"/>
              <w:ind w:left="142"/>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2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51"/>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060" w:type="dxa"/>
            <w:vAlign w:val="bottom"/>
            <w:gridSpan w:val="3"/>
            <w:vMerge w:val="continue"/>
          </w:tcPr>
          <w:p>
            <w:pPr>
              <w:spacing w:after="0"/>
              <w:rPr>
                <w:sz w:val="12"/>
                <w:szCs w:val="12"/>
                <w:color w:val="auto"/>
              </w:rPr>
            </w:pPr>
          </w:p>
        </w:tc>
        <w:tc>
          <w:tcPr>
            <w:tcW w:w="3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Awards</w:t>
            </w:r>
          </w:p>
        </w:tc>
        <w:tc>
          <w:tcPr>
            <w:tcW w:w="580" w:type="dxa"/>
            <w:vAlign w:val="bottom"/>
            <w:gridSpan w:val="3"/>
          </w:tcPr>
          <w:p>
            <w:pPr>
              <w:ind w:left="100"/>
              <w:spacing w:after="0" w:line="145" w:lineRule="exact"/>
              <w:rPr>
                <w:sz w:val="20"/>
                <w:szCs w:val="20"/>
                <w:color w:val="auto"/>
              </w:rPr>
            </w:pPr>
            <w:r>
              <w:rPr>
                <w:rFonts w:ascii="Arial" w:cs="Arial" w:eastAsia="Arial" w:hAnsi="Arial"/>
                <w:sz w:val="14"/>
                <w:szCs w:val="14"/>
                <w:b w:val="1"/>
                <w:bCs w:val="1"/>
                <w:color w:val="auto"/>
                <w:w w:val="90"/>
              </w:rPr>
              <w:t>Awards</w:t>
            </w:r>
          </w:p>
        </w:tc>
        <w:tc>
          <w:tcPr>
            <w:tcW w:w="1100" w:type="dxa"/>
            <w:vAlign w:val="bottom"/>
            <w:gridSpan w:val="3"/>
          </w:tcPr>
          <w:p>
            <w:pPr>
              <w:jc w:val="center"/>
              <w:ind w:left="142"/>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62"/>
              <w:spacing w:after="0" w:line="145" w:lineRule="exact"/>
              <w:rPr>
                <w:sz w:val="20"/>
                <w:szCs w:val="20"/>
                <w:color w:val="auto"/>
              </w:rPr>
            </w:pPr>
            <w:r>
              <w:rPr>
                <w:rFonts w:ascii="Arial" w:cs="Arial" w:eastAsia="Arial" w:hAnsi="Arial"/>
                <w:sz w:val="14"/>
                <w:szCs w:val="14"/>
                <w:b w:val="1"/>
                <w:bCs w:val="1"/>
                <w:color w:val="auto"/>
                <w:w w:val="93"/>
              </w:rPr>
              <w:t>Earnings</w:t>
            </w:r>
          </w:p>
        </w:tc>
        <w:tc>
          <w:tcPr>
            <w:tcW w:w="1280" w:type="dxa"/>
            <w:vAlign w:val="bottom"/>
            <w:gridSpan w:val="4"/>
          </w:tcPr>
          <w:p>
            <w:pPr>
              <w:jc w:val="center"/>
              <w:ind w:right="71"/>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6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360" w:type="dxa"/>
            <w:vAlign w:val="bottom"/>
            <w:vMerge w:val="continue"/>
          </w:tcPr>
          <w:p>
            <w:pPr>
              <w:spacing w:after="0"/>
              <w:rPr>
                <w:sz w:val="15"/>
                <w:szCs w:val="15"/>
                <w:color w:val="auto"/>
              </w:rPr>
            </w:pPr>
          </w:p>
        </w:tc>
        <w:tc>
          <w:tcPr>
            <w:tcW w:w="820" w:type="dxa"/>
            <w:vAlign w:val="bottom"/>
            <w:gridSpan w:val="2"/>
          </w:tcPr>
          <w:p>
            <w:pPr>
              <w:jc w:val="right"/>
              <w:ind w:right="8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ind w:right="4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8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83"/>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221"/>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Joseph E. Payne</w:t>
            </w:r>
          </w:p>
        </w:tc>
        <w:tc>
          <w:tcPr>
            <w:tcW w:w="18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4"/>
              </w:rPr>
              <w:t>2018</w:t>
            </w:r>
          </w:p>
        </w:tc>
        <w:tc>
          <w:tcPr>
            <w:tcW w:w="2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$425,000</w:t>
            </w:r>
          </w:p>
        </w:tc>
        <w:tc>
          <w:tcPr>
            <w:tcW w:w="2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86"/>
              </w:rPr>
              <w:t>$372,532</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636,888</w:t>
            </w: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1,252,624</w:t>
            </w:r>
          </w:p>
        </w:tc>
        <w:tc>
          <w:tcPr>
            <w:tcW w:w="260" w:type="dxa"/>
            <w:vAlign w:val="bottom"/>
            <w:tcBorders>
              <w:top w:val="single" w:sz="8" w:color="CCEEFF"/>
            </w:tcBorders>
            <w:shd w:val="clear" w:color="auto" w:fill="CCEEFF"/>
          </w:tcPr>
          <w:p>
            <w:pPr>
              <w:jc w:val="right"/>
              <w:ind w:right="31"/>
              <w:spacing w:after="0" w:line="155" w:lineRule="exact"/>
              <w:rPr>
                <w:sz w:val="20"/>
                <w:szCs w:val="20"/>
                <w:color w:val="auto"/>
              </w:rPr>
            </w:pPr>
            <w:r>
              <w:rPr>
                <w:rFonts w:ascii="Arial" w:cs="Arial" w:eastAsia="Arial" w:hAnsi="Arial"/>
                <w:sz w:val="14"/>
                <w:szCs w:val="14"/>
                <w:color w:val="auto"/>
                <w:w w:val="81"/>
              </w:rPr>
              <w:t>(4)</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2,687,044</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40" w:type="dxa"/>
            <w:vAlign w:val="bottom"/>
            <w:gridSpan w:val="2"/>
          </w:tcPr>
          <w:p>
            <w:pPr>
              <w:ind w:left="300"/>
              <w:spacing w:after="0"/>
              <w:rPr>
                <w:sz w:val="20"/>
                <w:szCs w:val="20"/>
                <w:color w:val="auto"/>
              </w:rPr>
            </w:pPr>
            <w:r>
              <w:rPr>
                <w:rFonts w:ascii="Arial" w:cs="Arial" w:eastAsia="Arial" w:hAnsi="Arial"/>
                <w:sz w:val="16"/>
                <w:szCs w:val="16"/>
                <w:color w:val="auto"/>
              </w:rPr>
              <w:t>President and Chief Executive Officer,</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40" w:type="dxa"/>
            <w:vAlign w:val="bottom"/>
            <w:gridSpan w:val="2"/>
          </w:tcPr>
          <w:p>
            <w:pPr>
              <w:ind w:left="480"/>
              <w:spacing w:after="0"/>
              <w:rPr>
                <w:sz w:val="20"/>
                <w:szCs w:val="20"/>
                <w:color w:val="auto"/>
              </w:rPr>
            </w:pPr>
            <w:r>
              <w:rPr>
                <w:rFonts w:ascii="Arial" w:cs="Arial" w:eastAsia="Arial" w:hAnsi="Arial"/>
                <w:sz w:val="16"/>
                <w:szCs w:val="16"/>
                <w:color w:val="auto"/>
              </w:rPr>
              <w:t>Director of the Board</w:t>
            </w:r>
          </w:p>
        </w:tc>
        <w:tc>
          <w:tcPr>
            <w:tcW w:w="360" w:type="dxa"/>
            <w:vAlign w:val="bottom"/>
          </w:tcPr>
          <w:p>
            <w:pPr>
              <w:ind w:left="40"/>
              <w:spacing w:after="0"/>
              <w:rPr>
                <w:sz w:val="20"/>
                <w:szCs w:val="20"/>
                <w:color w:val="auto"/>
              </w:rPr>
            </w:pPr>
            <w:r>
              <w:rPr>
                <w:rFonts w:ascii="Arial" w:cs="Arial" w:eastAsia="Arial" w:hAnsi="Arial"/>
                <w:sz w:val="16"/>
                <w:szCs w:val="16"/>
                <w:color w:val="auto"/>
                <w:w w:val="84"/>
              </w:rPr>
              <w:t>2017</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$384,000</w:t>
            </w:r>
          </w:p>
        </w:tc>
        <w:tc>
          <w:tcPr>
            <w:tcW w:w="800" w:type="dxa"/>
            <w:vAlign w:val="bottom"/>
            <w:gridSpan w:val="3"/>
          </w:tcPr>
          <w:p>
            <w:pPr>
              <w:ind w:left="200"/>
              <w:spacing w:after="0"/>
              <w:rPr>
                <w:sz w:val="20"/>
                <w:szCs w:val="20"/>
                <w:color w:val="auto"/>
              </w:rPr>
            </w:pPr>
            <w:r>
              <w:rPr>
                <w:rFonts w:ascii="Arial" w:cs="Arial" w:eastAsia="Arial" w:hAnsi="Arial"/>
                <w:sz w:val="16"/>
                <w:szCs w:val="16"/>
                <w:color w:val="auto"/>
                <w:w w:val="93"/>
              </w:rPr>
              <w:t>$ 40,810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23,955</w:t>
            </w:r>
          </w:p>
        </w:tc>
        <w:tc>
          <w:tcPr>
            <w:tcW w:w="2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448,765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Padmanabh Chivukula</w:t>
            </w: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2018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8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w w:val="93"/>
              </w:rPr>
              <w:t>$ 83,233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w w:val="89"/>
              </w:rPr>
              <w:t>424,592</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31"/>
              <w:spacing w:after="0" w:line="209" w:lineRule="exact"/>
              <w:rPr>
                <w:sz w:val="20"/>
                <w:szCs w:val="20"/>
                <w:color w:val="auto"/>
              </w:rPr>
            </w:pPr>
            <w:r>
              <w:rPr>
                <w:rFonts w:ascii="Arial" w:cs="Arial" w:eastAsia="Arial" w:hAnsi="Arial"/>
                <w:sz w:val="15"/>
                <w:szCs w:val="15"/>
                <w:color w:val="auto"/>
              </w:rPr>
              <w:t>515,080</w:t>
            </w:r>
            <w:r>
              <w:rPr>
                <w:rFonts w:ascii="Arial" w:cs="Arial" w:eastAsia="Arial" w:hAnsi="Arial"/>
                <w:sz w:val="24"/>
                <w:szCs w:val="24"/>
                <w:color w:val="auto"/>
                <w:vertAlign w:val="superscript"/>
              </w:rPr>
              <w:t>(5)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1,372,905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40" w:type="dxa"/>
            <w:vAlign w:val="bottom"/>
            <w:gridSpan w:val="2"/>
          </w:tcPr>
          <w:p>
            <w:pPr>
              <w:ind w:left="300"/>
              <w:spacing w:after="0"/>
              <w:rPr>
                <w:sz w:val="20"/>
                <w:szCs w:val="20"/>
                <w:color w:val="auto"/>
              </w:rPr>
            </w:pPr>
            <w:r>
              <w:rPr>
                <w:rFonts w:ascii="Arial" w:cs="Arial" w:eastAsia="Arial" w:hAnsi="Arial"/>
                <w:sz w:val="16"/>
                <w:szCs w:val="16"/>
                <w:color w:val="auto"/>
              </w:rPr>
              <w:t>Chief Scientific Officer and Chief</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40" w:type="dxa"/>
            <w:vAlign w:val="bottom"/>
            <w:gridSpan w:val="2"/>
          </w:tcPr>
          <w:p>
            <w:pPr>
              <w:ind w:left="480"/>
              <w:spacing w:after="0"/>
              <w:rPr>
                <w:sz w:val="20"/>
                <w:szCs w:val="20"/>
                <w:color w:val="auto"/>
              </w:rPr>
            </w:pPr>
            <w:r>
              <w:rPr>
                <w:rFonts w:ascii="Arial" w:cs="Arial" w:eastAsia="Arial" w:hAnsi="Arial"/>
                <w:sz w:val="16"/>
                <w:szCs w:val="16"/>
                <w:color w:val="auto"/>
              </w:rPr>
              <w:t>Operating Officer</w:t>
            </w:r>
          </w:p>
        </w:tc>
        <w:tc>
          <w:tcPr>
            <w:tcW w:w="360" w:type="dxa"/>
            <w:vAlign w:val="bottom"/>
          </w:tcPr>
          <w:p>
            <w:pPr>
              <w:ind w:left="40"/>
              <w:spacing w:after="0"/>
              <w:rPr>
                <w:sz w:val="20"/>
                <w:szCs w:val="20"/>
                <w:color w:val="auto"/>
              </w:rPr>
            </w:pPr>
            <w:r>
              <w:rPr>
                <w:rFonts w:ascii="Arial" w:cs="Arial" w:eastAsia="Arial" w:hAnsi="Arial"/>
                <w:sz w:val="16"/>
                <w:szCs w:val="16"/>
                <w:color w:val="auto"/>
                <w:w w:val="84"/>
              </w:rPr>
              <w:t>2017</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$335,000</w:t>
            </w:r>
          </w:p>
        </w:tc>
        <w:tc>
          <w:tcPr>
            <w:tcW w:w="800" w:type="dxa"/>
            <w:vAlign w:val="bottom"/>
            <w:gridSpan w:val="3"/>
          </w:tcPr>
          <w:p>
            <w:pPr>
              <w:ind w:left="200"/>
              <w:spacing w:after="0"/>
              <w:rPr>
                <w:sz w:val="20"/>
                <w:szCs w:val="20"/>
                <w:color w:val="auto"/>
              </w:rPr>
            </w:pPr>
            <w:r>
              <w:rPr>
                <w:rFonts w:ascii="Arial" w:cs="Arial" w:eastAsia="Arial" w:hAnsi="Arial"/>
                <w:sz w:val="16"/>
                <w:szCs w:val="16"/>
                <w:color w:val="auto"/>
                <w:w w:val="93"/>
              </w:rPr>
              <w:t>$ 40,810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72</w:t>
            </w:r>
          </w:p>
        </w:tc>
        <w:tc>
          <w:tcPr>
            <w:tcW w:w="2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375,882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Andrew Sassine Interim Chief Financial</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5"/>
                <w:szCs w:val="15"/>
                <w:color w:val="auto"/>
              </w:rPr>
              <w:t>Officer</w:t>
            </w:r>
            <w:r>
              <w:rPr>
                <w:rFonts w:ascii="Arial" w:cs="Arial" w:eastAsia="Arial" w:hAnsi="Arial"/>
                <w:sz w:val="25"/>
                <w:szCs w:val="25"/>
                <w:color w:val="auto"/>
                <w:vertAlign w:val="superscript"/>
              </w:rPr>
              <w:t>(6)</w:t>
            </w: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2018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spacing w:after="0" w:line="216" w:lineRule="exact"/>
              <w:rPr>
                <w:sz w:val="20"/>
                <w:szCs w:val="20"/>
                <w:color w:val="auto"/>
              </w:rPr>
            </w:pPr>
            <w:r>
              <w:rPr>
                <w:rFonts w:ascii="Arial" w:cs="Arial" w:eastAsia="Arial" w:hAnsi="Arial"/>
                <w:sz w:val="15"/>
                <w:szCs w:val="15"/>
                <w:color w:val="auto"/>
              </w:rPr>
              <w:t>126,340</w:t>
            </w:r>
            <w:r>
              <w:rPr>
                <w:rFonts w:ascii="Arial" w:cs="Arial" w:eastAsia="Arial" w:hAnsi="Arial"/>
                <w:sz w:val="25"/>
                <w:szCs w:val="25"/>
                <w:color w:val="auto"/>
                <w:vertAlign w:val="superscript"/>
              </w:rPr>
              <w:t>(7)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71"/>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6"/>
                <w:szCs w:val="16"/>
                <w:color w:val="auto"/>
              </w:rPr>
              <w:t>Mark Herbert Interim President</w:t>
            </w:r>
            <w:r>
              <w:rPr>
                <w:rFonts w:ascii="Arial" w:cs="Arial" w:eastAsia="Arial" w:hAnsi="Arial"/>
                <w:sz w:val="27"/>
                <w:szCs w:val="27"/>
                <w:color w:val="auto"/>
                <w:vertAlign w:val="superscript"/>
              </w:rPr>
              <w:t>(8)</w:t>
            </w:r>
          </w:p>
        </w:tc>
        <w:tc>
          <w:tcPr>
            <w:tcW w:w="360" w:type="dxa"/>
            <w:vAlign w:val="bottom"/>
          </w:tcPr>
          <w:p>
            <w:pPr>
              <w:ind w:left="40"/>
              <w:spacing w:after="0"/>
              <w:rPr>
                <w:sz w:val="20"/>
                <w:szCs w:val="20"/>
                <w:color w:val="auto"/>
              </w:rPr>
            </w:pPr>
            <w:r>
              <w:rPr>
                <w:rFonts w:ascii="Arial" w:cs="Arial" w:eastAsia="Arial" w:hAnsi="Arial"/>
                <w:sz w:val="16"/>
                <w:szCs w:val="16"/>
                <w:color w:val="auto"/>
                <w:w w:val="84"/>
              </w:rPr>
              <w:t>2018</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$307,200</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31"/>
              <w:spacing w:after="0"/>
              <w:rPr>
                <w:sz w:val="20"/>
                <w:szCs w:val="20"/>
                <w:color w:val="auto"/>
              </w:rPr>
            </w:pPr>
            <w:r>
              <w:rPr>
                <w:rFonts w:ascii="Arial" w:cs="Arial" w:eastAsia="Arial" w:hAnsi="Arial"/>
                <w:sz w:val="16"/>
                <w:szCs w:val="16"/>
                <w:color w:val="auto"/>
              </w:rPr>
              <w:t>153,600</w:t>
            </w:r>
            <w:r>
              <w:rPr>
                <w:rFonts w:ascii="Arial" w:cs="Arial" w:eastAsia="Arial" w:hAnsi="Arial"/>
                <w:sz w:val="27"/>
                <w:szCs w:val="27"/>
                <w:color w:val="auto"/>
                <w:vertAlign w:val="superscript"/>
              </w:rPr>
              <w:t>(9)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460,800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40" w:right="60" w:hanging="436"/>
        <w:spacing w:after="0" w:line="256" w:lineRule="auto"/>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Figures represent Salary and Bonus amounts as of fiscal year-end regardless of increases in Salary during the fiscal year and regardless of whether part or all of such amounts were paid in subsequent fiscal year(s). Bonuses are awarded pursuant to a bonus program. Salary and Bonus amounts owed to Mr. Payne are subject to approval of the shareholders under the Israeli law.</w:t>
      </w:r>
    </w:p>
    <w:p>
      <w:pPr>
        <w:ind w:left="640" w:right="40" w:hanging="436"/>
        <w:spacing w:after="0" w:line="250" w:lineRule="auto"/>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Represents the grant date fair value of options awarded in accordance with accounting guidance for equity-based compensation. All the following option share numbers and exercise prices per share give effect to the 1-for-7 reverse split implemented in connection with the merger in November 2017.</w:t>
      </w:r>
    </w:p>
    <w:p>
      <w:pPr>
        <w:spacing w:after="0" w:line="1" w:lineRule="exact"/>
        <w:rPr>
          <w:rFonts w:ascii="Arial" w:cs="Arial" w:eastAsia="Arial" w:hAnsi="Arial"/>
          <w:sz w:val="18"/>
          <w:szCs w:val="18"/>
          <w:color w:val="auto"/>
        </w:rPr>
      </w:pPr>
    </w:p>
    <w:p>
      <w:pPr>
        <w:ind w:left="640" w:right="660" w:hanging="436"/>
        <w:spacing w:after="0" w:line="281" w:lineRule="auto"/>
        <w:tabs>
          <w:tab w:leader="none" w:pos="6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Includes the social benefits paid by us on behalf of the employees, including convalescence pay, contributions made by the company to an insurance policy or a pension fund, work disability insurance, life insurance, medical insurance, and payments for social security.</w:t>
      </w:r>
    </w:p>
    <w:p>
      <w:pPr>
        <w:spacing w:after="0" w:line="1" w:lineRule="exact"/>
        <w:rPr>
          <w:rFonts w:ascii="Arial" w:cs="Arial" w:eastAsia="Arial" w:hAnsi="Arial"/>
          <w:sz w:val="16"/>
          <w:szCs w:val="16"/>
          <w:color w:val="auto"/>
        </w:rPr>
      </w:pPr>
    </w:p>
    <w:p>
      <w:pPr>
        <w:ind w:left="640" w:right="160" w:hanging="436"/>
        <w:spacing w:after="0" w:line="250" w:lineRule="auto"/>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Includes $14,625 of fees for services as a member of the board of directors in 2018 and $1,237,999 of certain expenses incurred by the Company in connection with the previously disclosed dispute between management and former Company directors.</w:t>
      </w:r>
    </w:p>
    <w:p>
      <w:pPr>
        <w:ind w:left="640" w:right="200" w:hanging="436"/>
        <w:spacing w:after="0" w:line="250" w:lineRule="auto"/>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Represents severance amount given to Dr. Chivukula and certain expenses incurred by the Company in connection with the previously disclosed dispute between management and former Company directors.</w:t>
      </w:r>
    </w:p>
    <w:p>
      <w:pPr>
        <w:ind w:left="640" w:right="360" w:hanging="436"/>
        <w:spacing w:after="0" w:line="261" w:lineRule="auto"/>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Excludes fees and share based payments made to Mr. Sassine for his services as a member of the Board of Directors, which is presented in the Directors’ Compensation table below.</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240" w:top="459" w:right="4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54" w:lineRule="auto"/>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Mr. Sassine served as the Company’s Interim Chief Financial Officer from August 24, 2018 through December 31, 2018 and received options to purchase 20,000 of the Company’s ordinary shares (“Interim CFO Grant”). On January 1, 2019, Mr. Sassine was appointed the Company’s Chief Financial Officer and was granted options to purchase 100,000 shares of the Company’s ordinary shares. The unvested portion of the Interim CFO Grant was cancelled on January 1, 2019.</w:t>
      </w:r>
    </w:p>
    <w:p>
      <w:pPr>
        <w:spacing w:after="0" w:line="2" w:lineRule="exact"/>
        <w:rPr>
          <w:rFonts w:ascii="Arial" w:cs="Arial" w:eastAsia="Arial" w:hAnsi="Arial"/>
          <w:sz w:val="18"/>
          <w:szCs w:val="18"/>
          <w:color w:val="auto"/>
        </w:rPr>
      </w:pPr>
    </w:p>
    <w:p>
      <w:pPr>
        <w:ind w:left="640" w:right="360" w:hanging="436"/>
        <w:spacing w:after="0" w:line="250" w:lineRule="auto"/>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Mr. Herbert served as our interim President from February 2018 until his resignation on May 29, 2018. Salary figure represents Mr. Herbert’s salary upon resignation.</w:t>
      </w:r>
    </w:p>
    <w:p>
      <w:pPr>
        <w:ind w:left="640" w:hanging="436"/>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Represents severance payments made to Mr. Herbert.</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base salaries of our named executive officers, as applicable, is generally determined and approved by our board of directors, based on the recommendation of the compensation committee.</w:t>
      </w:r>
    </w:p>
    <w:p>
      <w:pPr>
        <w:spacing w:after="0" w:line="170"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Mr. Payne’s annual base salary for 2018 and 2017 was $425,000 and $384,000. In February 2019, our Board approved that Mr. Payne shall receive options to purchase 60,000 shares of the Company’s Ordinary Shares and his annual base salary will change to $450,000, both of which are subject to approval of the shareholders under the Israeli law.</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Dr. Chivukula’s annual base salary for 2018 and 2017 was $350,000 and $335,000. In February 2019, Dr. Chivukula received options to purchase 40,000 shares of the Company’s common stock and his annual base salary was changed to $370,000.</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Mr. Sassine’s annual base salary for 2018 was $120,000 as the Interim Chief Financial Officer. In December 2018, our Board approved the grant of options for Mr. Sassine to purchase 100,000 shares of the Company’s ordinary shares as well as an increase in Mr. Sassine’s annual base salary to $375,000. Both are subject to approval of the shareholders under the Israeli law.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Bonus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Under the Company’s 2018 Omnibus Equity Incentive Plan, as approved by shareholders under the Companies Law, the compensation terms for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Mr. Payne and Dr. Chivukula with respect to an annual bonus are summarized below:</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Payne Annual Bonus:</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An annual bonus of up to 60% of Mr. Payne’s Annual Base Salary. For fiscal year 2018, the “Annual Base Salary” shall be calculated based on a base salary of $384,000 through July 4, 2018 and a base salary of $425,000 from July 5 to the end of the bonus period. The bonus shall be subject to the achievement of certain criteria for each 12 month-period (or such shorter or longer period determined by the Compensation Committee and the Board), as determined by the Compensation Committee and Board, in accordance with the Company’s Amended and Restated Compensation Policy as previously approved by shareholders in accordance with the Companies Law (the “Company Compensation Policy”). The Board and the Compensation Committee may determine that Mr. Payne shall be entitled to certain portion(s) of the bonus upon partial achievement of the criteria and that the bonus shall be conditioned upon the achievement of a minimum threshold of the criteria. The Board and the Compensation Committee may further determine that in the event that Mr. Payne’s employment terminates prior to the end of a full 12-month period, he shall be entitled to the relative portion of the bonus, based on the actual employment term during the 12-month period and the Board’s assessment of actual performance at the end of the bonus performance period.</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Chivukula Annual Bonus:</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An annual bonus of up to 40% of the Annual Base Salary. The bonus shall be subject to the achievement of certain criteria for each 12 month-period (or such shorter or longer period determined by the Compensation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80"/>
          </w:cols>
          <w:pgMar w:left="240" w:top="460"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Committee and the Board), as shall be determined by the Compensation Committee and the Board, in accordance with the Company’s Compensation Policy. The Board and the Compensation Committee may determine that Dr. Chivukula be entitled to certain portion(s) of the bonus upon partial achievement of the criteria and that the bonus shall be conditioned upon the achievement of a minimum threshold of the criteria. The Board and the Compensation Committee may further determine that in the event that Dr. Chivukula employment terminates prior to the end of a full 12-month period, he shall be entitled to the relative portion of the bonus, based on the actual employment term during the 12-month period and the Board’s assessment of actual performance at the end of the bonus performance period.</w:t>
      </w:r>
    </w:p>
    <w:p>
      <w:pPr>
        <w:spacing w:after="0" w:line="17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2018, Mr. Payne received a 2018 annual bonus equal to 60% of the compensation payable from January 1, 2018 to year end, and Dr. Chivukula received a 2018 annual bonus equal to 40% of the compensation in fact paid from May 29, 2018 to year end.</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the Company’s Compensation Policy, the Company is permitted to grant an annual cash bonus to the CEO and the Company’s chief officers and those performing management functions directly subordinate to the Company’s Chief Executive Officer (“Senior Staff”) as part of their compensation package, according to measurable and qualitative criteria, subject to the parameters set forth in the Company’s Compensation Policy, with the specific parameters for the Senior Staff determined by the CEO and the parameters for the CEO determined by the Chairman of the Board and the Company’s Compensation Committee.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Equity-Based Awards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equity-based incentive awards are designed to align our interests with those of our employees and consultants, including our named executive officers. Our board of directors or our compensation committee approves equity grants. Vesting of equity awards is generally tied to continuous service with us and serves as an additional retention measure. Our executives may be awarded an initial new hire grant upon commencement of service and may receive additional grants, as the board of directors or compensation committee determines appropriate, in order to incentivize and/or reward such executives.</w:t>
      </w:r>
    </w:p>
    <w:p>
      <w:pPr>
        <w:spacing w:after="0" w:line="188"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have traditionally granted stock options to our named executive officers under our equity incentive plans, the terms of which are described below under “—Equity Benefit Plans.”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and Benefits upon Termination or Change in Control</w:t>
      </w:r>
    </w:p>
    <w:p>
      <w:pPr>
        <w:spacing w:after="0" w:line="121" w:lineRule="exact"/>
        <w:rPr>
          <w:sz w:val="20"/>
          <w:szCs w:val="20"/>
          <w:color w:val="auto"/>
        </w:rPr>
      </w:pPr>
    </w:p>
    <w:p>
      <w:pPr>
        <w:jc w:val="both"/>
        <w:ind w:left="200" w:right="560" w:firstLine="441"/>
        <w:spacing w:after="0" w:line="264" w:lineRule="auto"/>
        <w:rPr>
          <w:sz w:val="20"/>
          <w:szCs w:val="20"/>
          <w:color w:val="auto"/>
        </w:rPr>
      </w:pPr>
      <w:r>
        <w:rPr>
          <w:rFonts w:ascii="Arial" w:cs="Arial" w:eastAsia="Arial" w:hAnsi="Arial"/>
          <w:sz w:val="18"/>
          <w:szCs w:val="18"/>
          <w:color w:val="auto"/>
        </w:rPr>
        <w:t>Mr. Payne, Dr. Chivukula and Mr. Sassine may be entitled to receive severance grants upon termination or upon a change in control of the Company under the compensation arrangements approved by shareholders at the Company’s 2018 Annual and Extraordinary General Meeting of Shareholders (the “AGM”), as summarized below:</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Joseph Payne</w:t>
      </w:r>
    </w:p>
    <w:p>
      <w:pPr>
        <w:spacing w:after="0" w:line="11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For termination without cause or resignation for good reason unrelated to a change in control of the Company and conditioned on execution of a general waiver and release of claims, Mr. Payne shall be entitled to receive: (i) severance pay in the form of continuation of payment installments of Mr. Payne’s final base salary for twelve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payment) for up to eighteen (18) months following his termination of employment.</w:t>
      </w:r>
    </w:p>
    <w:p>
      <w:pPr>
        <w:spacing w:after="0" w:line="15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For termination without cause or resignation for good reason in connection with a change in control of the Company and conditioned on execution of a general waiver and release, Mr. Payne shall be entitled to receive: (i) a lump sum severance payment equal to one-year’s annual base salary, (ii) an amount equal to his target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annual bonus for the year of termination and (iii) an amount equal to a pro rata portion of his target annual bonus for the year of termination. Mr. Payne shall also be entitled to payment of certain health insurance coverage premiums (COBRA payment) for eighteen (18) months following termination. In addition, Mr. Payne’s unvested option award and any other unvested time-based vesting equity awards then held by him shall accelerate and become immediately vested and exercisable, if applicable, and no longer subject to repurchase, if applicable, upon such termination and shall remain exercisable, if applicable, following Mr. Payne’s termination as set forth in the applicable equity award.</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Dr. Padmanabh Chivukula</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For termination without cause or resignation for good reason unrelated to a change in control of the Company and conditioned on execution of a general waiver and release of claims, Dr. Chivukula shall be entitled to receive: (i) severance pay in the form of continuation of payment installments of Dr. Chivukula’s final base salary for twelve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payment) for up to eighteen (18) months following his termination of employment.</w:t>
      </w:r>
    </w:p>
    <w:p>
      <w:pPr>
        <w:spacing w:after="0" w:line="158"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For termination without cause or resignation for good reason in connection with a change in control of the Company and conditioned on execution of a general waiver and release, Dr. Chivukula shall be entitled to receive: (i) a lump sum severance payment equal to one-year’s annual base salary,</w:t>
      </w:r>
    </w:p>
    <w:p>
      <w:pPr>
        <w:ind w:left="200" w:right="60" w:firstLine="4"/>
        <w:spacing w:after="0" w:line="292" w:lineRule="auto"/>
        <w:tabs>
          <w:tab w:leader="none" w:pos="46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 amount equal to his target annual bonus for the year of termination and (iii) an amount equal to a pro rata portion of his target annual bonus for the year of termination. Dr. Chivukula shall also be entitled to payment of certain health insurance coverage premiums (COBRA payment) for eighteen (18) months following termination. In addition, Dr. Chivukula’s unvested option award and any other unvested time-based vesting equity awards then held by him shall accelerate and become immediately vested and exercisable, if applicable, and no longer subject to repurchase, if applicable, upon such termination and shall remain exercisable, if applicable, following Dr. Chivukula’s termination as set forth in the applicable equity award.</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Andrew Sassine</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Mr. Sassine received options to purchase 32,500 Ordinary Shares under the 2018 Plan for his service as a director of the Company. From the options to purchase 32,500 Ordinary Shares, options to purchase 20,000 Ordinary Shares will be considered as an “Inducement Award”, options to purchase 10,000 Ordinary Shares will be considered as an “Annual Ongoing Equity Compensation” and options to purchase 2,500 Ordinary Shares will be made as a one-time grant to award Mr. Sassine for service on the Board from May 29, 2018 through the Meeting. Mr. Sassine’s Inducement Award options and Annual Ongoing Equity Compensation options are subject to full acceleration in the event of a change in control.</w:t>
      </w:r>
    </w:p>
    <w:p>
      <w:pPr>
        <w:spacing w:after="0" w:line="158"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Additional details of the compensation terms approved by Company shareholders at the AGM may be found in the Company’s Notice and Proxy Statement dated July 27, 2018 for the Annual and Extraordinary General Meeting of Shareholders held on Friday, August 24, 2018 and exhibits thereto, filed as Exhibits 99.1, 99.2, 99.3 and 99.4 to the Company’s Report of Foreign Private Issuer on Form 6-K filed on July 27, 2018.</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The following table sets forth certain information regarding all outstanding equity awards held by our named executive officers as of December 31, 2018. None of the outstanding equity awards shown in the table below have been exercised or forfeited as of December 31, 2018.</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5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5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520" w:type="dxa"/>
            <w:vAlign w:val="bottom"/>
          </w:tcPr>
          <w:p>
            <w:pPr>
              <w:spacing w:after="0"/>
              <w:rPr>
                <w:sz w:val="12"/>
                <w:szCs w:val="12"/>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060" w:type="dxa"/>
            <w:vAlign w:val="bottom"/>
            <w:gridSpan w:val="2"/>
          </w:tcPr>
          <w:p>
            <w:pPr>
              <w:jc w:val="center"/>
              <w:ind w:left="2216"/>
              <w:spacing w:after="0" w:line="149" w:lineRule="exact"/>
              <w:rPr>
                <w:sz w:val="20"/>
                <w:szCs w:val="20"/>
                <w:color w:val="auto"/>
              </w:rPr>
            </w:pPr>
            <w:r>
              <w:rPr>
                <w:rFonts w:ascii="Arial" w:cs="Arial" w:eastAsia="Arial" w:hAnsi="Arial"/>
                <w:sz w:val="14"/>
                <w:szCs w:val="14"/>
                <w:b w:val="1"/>
                <w:bCs w:val="1"/>
                <w:color w:val="auto"/>
                <w:w w:val="91"/>
              </w:rPr>
              <w:t>Unexercised</w:t>
            </w:r>
          </w:p>
        </w:tc>
        <w:tc>
          <w:tcPr>
            <w:tcW w:w="5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5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5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1500" w:type="dxa"/>
            <w:vAlign w:val="bottom"/>
            <w:gridSpan w:val="4"/>
          </w:tcPr>
          <w:p>
            <w:pPr>
              <w:ind w:left="520"/>
              <w:spacing w:after="0" w:line="149" w:lineRule="exact"/>
              <w:rPr>
                <w:sz w:val="20"/>
                <w:szCs w:val="20"/>
                <w:color w:val="auto"/>
              </w:rPr>
            </w:pPr>
            <w:r>
              <w:rPr>
                <w:rFonts w:ascii="Arial" w:cs="Arial" w:eastAsia="Arial" w:hAnsi="Arial"/>
                <w:sz w:val="14"/>
                <w:szCs w:val="14"/>
                <w:b w:val="1"/>
                <w:bCs w:val="1"/>
                <w:color w:val="auto"/>
              </w:rPr>
              <w:t>Exercise</w:t>
            </w:r>
          </w:p>
        </w:tc>
        <w:tc>
          <w:tcPr>
            <w:tcW w:w="8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58"/>
        </w:trPr>
        <w:tc>
          <w:tcPr>
            <w:tcW w:w="3340" w:type="dxa"/>
            <w:vAlign w:val="bottom"/>
            <w:gridSpan w:val="3"/>
            <w:vMerge w:val="continue"/>
          </w:tcPr>
          <w:p>
            <w:pPr>
              <w:spacing w:after="0"/>
              <w:rPr>
                <w:sz w:val="13"/>
                <w:szCs w:val="13"/>
                <w:color w:val="auto"/>
              </w:rPr>
            </w:pPr>
          </w:p>
        </w:tc>
        <w:tc>
          <w:tcPr>
            <w:tcW w:w="230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400" w:type="dxa"/>
            <w:vAlign w:val="bottom"/>
            <w:gridSpan w:val="2"/>
          </w:tcPr>
          <w:p>
            <w:pPr>
              <w:jc w:val="center"/>
              <w:ind w:left="416"/>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1500" w:type="dxa"/>
            <w:vAlign w:val="bottom"/>
            <w:gridSpan w:val="4"/>
          </w:tcPr>
          <w:p>
            <w:pPr>
              <w:ind w:left="520"/>
              <w:spacing w:after="0" w:line="158" w:lineRule="exact"/>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4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Payne</w:t>
            </w:r>
          </w:p>
        </w:tc>
        <w:tc>
          <w:tcPr>
            <w:tcW w:w="23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120,000</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8.00</w:t>
            </w: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8/23/2028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Dr. Chivukula</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8.00</w:t>
            </w:r>
          </w:p>
        </w:tc>
        <w:tc>
          <w:tcPr>
            <w:tcW w:w="46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Arial" w:cs="Arial" w:eastAsia="Arial" w:hAnsi="Arial"/>
                <w:sz w:val="18"/>
                <w:szCs w:val="18"/>
                <w:color w:val="auto"/>
                <w:w w:val="89"/>
              </w:rPr>
              <w:t>8/23/2028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Sassine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12,917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39,583</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8/23/2028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None of our named executive officers participate in or have account balances in qualified or non-qualified defined benefit plans sponsored by us.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None of our named executive officers participate in or have account balances in qualified or non-qualified defined contribution plans or other non-qualified compensation plans sponsored by 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Benefit Plans</w:t>
      </w:r>
    </w:p>
    <w:p>
      <w:pPr>
        <w:spacing w:after="0" w:line="121"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In August 2018, the Company adopted the 2018 Omnibus Equity Incentive Plan (“2018 Plan”). Under the 2018 Plan, the Company is authorized to issue up to a maximum of 1,100,000 ordinary shares pursuant to the exercise of incentive share options or other awards provided for therein.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The following table and related footnotes show the compensation paid during the year ended December 31, 2018 to our non-employee directors, other than Mr. Payne and Mr. Sassine whose 2018 Board compensation is set forth above under “Executive Compensation” above.</w:t>
      </w:r>
    </w:p>
    <w:p>
      <w:pPr>
        <w:spacing w:after="0" w:line="15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420" w:type="dxa"/>
            <w:vAlign w:val="bottom"/>
            <w:gridSpan w:val="2"/>
          </w:tcPr>
          <w:p>
            <w:pPr>
              <w:jc w:val="center"/>
              <w:ind w:left="1532"/>
              <w:spacing w:after="0"/>
              <w:rPr>
                <w:sz w:val="20"/>
                <w:szCs w:val="20"/>
                <w:color w:val="auto"/>
              </w:rPr>
            </w:pPr>
            <w:r>
              <w:rPr>
                <w:rFonts w:ascii="Arial" w:cs="Arial" w:eastAsia="Arial" w:hAnsi="Arial"/>
                <w:sz w:val="14"/>
                <w:szCs w:val="14"/>
                <w:b w:val="1"/>
                <w:bCs w:val="1"/>
                <w:color w:val="auto"/>
                <w:w w:val="91"/>
              </w:rPr>
              <w:t>Fees Earned</w:t>
            </w:r>
          </w:p>
        </w:tc>
        <w:tc>
          <w:tcPr>
            <w:tcW w:w="580" w:type="dxa"/>
            <w:vAlign w:val="bottom"/>
          </w:tcPr>
          <w:p>
            <w:pPr>
              <w:spacing w:after="0"/>
              <w:rPr>
                <w:sz w:val="14"/>
                <w:szCs w:val="14"/>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Option</w:t>
            </w:r>
          </w:p>
        </w:tc>
        <w:tc>
          <w:tcPr>
            <w:tcW w:w="580" w:type="dxa"/>
            <w:vAlign w:val="bottom"/>
          </w:tcPr>
          <w:p>
            <w:pPr>
              <w:spacing w:after="0"/>
              <w:rPr>
                <w:sz w:val="14"/>
                <w:szCs w:val="14"/>
                <w:color w:val="auto"/>
              </w:rPr>
            </w:pPr>
          </w:p>
        </w:tc>
        <w:tc>
          <w:tcPr>
            <w:tcW w:w="176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8"/>
              </w:rPr>
              <w:t>All Other</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Paid in</w:t>
            </w:r>
          </w:p>
        </w:tc>
        <w:tc>
          <w:tcPr>
            <w:tcW w:w="5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8"/>
        </w:trPr>
        <w:tc>
          <w:tcPr>
            <w:tcW w:w="3440" w:type="dxa"/>
            <w:vAlign w:val="bottom"/>
            <w:gridSpan w:val="3"/>
            <w:vMerge w:val="continue"/>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Cash ($)</w:t>
            </w:r>
          </w:p>
        </w:tc>
        <w:tc>
          <w:tcPr>
            <w:tcW w:w="12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234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 xml:space="preserve">Compensation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Dr. Peter Farrell</w:t>
            </w:r>
            <w:r>
              <w:rPr>
                <w:rFonts w:ascii="Arial" w:cs="Arial" w:eastAsia="Arial" w:hAnsi="Arial"/>
                <w:sz w:val="15"/>
                <w:szCs w:val="15"/>
                <w:color w:val="auto"/>
              </w:rPr>
              <w:t>(1)</w:t>
            </w:r>
          </w:p>
        </w:tc>
        <w:tc>
          <w:tcPr>
            <w:tcW w:w="16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18,887</w:t>
            </w: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164,776</w:t>
            </w: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ind w:left="633"/>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183,663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Mr. James Barlow</w:t>
            </w:r>
            <w:r>
              <w:rPr>
                <w:rFonts w:ascii="Arial" w:cs="Arial" w:eastAsia="Arial" w:hAnsi="Arial"/>
                <w:sz w:val="15"/>
                <w:szCs w:val="15"/>
                <w:color w:val="auto"/>
              </w:rPr>
              <w:t>(1)</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13,736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164,776</w:t>
            </w:r>
          </w:p>
        </w:tc>
        <w:tc>
          <w:tcPr>
            <w:tcW w:w="58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178,512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Magda Marquet</w:t>
            </w:r>
            <w:r>
              <w:rPr>
                <w:rFonts w:ascii="Arial" w:cs="Arial" w:eastAsia="Arial" w:hAnsi="Arial"/>
                <w:sz w:val="15"/>
                <w:szCs w:val="15"/>
                <w:color w:val="auto"/>
              </w:rPr>
              <w:t>(1)</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164,776</w:t>
            </w:r>
          </w:p>
        </w:tc>
        <w:tc>
          <w:tcPr>
            <w:tcW w:w="5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176,795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Mr. Andrew Sassine</w:t>
            </w:r>
            <w:r>
              <w:rPr>
                <w:rFonts w:ascii="Arial" w:cs="Arial" w:eastAsia="Arial" w:hAnsi="Arial"/>
                <w:sz w:val="15"/>
                <w:szCs w:val="15"/>
                <w:color w:val="auto"/>
              </w:rPr>
              <w:t>(1)(4)</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8,585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164,776</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173,361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Stuart Collinson</w:t>
            </w:r>
            <w:r>
              <w:rPr>
                <w:rFonts w:ascii="Arial" w:cs="Arial" w:eastAsia="Arial" w:hAnsi="Arial"/>
                <w:sz w:val="15"/>
                <w:szCs w:val="15"/>
                <w:color w:val="auto"/>
              </w:rPr>
              <w:t>(2)</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Mr. Daniel Geffken</w:t>
            </w:r>
            <w:r>
              <w:rPr>
                <w:rFonts w:ascii="Arial" w:cs="Arial" w:eastAsia="Arial" w:hAnsi="Arial"/>
                <w:sz w:val="15"/>
                <w:szCs w:val="15"/>
                <w:color w:val="auto"/>
              </w:rPr>
              <w:t>(2)</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27,708</w:t>
            </w:r>
          </w:p>
        </w:tc>
        <w:tc>
          <w:tcPr>
            <w:tcW w:w="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David Shapiro</w:t>
            </w:r>
            <w:r>
              <w:rPr>
                <w:rFonts w:ascii="Arial" w:cs="Arial" w:eastAsia="Arial" w:hAnsi="Arial"/>
                <w:sz w:val="15"/>
                <w:szCs w:val="15"/>
                <w:color w:val="auto"/>
              </w:rPr>
              <w:t>(2)</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23,958</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Mr. Craig Willett</w:t>
            </w:r>
            <w:r>
              <w:rPr>
                <w:rFonts w:ascii="Arial" w:cs="Arial" w:eastAsia="Arial" w:hAnsi="Arial"/>
                <w:sz w:val="15"/>
                <w:szCs w:val="15"/>
                <w:color w:val="auto"/>
              </w:rPr>
              <w:t>(2)</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35,167</w:t>
            </w:r>
          </w:p>
        </w:tc>
        <w:tc>
          <w:tcPr>
            <w:tcW w:w="5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3"/>
          </w:tcPr>
          <w:p>
            <w:pPr>
              <w:jc w:val="center"/>
              <w:ind w:left="619"/>
              <w:spacing w:after="0"/>
              <w:rPr>
                <w:sz w:val="20"/>
                <w:szCs w:val="20"/>
                <w:color w:val="auto"/>
              </w:rPr>
            </w:pPr>
            <w:r>
              <w:rPr>
                <w:rFonts w:ascii="Arial" w:cs="Arial" w:eastAsia="Arial" w:hAnsi="Arial"/>
                <w:sz w:val="18"/>
                <w:szCs w:val="18"/>
                <w:color w:val="auto"/>
                <w:w w:val="92"/>
              </w:rPr>
              <w:t>50,000</w:t>
            </w:r>
            <w:r>
              <w:rPr>
                <w:rFonts w:ascii="Arial" w:cs="Arial" w:eastAsia="Arial" w:hAnsi="Arial"/>
                <w:sz w:val="15"/>
                <w:szCs w:val="15"/>
                <w:color w:val="auto"/>
                <w:w w:val="92"/>
              </w:rPr>
              <w:t>(3)</w:t>
            </w:r>
          </w:p>
        </w:tc>
        <w:tc>
          <w:tcPr>
            <w:tcW w:w="660" w:type="dxa"/>
            <w:vAlign w:val="bottom"/>
          </w:tcPr>
          <w:p>
            <w:pPr>
              <w:jc w:val="right"/>
              <w:spacing w:after="0"/>
              <w:rPr>
                <w:sz w:val="20"/>
                <w:szCs w:val="20"/>
                <w:color w:val="auto"/>
              </w:rPr>
            </w:pPr>
            <w:r>
              <w:rPr>
                <w:rFonts w:ascii="Arial" w:cs="Arial" w:eastAsia="Arial" w:hAnsi="Arial"/>
                <w:sz w:val="18"/>
                <w:szCs w:val="18"/>
                <w:color w:val="auto"/>
              </w:rPr>
              <w:t>85,167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hanging="436"/>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These individuals started serving on the Company’s Board of Directors on May 27, 2018.</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These individuals served on the Company’s Board of Directors until May 27, 2018.</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Represents a one time payment to Mr. Willett for his services provided in 2017 in connection with the reverse merger.</w:t>
      </w:r>
    </w:p>
    <w:p>
      <w:pPr>
        <w:spacing w:after="0" w:line="9" w:lineRule="exact"/>
        <w:rPr>
          <w:rFonts w:ascii="Arial" w:cs="Arial" w:eastAsia="Arial" w:hAnsi="Arial"/>
          <w:sz w:val="18"/>
          <w:szCs w:val="18"/>
          <w:color w:val="auto"/>
        </w:rPr>
      </w:pPr>
    </w:p>
    <w:p>
      <w:pPr>
        <w:ind w:left="640" w:right="380" w:hanging="436"/>
        <w:spacing w:after="0" w:line="261" w:lineRule="auto"/>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Excludes compensation made to Mr. Sassine for his services as the Interim Chief Financial Officer in 2018, which is included in the Named Executive Compensation table above.</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80"/>
          </w:cols>
          <w:pgMar w:left="240" w:top="460" w:right="5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Major shareholders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April 1, 2019 by:</w:t>
      </w:r>
    </w:p>
    <w:p>
      <w:pPr>
        <w:spacing w:after="0" w:line="131" w:lineRule="exact"/>
        <w:rPr>
          <w:sz w:val="20"/>
          <w:szCs w:val="20"/>
          <w:color w:val="auto"/>
        </w:rPr>
      </w:pPr>
    </w:p>
    <w:p>
      <w:pPr>
        <w:ind w:left="1060" w:hanging="316"/>
        <w:spacing w:after="0"/>
        <w:tabs>
          <w:tab w:leader="none" w:pos="1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shares;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beneficial ownership of Ordinary Shares is determined in accordance with the rules of the SEC and generally includes any Ordinary Shares over which a person exercises sole or shared voting or investment power, or the right to receive the economic benefit of ownership. For purposes of the table below, we deem shares subject to options or warrants that are currently exercisable or exercisable within 60 days of April 1, 2019,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10,761,523 Ordinary Shares outstanding as of April 1, 2019 (excluding the shares repurchased by the Company as set forth herein).</w:t>
      </w:r>
    </w:p>
    <w:p>
      <w:pPr>
        <w:spacing w:after="0" w:line="18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by each person or entity known to beneficially own more than 5% of our Ordinary Shares as of April 1, 2019, or a different date, if so provided in the table below or footnotes thereof.</w:t>
      </w:r>
    </w:p>
    <w:p>
      <w:pPr>
        <w:spacing w:after="0" w:line="17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According to our transfer agent, as of April 1, 2019, there were 50 record holders of our Ordinary Shares, one of which (Cede &amp; Co., the nominee of the Depositary Trust Company) is a U.S. holder holding 39% of our outstanding Ordinary Shares. The number of record holders in the United States is not representative of the number of beneficial holders nor is it representative of where such beneficial holders are resident since many of these Ordinary Shares are held by beneficially brokers or other nominees on behalf of their clients. None of our shareholders has different voting rights from other shareholders.</w:t>
      </w:r>
    </w:p>
    <w:p>
      <w:pPr>
        <w:spacing w:after="0" w:line="18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are not owned or controlled, directly or indirectly, by another corporation or by any foreign government. We are not aware of any arrangement that may, at a subsequent date, result in a change of control of our company.</w:t>
      </w:r>
    </w:p>
    <w:p>
      <w:pPr>
        <w:spacing w:after="0" w:line="170"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Arcturus Therapeutics Ltd., 10628 Science Center Drive, Suite 250, San Diego, California, 92121.</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Ordinary Shares Beneficially Owned</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Ordinary Shares</w:t>
            </w:r>
          </w:p>
        </w:tc>
        <w:tc>
          <w:tcPr>
            <w:tcW w:w="0" w:type="dxa"/>
            <w:vAlign w:val="bottom"/>
          </w:tcPr>
          <w:p>
            <w:pPr>
              <w:spacing w:after="0"/>
              <w:rPr>
                <w:sz w:val="1"/>
                <w:szCs w:val="1"/>
                <w:color w:val="auto"/>
              </w:rPr>
            </w:pPr>
          </w:p>
        </w:tc>
      </w:tr>
      <w:tr>
        <w:trPr>
          <w:trHeight w:val="171"/>
        </w:trPr>
        <w:tc>
          <w:tcPr>
            <w:tcW w:w="60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5% or Greater Shareholders</w:t>
            </w:r>
          </w:p>
        </w:tc>
        <w:tc>
          <w:tcPr>
            <w:tcW w:w="23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29"/>
        </w:trPr>
        <w:tc>
          <w:tcPr>
            <w:tcW w:w="6060" w:type="dxa"/>
            <w:vAlign w:val="bottom"/>
            <w:gridSpan w:val="3"/>
            <w:vMerge w:val="continue"/>
          </w:tcPr>
          <w:p>
            <w:pPr>
              <w:spacing w:after="0"/>
              <w:rPr>
                <w:sz w:val="11"/>
                <w:szCs w:val="11"/>
                <w:color w:val="auto"/>
              </w:rPr>
            </w:pPr>
          </w:p>
        </w:tc>
        <w:tc>
          <w:tcPr>
            <w:tcW w:w="78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Number</w:t>
            </w:r>
          </w:p>
        </w:tc>
        <w:tc>
          <w:tcPr>
            <w:tcW w:w="13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Craig Willett</w:t>
            </w:r>
            <w:r>
              <w:rPr>
                <w:rFonts w:ascii="Arial" w:cs="Arial" w:eastAsia="Arial" w:hAnsi="Arial"/>
                <w:sz w:val="15"/>
                <w:szCs w:val="15"/>
                <w:color w:val="auto"/>
              </w:rPr>
              <w:t>(1)</w:t>
            </w:r>
          </w:p>
        </w:tc>
        <w:tc>
          <w:tcPr>
            <w:tcW w:w="43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436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866,342</w:t>
            </w:r>
          </w:p>
        </w:tc>
        <w:tc>
          <w:tcPr>
            <w:tcW w:w="66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ARK Investment Management LLC</w:t>
            </w:r>
            <w:r>
              <w:rPr>
                <w:rFonts w:ascii="Arial" w:cs="Arial" w:eastAsia="Arial" w:hAnsi="Arial"/>
                <w:sz w:val="15"/>
                <w:szCs w:val="15"/>
                <w:color w:val="auto"/>
              </w:rPr>
              <w:t>(2)</w:t>
            </w:r>
          </w:p>
        </w:tc>
        <w:tc>
          <w:tcPr>
            <w:tcW w:w="780" w:type="dxa"/>
            <w:vAlign w:val="bottom"/>
          </w:tcPr>
          <w:p>
            <w:pPr>
              <w:jc w:val="right"/>
              <w:spacing w:after="0"/>
              <w:rPr>
                <w:sz w:val="20"/>
                <w:szCs w:val="20"/>
                <w:color w:val="auto"/>
              </w:rPr>
            </w:pPr>
            <w:r>
              <w:rPr>
                <w:rFonts w:ascii="Arial" w:cs="Arial" w:eastAsia="Arial" w:hAnsi="Arial"/>
                <w:sz w:val="18"/>
                <w:szCs w:val="18"/>
                <w:color w:val="auto"/>
              </w:rPr>
              <w:t>815,176</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Sorenson</w:t>
            </w:r>
            <w:r>
              <w:rPr>
                <w:rFonts w:ascii="Arial" w:cs="Arial" w:eastAsia="Arial" w:hAnsi="Arial"/>
                <w:sz w:val="15"/>
                <w:szCs w:val="15"/>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692,392</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E. Payne</w:t>
            </w:r>
            <w:r>
              <w:rPr>
                <w:rFonts w:ascii="Arial" w:cs="Arial" w:eastAsia="Arial" w:hAnsi="Arial"/>
                <w:sz w:val="15"/>
                <w:szCs w:val="15"/>
                <w:color w:val="auto"/>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1,469,097</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Andrew Sassine</w:t>
            </w:r>
            <w:r>
              <w:rPr>
                <w:rFonts w:ascii="Arial" w:cs="Arial" w:eastAsia="Arial" w:hAnsi="Arial"/>
                <w:sz w:val="15"/>
                <w:szCs w:val="15"/>
                <w:color w:val="auto"/>
              </w:rPr>
              <w:t>(5)</w:t>
            </w:r>
          </w:p>
        </w:tc>
        <w:tc>
          <w:tcPr>
            <w:tcW w:w="780" w:type="dxa"/>
            <w:vAlign w:val="bottom"/>
          </w:tcPr>
          <w:p>
            <w:pPr>
              <w:jc w:val="right"/>
              <w:spacing w:after="0"/>
              <w:rPr>
                <w:sz w:val="20"/>
                <w:szCs w:val="20"/>
                <w:color w:val="auto"/>
              </w:rPr>
            </w:pPr>
            <w:r>
              <w:rPr>
                <w:rFonts w:ascii="Arial" w:cs="Arial" w:eastAsia="Arial" w:hAnsi="Arial"/>
                <w:sz w:val="18"/>
                <w:szCs w:val="18"/>
                <w:color w:val="auto"/>
              </w:rPr>
              <w:t>257,178</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Padmanabh Chivukula</w:t>
            </w:r>
            <w:r>
              <w:rPr>
                <w:rFonts w:ascii="Arial" w:cs="Arial" w:eastAsia="Arial" w:hAnsi="Arial"/>
                <w:sz w:val="15"/>
                <w:szCs w:val="15"/>
                <w:color w:val="auto"/>
              </w:rPr>
              <w:t>(6)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732,548</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Peter C Farrell</w:t>
            </w:r>
            <w:r>
              <w:rPr>
                <w:rFonts w:ascii="Arial" w:cs="Arial" w:eastAsia="Arial" w:hAnsi="Arial"/>
                <w:sz w:val="15"/>
                <w:szCs w:val="15"/>
                <w:color w:val="auto"/>
              </w:rPr>
              <w:t>(7)</w:t>
            </w:r>
          </w:p>
        </w:tc>
        <w:tc>
          <w:tcPr>
            <w:tcW w:w="780" w:type="dxa"/>
            <w:vAlign w:val="bottom"/>
          </w:tcPr>
          <w:p>
            <w:pPr>
              <w:jc w:val="right"/>
              <w:spacing w:after="0"/>
              <w:rPr>
                <w:sz w:val="20"/>
                <w:szCs w:val="20"/>
                <w:color w:val="auto"/>
              </w:rPr>
            </w:pPr>
            <w:r>
              <w:rPr>
                <w:rFonts w:ascii="Arial" w:cs="Arial" w:eastAsia="Arial" w:hAnsi="Arial"/>
                <w:sz w:val="18"/>
                <w:szCs w:val="18"/>
                <w:color w:val="auto"/>
              </w:rPr>
              <w:t>102,284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Magda Marquet</w:t>
            </w:r>
            <w:r>
              <w:rPr>
                <w:rFonts w:ascii="Arial" w:cs="Arial" w:eastAsia="Arial" w:hAnsi="Arial"/>
                <w:sz w:val="15"/>
                <w:szCs w:val="15"/>
                <w:color w:val="auto"/>
              </w:rPr>
              <w:t>(7)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James Barlow</w:t>
            </w:r>
            <w:r>
              <w:rPr>
                <w:rFonts w:ascii="Arial" w:cs="Arial" w:eastAsia="Arial" w:hAnsi="Arial"/>
                <w:sz w:val="15"/>
                <w:szCs w:val="15"/>
                <w:color w:val="auto"/>
              </w:rPr>
              <w:t>(7)</w:t>
            </w:r>
          </w:p>
        </w:tc>
        <w:tc>
          <w:tcPr>
            <w:tcW w:w="780" w:type="dxa"/>
            <w:vAlign w:val="bottom"/>
          </w:tcPr>
          <w:p>
            <w:pPr>
              <w:jc w:val="right"/>
              <w:spacing w:after="0"/>
              <w:rPr>
                <w:sz w:val="20"/>
                <w:szCs w:val="20"/>
                <w:color w:val="auto"/>
              </w:rPr>
            </w:pPr>
            <w:r>
              <w:rPr>
                <w:rFonts w:ascii="Arial" w:cs="Arial" w:eastAsia="Arial" w:hAnsi="Arial"/>
                <w:sz w:val="18"/>
                <w:szCs w:val="18"/>
                <w:color w:val="auto"/>
              </w:rPr>
              <w:t>25,832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(6 persons)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2,623,271</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ordinary shares</w:t>
      </w:r>
    </w:p>
    <w:p>
      <w:pPr>
        <w:spacing w:after="0" w:line="23" w:lineRule="exact"/>
        <w:rPr>
          <w:sz w:val="20"/>
          <w:szCs w:val="20"/>
          <w:color w:val="auto"/>
        </w:rPr>
      </w:pPr>
    </w:p>
    <w:p>
      <w:pPr>
        <w:ind w:left="640" w:right="40" w:hanging="436"/>
        <w:spacing w:after="0" w:line="265" w:lineRule="auto"/>
        <w:tabs>
          <w:tab w:leader="none" w:pos="6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Based on a Schedule 13D filed with the SEC on February 7, 2018. Consists of (i) 108,282 Ordinary Shares held directly by Mr. Willett, (ii) 280,810 Ordinary Shares held by DUR Holdings, LC, (iii) 294,113 Ordinary Shares held by Phoenician Enterprises, Ltd., and (iv) 183,137 Ordinary Shares held by 6-W Discretionary Trust. Mr. Willett is the president of Elizann, Inc., which is the manager of DUR Holdings, LC, and therefore Mr. Willett may be deemed to have voting and investment power with respect to the securities held by DUR Holdings, LC. Mr. Willett is the general partner of Phoenician Enterprises, Ltd. and therefore may be deemed to have voting and investment power with respect to the securities held by Phoenician Enterprises, Ltd. Mr. Willett is the trustee of 6-W Discretionary Trust and therefore may be deemed to have voting and investment power with respect to the securities held by 6-W Discretionary Trust.</w:t>
      </w:r>
    </w:p>
    <w:p>
      <w:pPr>
        <w:spacing w:after="0" w:line="1" w:lineRule="exact"/>
        <w:rPr>
          <w:rFonts w:ascii="Arial" w:cs="Arial" w:eastAsia="Arial" w:hAnsi="Arial"/>
          <w:sz w:val="17"/>
          <w:szCs w:val="17"/>
          <w:color w:val="auto"/>
        </w:rPr>
      </w:pPr>
    </w:p>
    <w:p>
      <w:pPr>
        <w:ind w:left="640" w:hanging="436"/>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Based solely on Form 13F filed as of December 31, 2018.</w:t>
      </w:r>
    </w:p>
    <w:p>
      <w:pPr>
        <w:spacing w:after="0" w:line="9" w:lineRule="exact"/>
        <w:rPr>
          <w:rFonts w:ascii="Arial" w:cs="Arial" w:eastAsia="Arial" w:hAnsi="Arial"/>
          <w:sz w:val="18"/>
          <w:szCs w:val="18"/>
          <w:color w:val="auto"/>
        </w:rPr>
      </w:pPr>
    </w:p>
    <w:p>
      <w:pPr>
        <w:jc w:val="both"/>
        <w:ind w:left="640" w:hanging="436"/>
        <w:spacing w:after="0" w:line="265" w:lineRule="auto"/>
        <w:tabs>
          <w:tab w:leader="none" w:pos="6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Based solely on a Schedule 13D filed with the SEC on May 24, 2018. Consists of (i) 658,366 Ordinary Shares, (ii) presently-exercisable options to purchase 4,669 Ordinary Shares, and (iii) call options to purchase an aggregate of an additional 26,357 Ordinary Shares. The shareholder may own additional shares that would not have been required to have been subsequently reported.</w:t>
      </w:r>
    </w:p>
    <w:p>
      <w:pPr>
        <w:ind w:left="640" w:hanging="436"/>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Based on Form 3 filed on January 1, 2019, of which 366,274 shares are subject to repurchase by the Company.</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Based on Form 3 filed on January 1, 2019 and 19,582 option shares exercisable are included.</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Based on Form 3 filed on January 1, 2019, of which 183,137 shares are subject to repurchase by the Company</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Based on Form 3 filed on January 1, 2019 and 15,832 options shares exercisable are included.</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information is provided as of December 31, 2018 with respect to the Company’s equity compensation plans: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center"/>
              <w:ind w:right="23"/>
              <w:spacing w:after="0"/>
              <w:rPr>
                <w:sz w:val="20"/>
                <w:szCs w:val="20"/>
                <w:color w:val="auto"/>
              </w:rPr>
            </w:pPr>
            <w:r>
              <w:rPr>
                <w:rFonts w:ascii="Arial" w:cs="Arial" w:eastAsia="Arial" w:hAnsi="Arial"/>
                <w:sz w:val="14"/>
                <w:szCs w:val="14"/>
                <w:b w:val="1"/>
                <w:bCs w:val="1"/>
                <w:color w:val="auto"/>
                <w:w w:val="91"/>
              </w:rPr>
              <w:t>Weighted</w:t>
            </w:r>
          </w:p>
        </w:tc>
        <w:tc>
          <w:tcPr>
            <w:tcW w:w="8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00" w:type="dxa"/>
            <w:vAlign w:val="bottom"/>
            <w:gridSpan w:val="2"/>
          </w:tcPr>
          <w:p>
            <w:pPr>
              <w:jc w:val="center"/>
              <w:ind w:left="539"/>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0" w:type="dxa"/>
            <w:vAlign w:val="bottom"/>
            <w:gridSpan w:val="3"/>
          </w:tcPr>
          <w:p>
            <w:pPr>
              <w:jc w:val="center"/>
              <w:ind w:left="716"/>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920" w:type="dxa"/>
            <w:vAlign w:val="bottom"/>
            <w:gridSpan w:val="3"/>
          </w:tcPr>
          <w:p>
            <w:pPr>
              <w:ind w:left="86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8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2"/>
              </w:rPr>
              <w:t>Outstanding</w:t>
            </w:r>
          </w:p>
        </w:tc>
        <w:tc>
          <w:tcPr>
            <w:tcW w:w="86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Options,</w:t>
            </w:r>
          </w:p>
        </w:tc>
        <w:tc>
          <w:tcPr>
            <w:tcW w:w="8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8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49"/>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6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Rights</w:t>
            </w:r>
          </w:p>
        </w:tc>
        <w:tc>
          <w:tcPr>
            <w:tcW w:w="8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in Column a)</w:t>
            </w:r>
          </w:p>
        </w:tc>
        <w:tc>
          <w:tcPr>
            <w:tcW w:w="0" w:type="dxa"/>
            <w:vAlign w:val="bottom"/>
          </w:tcPr>
          <w:p>
            <w:pPr>
              <w:spacing w:after="0"/>
              <w:rPr>
                <w:sz w:val="1"/>
                <w:szCs w:val="1"/>
                <w:color w:val="auto"/>
              </w:rPr>
            </w:pPr>
          </w:p>
        </w:tc>
      </w:tr>
      <w:tr>
        <w:trPr>
          <w:trHeight w:val="158"/>
        </w:trPr>
        <w:tc>
          <w:tcPr>
            <w:tcW w:w="442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right="23"/>
              <w:spacing w:after="0" w:line="158" w:lineRule="exact"/>
              <w:rPr>
                <w:sz w:val="20"/>
                <w:szCs w:val="20"/>
                <w:color w:val="auto"/>
              </w:rPr>
            </w:pPr>
            <w:r>
              <w:rPr>
                <w:rFonts w:ascii="Arial" w:cs="Arial" w:eastAsia="Arial" w:hAnsi="Arial"/>
                <w:sz w:val="14"/>
                <w:szCs w:val="14"/>
                <w:b w:val="1"/>
                <w:bCs w:val="1"/>
                <w:color w:val="auto"/>
              </w:rPr>
              <w:t>(b)</w:t>
            </w:r>
          </w:p>
        </w:tc>
        <w:tc>
          <w:tcPr>
            <w:tcW w:w="860" w:type="dxa"/>
            <w:vAlign w:val="bottom"/>
          </w:tcPr>
          <w:p>
            <w:pPr>
              <w:spacing w:after="0"/>
              <w:rPr>
                <w:sz w:val="13"/>
                <w:szCs w:val="13"/>
                <w:color w:val="auto"/>
              </w:rPr>
            </w:pPr>
          </w:p>
        </w:tc>
        <w:tc>
          <w:tcPr>
            <w:tcW w:w="13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4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 security</w:t>
            </w:r>
          </w:p>
        </w:tc>
        <w:tc>
          <w:tcPr>
            <w:tcW w:w="6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holders</w:t>
            </w:r>
            <w:r>
              <w:rPr>
                <w:rFonts w:ascii="Arial" w:cs="Arial" w:eastAsia="Arial" w:hAnsi="Arial"/>
                <w:sz w:val="15"/>
                <w:szCs w:val="15"/>
                <w:color w:val="auto"/>
              </w:rPr>
              <w:t>(1)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1,189,433</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470,000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holders</w:t>
            </w:r>
          </w:p>
        </w:tc>
        <w:tc>
          <w:tcPr>
            <w:tcW w:w="640" w:type="dxa"/>
            <w:vAlign w:val="bottom"/>
          </w:tcPr>
          <w:p>
            <w:pPr>
              <w:spacing w:after="0"/>
              <w:rPr>
                <w:sz w:val="20"/>
                <w:szCs w:val="20"/>
                <w:color w:val="auto"/>
              </w:rPr>
            </w:pPr>
          </w:p>
        </w:tc>
        <w:tc>
          <w:tcPr>
            <w:tcW w:w="9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1,189,433</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line="308" w:lineRule="auto"/>
        <w:tabs>
          <w:tab w:leader="none" w:pos="6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number of securities to be issued upon exercise of outstanding awards reflected in column (a) is from the 2010 and 2018 plans. The number of securities remaining available for future issuance under equity compensation plans reflected in column (c) is from the 2018 plan.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See “Memorandum and Articles of Association—Approval of Related Party Transactions” of our Annual Report on Form 20-F for the fiscal year ended December 31, 2017 for a discussion of the requirements of Israeli law regarding special approvals for transactions involving directors, officers or controlling shareholders.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Providence Agreement</w:t>
      </w:r>
    </w:p>
    <w:p>
      <w:pPr>
        <w:spacing w:after="0" w:line="117"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During 2016, the Company entered into a Research Collaboration and License Agreement with a related party, Providence Therapeutics, Inc. (“Providence”) whose CEO and President is also a shareholder of the Company, to identify and optimize microRNA modulators and/or mimetics for the treatment of neoplastic diseases. In April 2017, the Providence Agreement was amended to include mRNA for the treatment of neoplastic disease. In July 2018, the Providence Agreement was amended and restated to cover brain neoplasms, breast neoplasms and ovarian neoplasms. Each party is responsible for their own research costs under the agreement, and Providence is responsible for all of the development costs through the completion of Phase 2 clinical trials. The Company is entitled to share a percentage of future product revenue of each product provided the Company shares in the same percentage of the product’s post Phase 2 costs. Separately, Providence has agreed to pay a specified rate for the use of the Company’s employees. For the years ended December 31, 2018 and 2017, the Company has recognized $0.6 million and $1.0 million, respectively, in revenue related to the amortization of the upfront payment and revenue related to the use of Company employees and expense reimbursements. There was no outstanding accounts receivable balance related to this agreement as of December 31, 2018 and December 31, 2017. During the third quarter of 2017, the Company’s ordinary share agreement for the President and CEO of Providence was modified to remove the vesting conditions of the original grant and the Company recognized $1.5 million in related stock compensation expense. As of December 31, 2018, the President and CEO of Providence held a 6.4% ownership interest in the Company.</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We have also entered into customary non-competition, confidentiality of information and ownership of inventions arrangements with our executive officers. However, the enforceability of the noncompetition provisions may be limited under applicable law.</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Since our inception we have granted options to purchase our Ordinary Shares to our officers and certain of our directors. Such option agreements may contain acceleration provisions upon certain merger, acquisition, or change of control transactions. See Note 11 of our Notes to Consolidated Financial Statements for additional information. If the relationship between us and an executive officer or a director is terminated, except for cause (as defined in the various option plan agreements), options that are vested will generally remain exercisable for ninety days or thirty-six months after such termination depending on whether the options were granted to an executive officer or director.</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 Agreements and Insurance Coverage</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amended and restated articles of association permit us to exculpate, indemnify and insure each of our directors and office holders to the fullest extent permitted by the Companies Law. We have entered into indemnification agreements with each of our directors and other office holders, undertaking to indemnify them to the fullest extent permitted by Israeli law. We have also obtained Directors’ &amp; Officers’ insurance for each of our officers and directors.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Previously Disclosed Litigation in Israel and California and California Arbitration</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On May 27, 2018, the Company entered into an Agreement and Release with former directors Stuart Collinson, Craig Willett, Daniel Geffken, David Shapiro (the “Resigning Directors”) and current director Joseph Payne. The settlement agreement was approved by the Israeli District Court on May 28, 2018 and the Company’s shareholders at its July 2018 extraordinary general meeting. Pursuant to the settlement agreement, all of the lawsuits and the arbitration resulting from disputes among the Company and certain of its directors were terminated.</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pursuant to the settlement agreement, the Resigning Directors resigned from the Company’s board of directors and from any other position in the Company, the Company agreed to vest the unvested shares of restricted stock owned by one Resigning Director, the Company agreed to maintain in effect the Company’s existing directors’ and officers’ insurance policies on the same or better terms and the Company agreed to purchase a directors and officers “tail” insurance policy covering all current and former directors and officers for any acts or events occurring prior to the effective date of the settlement agreement for a period of at least six years. The Company also agreed to reimburse each of Mr. Payne and Dr. Chivukula for all of their respective reasonable fees and expenses incurred in connection with the pending litigation identified above and the entry into the settlement agreement.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experts and counsel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80"/>
          </w:cols>
          <w:pgMar w:left="240" w:top="460"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Information regarding the principal market for ordinary shares of Arcturus-Israel and related shareholder matters is as follows.</w:t>
      </w:r>
    </w:p>
    <w:p>
      <w:pPr>
        <w:spacing w:after="0" w:line="225"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Our Ordinary Shares have been listed on the NASDAQ Global Market under the symbol “ARCT” since November 15, 2017. Previously, our Ordinary Shares were listed on the NASDAQ Global Market under the symbol “ADHD” beginning May 22, 2013 and beginning on March 28, 2014 our Ordinary Shares were listed on the NASDAQ Global Market under the symbol “ADHD.” to Prior to May 22, 2013, there was no public trading market for our Ordinary Shares. Our initial public offering was priced at $8.00 per share on May 21, 2013. The following table sets forth for the periods indicated the high and low sales prices per ordinary share as reported on the NASDAQ Capital Market and the NASDAQ Global Market:</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9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Annual Information:</w:t>
            </w:r>
          </w:p>
        </w:tc>
        <w:tc>
          <w:tcPr>
            <w:tcW w:w="26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r>
      <w:tr>
        <w:trPr>
          <w:trHeight w:val="203"/>
        </w:trPr>
        <w:tc>
          <w:tcPr>
            <w:tcW w:w="20" w:type="dxa"/>
            <w:vAlign w:val="bottom"/>
          </w:tcPr>
          <w:p>
            <w:pPr>
              <w:spacing w:after="0"/>
              <w:rPr>
                <w:sz w:val="17"/>
                <w:szCs w:val="17"/>
                <w:color w:val="auto"/>
              </w:rPr>
            </w:pPr>
          </w:p>
        </w:tc>
        <w:tc>
          <w:tcPr>
            <w:tcW w:w="1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2013</w:t>
            </w:r>
          </w:p>
        </w:tc>
        <w:tc>
          <w:tcPr>
            <w:tcW w:w="304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$6.50</w:t>
            </w: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26.96</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2014</w:t>
            </w:r>
          </w:p>
        </w:tc>
        <w:tc>
          <w:tcPr>
            <w:tcW w:w="3040" w:type="dxa"/>
            <w:vAlign w:val="bottom"/>
          </w:tcPr>
          <w:p>
            <w:pPr>
              <w:spacing w:after="0"/>
              <w:rPr>
                <w:sz w:val="18"/>
                <w:szCs w:val="18"/>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25.44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0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2016</w:t>
            </w:r>
          </w:p>
        </w:tc>
        <w:tc>
          <w:tcPr>
            <w:tcW w:w="3040" w:type="dxa"/>
            <w:vAlign w:val="bottom"/>
          </w:tcPr>
          <w:p>
            <w:pPr>
              <w:spacing w:after="0"/>
              <w:rPr>
                <w:sz w:val="18"/>
                <w:szCs w:val="18"/>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Quarterly Information</w:t>
            </w:r>
          </w:p>
        </w:tc>
        <w:tc>
          <w:tcPr>
            <w:tcW w:w="2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First Quarter 2015</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2015</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Third Quarter 2015</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5.61</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2015</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First Quarter 2016</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2016</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Third Quarter 2016</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2016</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First Quarter 2017</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18.04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2017</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Third Quarter 2017</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2017</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15.19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First Quarter 2018</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10.45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2018</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Third Quarter 2018</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7.11</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2018</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First Quarter 2019</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4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5.79</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On April 9, 2019, the most recent practicable date before the date of this proxy statement/prospectus, the closing price of the Arcturus-Israel ordinary shares on NASDAQ was $8.115 per share.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have not paid cash dividends on our common stock since our inception and we do not contemplate paying dividends in the foreseeable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future.</w:t>
      </w: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Dentons US LLP will pass upon the validity of the shares of Arcturus-Delaware common stock offered by this proxy statement/prospectus.</w:t>
      </w:r>
    </w:p>
    <w:p>
      <w:pPr>
        <w:spacing w:after="0" w:line="248" w:lineRule="exact"/>
        <w:rPr>
          <w:sz w:val="20"/>
          <w:szCs w:val="20"/>
          <w:color w:val="auto"/>
        </w:rPr>
      </w:pPr>
    </w:p>
    <w:p>
      <w:pPr>
        <w:jc w:val="center"/>
        <w:ind w:left="380" w:right="940"/>
        <w:spacing w:after="0" w:line="449" w:lineRule="auto"/>
        <w:rPr>
          <w:sz w:val="20"/>
          <w:szCs w:val="20"/>
          <w:color w:val="auto"/>
        </w:rPr>
      </w:pPr>
      <w:r>
        <w:rPr>
          <w:rFonts w:ascii="Arial" w:cs="Arial" w:eastAsia="Arial" w:hAnsi="Arial"/>
          <w:sz w:val="18"/>
          <w:szCs w:val="18"/>
          <w:color w:val="auto"/>
        </w:rPr>
        <w:t>Certain U.S. federal income tax consequences relating to the Transaction will be passed upon for Arcturus by Dentons US LLP. 167</w:t>
      </w:r>
    </w:p>
    <w:p>
      <w:pPr>
        <w:sectPr>
          <w:pgSz w:w="11900" w:h="16838" w:orient="portrait"/>
          <w:cols w:equalWidth="0" w:num="1">
            <w:col w:w="11200"/>
          </w:cols>
          <w:pgMar w:left="240" w:top="460"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The consolidated financial statements of Arcturus Therapeutics Ltd. at December 31, 2018, and for the year ended December 31, 2018, appearing in this Proxy Statement/Prospectus and Registration Statement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appearing elsewhere herein, and are included in reliance upon such report given on the authority of such firm as experts in accounting and auditing.</w:t>
      </w:r>
    </w:p>
    <w:p>
      <w:pPr>
        <w:spacing w:after="0" w:line="158" w:lineRule="exact"/>
        <w:rPr>
          <w:sz w:val="20"/>
          <w:szCs w:val="20"/>
          <w:color w:val="auto"/>
        </w:rPr>
      </w:pPr>
    </w:p>
    <w:p>
      <w:pPr>
        <w:ind w:left="200" w:right="160" w:firstLine="881"/>
        <w:spacing w:after="0" w:line="312" w:lineRule="auto"/>
        <w:rPr>
          <w:sz w:val="20"/>
          <w:szCs w:val="20"/>
          <w:color w:val="auto"/>
        </w:rPr>
      </w:pPr>
      <w:r>
        <w:rPr>
          <w:rFonts w:ascii="Arial" w:cs="Arial" w:eastAsia="Arial" w:hAnsi="Arial"/>
          <w:sz w:val="16"/>
          <w:szCs w:val="16"/>
          <w:color w:val="auto"/>
        </w:rPr>
        <w:t>The consolidated financial statements of Arcturus Therapeutics Ltd. at December 31, 2017, and for year then ended, have been audited by Kost Forer Gabbay and Kasierer, a member of Ernst &amp; Young Global, independent registered public accounting firm, as set forth in their report appearing elsewhere herein, and are included in reliance upon such report given on the authority of such firm as experts in accounting and auditing.</w:t>
      </w:r>
    </w:p>
    <w:p>
      <w:pPr>
        <w:spacing w:after="0" w:line="35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 because we are a smaller reporting company.</w:t>
      </w:r>
    </w:p>
    <w:p>
      <w:pPr>
        <w:spacing w:after="0" w:line="200" w:lineRule="exact"/>
        <w:rPr>
          <w:sz w:val="20"/>
          <w:szCs w:val="20"/>
          <w:color w:val="auto"/>
        </w:rPr>
      </w:pPr>
    </w:p>
    <w:p>
      <w:pPr>
        <w:spacing w:after="0" w:line="23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SUPPLEMENTARY FINANCIAL INFORMATION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 because we are a smaller reporting company.</w:t>
      </w:r>
    </w:p>
    <w:p>
      <w:pPr>
        <w:spacing w:after="0" w:line="200" w:lineRule="exact"/>
        <w:rPr>
          <w:sz w:val="20"/>
          <w:szCs w:val="20"/>
          <w:color w:val="auto"/>
        </w:rPr>
      </w:pPr>
    </w:p>
    <w:p>
      <w:pPr>
        <w:spacing w:after="0" w:line="23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1080" w:right="2240" w:firstLine="1400"/>
        <w:spacing w:after="0" w:line="407" w:lineRule="auto"/>
        <w:rPr>
          <w:sz w:val="20"/>
          <w:szCs w:val="20"/>
          <w:color w:val="auto"/>
        </w:rPr>
      </w:pPr>
      <w:r>
        <w:rPr>
          <w:rFonts w:ascii="Arial" w:cs="Arial" w:eastAsia="Arial" w:hAnsi="Arial"/>
          <w:sz w:val="18"/>
          <w:szCs w:val="18"/>
          <w:b w:val="1"/>
          <w:bCs w:val="1"/>
          <w:color w:val="auto"/>
        </w:rPr>
        <w:t xml:space="preserve">QUANTITATIVE AND QUALITATIVE DISCLOSURES ABOUT MARKET RISK </w:t>
      </w:r>
      <w:r>
        <w:rPr>
          <w:rFonts w:ascii="Arial" w:cs="Arial" w:eastAsia="Arial" w:hAnsi="Arial"/>
          <w:sz w:val="18"/>
          <w:szCs w:val="18"/>
          <w:color w:val="auto"/>
        </w:rPr>
        <w:t>Not applicable because we are a smaller reporting company.</w:t>
      </w: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200" w:right="120" w:firstLine="881"/>
        <w:spacing w:after="0" w:line="312"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You may read and copy any document we file at the SEC’s public reference rooms located at 100 F Street, N.E., Washington, D.C. 20549. Please call the SEC at 1-800-SEC-0330 for further information on the public reference rooms. These SEC filings are also available to the public on the SEC’s website at: </w:t>
      </w:r>
      <w:r>
        <w:rPr>
          <w:rFonts w:ascii="Arial" w:cs="Arial" w:eastAsia="Arial" w:hAnsi="Arial"/>
          <w:sz w:val="16"/>
          <w:szCs w:val="16"/>
          <w:i w:val="1"/>
          <w:iCs w:val="1"/>
          <w:color w:val="auto"/>
        </w:rPr>
        <w:t>http://www.sec.gov.</w:t>
      </w:r>
    </w:p>
    <w:p>
      <w:pPr>
        <w:spacing w:after="0" w:line="147" w:lineRule="exact"/>
        <w:rPr>
          <w:sz w:val="20"/>
          <w:szCs w:val="20"/>
          <w:color w:val="auto"/>
        </w:rPr>
      </w:pPr>
    </w:p>
    <w:p>
      <w:pPr>
        <w:ind w:left="200" w:firstLine="881"/>
        <w:spacing w:after="0" w:line="302" w:lineRule="auto"/>
        <w:rPr>
          <w:sz w:val="20"/>
          <w:szCs w:val="20"/>
          <w:color w:val="auto"/>
        </w:rPr>
      </w:pPr>
      <w:r>
        <w:rPr>
          <w:rFonts w:ascii="Arial" w:cs="Arial" w:eastAsia="Arial" w:hAnsi="Arial"/>
          <w:sz w:val="16"/>
          <w:szCs w:val="16"/>
          <w:color w:val="auto"/>
        </w:rPr>
        <w:t xml:space="preserve">Our website is located at </w:t>
      </w:r>
      <w:r>
        <w:rPr>
          <w:rFonts w:ascii="Arial" w:cs="Arial" w:eastAsia="Arial" w:hAnsi="Arial"/>
          <w:sz w:val="16"/>
          <w:szCs w:val="16"/>
          <w:i w:val="1"/>
          <w:iCs w:val="1"/>
          <w:color w:val="auto"/>
        </w:rPr>
        <w:t>http://www.arcturusrx.com</w:t>
      </w:r>
      <w:r>
        <w:rPr>
          <w:rFonts w:ascii="Arial" w:cs="Arial" w:eastAsia="Arial" w:hAnsi="Arial"/>
          <w:sz w:val="16"/>
          <w:szCs w:val="16"/>
          <w:color w:val="auto"/>
        </w:rPr>
        <w:t>. Arcturus-Delaware’s Annual Reports on Form 10-K, Quarterly Reports on Form 10-Q, Current Reports on Form 8-K and other filings with the SEC are available, free of charge, through this website as soon as reasonably practicable after those reports or filings are electronically filed with or furnished to the SEC. Information on Arcturus-Delaware’s website or any other website is not incorporated by reference in this proxy statement/prospectus and does not constitute a part of this proxy statement/prospectus.</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80"/>
          </w:cols>
          <w:pgMar w:left="24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 may request a free copy of the above filings or any filings we make with the SEC by writing or calling:</w:t>
      </w: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Investor Relations, Arcturus Therapeutics Ltd.</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Telephone No.: (858) 900-2660</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In order to ensure timely delivery of these documents prior to the Expiration Date, you should make such request by May 1, 2019.</w:t>
      </w:r>
    </w:p>
    <w:p>
      <w:pPr>
        <w:spacing w:after="0" w:line="237"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We have not authorized anyone to give any information or make any representation about the Transaction or about us that differs from or adds to the information in this proxy statement/prospectus or in the documents incorporated by reference. Therefore, you should not rely upon any information that differs from or is in addition to the information contained in this proxy statement/prospectus or in the documents incorporated by reference.</w:t>
      </w:r>
    </w:p>
    <w:p>
      <w:pPr>
        <w:spacing w:after="0" w:line="187"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The information contained in this proxy statement/prospectus speaks only as of the date on the cover, unless the information specifically indicates that another date applies.</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940"/>
          </w:cols>
          <w:pgMar w:left="240" w:top="459" w:right="71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07"/>
        </w:trPr>
        <w:tc>
          <w:tcPr>
            <w:tcW w:w="9700" w:type="dxa"/>
            <w:vAlign w:val="bottom"/>
            <w:gridSpan w:val="9"/>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148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6340" w:type="dxa"/>
            <w:vAlign w:val="bottom"/>
            <w:gridSpan w:val="6"/>
          </w:tcPr>
          <w:p>
            <w:pPr>
              <w:jc w:val="center"/>
              <w:ind w:right="1620"/>
              <w:spacing w:after="0"/>
              <w:rPr>
                <w:sz w:val="20"/>
                <w:szCs w:val="20"/>
                <w:color w:val="auto"/>
              </w:rPr>
            </w:pPr>
            <w:r>
              <w:rPr>
                <w:rFonts w:ascii="Arial" w:cs="Arial" w:eastAsia="Arial" w:hAnsi="Arial"/>
                <w:sz w:val="18"/>
                <w:szCs w:val="18"/>
                <w:b w:val="1"/>
                <w:bCs w:val="1"/>
                <w:color w:val="auto"/>
              </w:rPr>
              <w:t>INDEX TO CONSOLIDATED FINANCIAL STATEMENTS</w:t>
            </w:r>
          </w:p>
        </w:tc>
        <w:tc>
          <w:tcPr>
            <w:tcW w:w="148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9500" w:type="dxa"/>
            <w:vAlign w:val="bottom"/>
            <w:gridSpan w:val="8"/>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Reports of Independent Registered Public Accounting Firms</w:t>
              </w:r>
            </w:hyperlink>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F-2</w:t>
            </w:r>
          </w:p>
        </w:tc>
      </w:tr>
      <w:tr>
        <w:trPr>
          <w:trHeight w:val="20"/>
        </w:trPr>
        <w:tc>
          <w:tcPr>
            <w:tcW w:w="20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466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181">
              <w:r>
                <w:rPr>
                  <w:rFonts w:ascii="Arial" w:cs="Arial" w:eastAsia="Arial" w:hAnsi="Arial"/>
                  <w:sz w:val="18"/>
                  <w:szCs w:val="18"/>
                  <w:color w:val="0000EE"/>
                  <w:w w:val="88"/>
                </w:rPr>
                <w:t>Consolidated Balance Sheets as of December 31, 2018 and 2017</w:t>
              </w:r>
            </w:hyperlink>
          </w:p>
        </w:tc>
        <w:tc>
          <w:tcPr>
            <w:tcW w:w="4840" w:type="dxa"/>
            <w:vAlign w:val="bottom"/>
            <w:gridSpan w:val="4"/>
          </w:tcPr>
          <w:p>
            <w:pPr>
              <w:spacing w:after="0"/>
              <w:rPr>
                <w:sz w:val="24"/>
                <w:szCs w:val="24"/>
                <w:color w:val="auto"/>
              </w:rPr>
            </w:pPr>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F-4</w:t>
            </w:r>
          </w:p>
        </w:tc>
      </w:tr>
      <w:tr>
        <w:trPr>
          <w:trHeight w:val="304"/>
        </w:trPr>
        <w:tc>
          <w:tcPr>
            <w:tcW w:w="200" w:type="dxa"/>
            <w:vAlign w:val="bottom"/>
          </w:tcPr>
          <w:p>
            <w:pPr>
              <w:spacing w:after="0"/>
              <w:rPr>
                <w:sz w:val="24"/>
                <w:szCs w:val="24"/>
                <w:color w:val="auto"/>
              </w:rPr>
            </w:pPr>
          </w:p>
        </w:tc>
        <w:tc>
          <w:tcPr>
            <w:tcW w:w="83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82">
              <w:r>
                <w:rPr>
                  <w:rFonts w:ascii="Arial" w:cs="Arial" w:eastAsia="Arial" w:hAnsi="Arial"/>
                  <w:sz w:val="18"/>
                  <w:szCs w:val="18"/>
                  <w:color w:val="0000EE"/>
                  <w:w w:val="89"/>
                </w:rPr>
                <w:t>Consolidated Statements of Operations and Comprehensive Loss for the Years ended December 31, 2018 and 2017</w:t>
              </w:r>
            </w:hyperlink>
          </w:p>
        </w:tc>
        <w:tc>
          <w:tcPr>
            <w:tcW w:w="1200" w:type="dxa"/>
            <w:vAlign w:val="bottom"/>
          </w:tcPr>
          <w:p>
            <w:pPr>
              <w:spacing w:after="0"/>
              <w:rPr>
                <w:sz w:val="24"/>
                <w:szCs w:val="24"/>
                <w:color w:val="auto"/>
              </w:rPr>
            </w:pPr>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F-5</w:t>
            </w:r>
          </w:p>
        </w:tc>
      </w:tr>
      <w:tr>
        <w:trPr>
          <w:trHeight w:val="304"/>
        </w:trPr>
        <w:tc>
          <w:tcPr>
            <w:tcW w:w="200" w:type="dxa"/>
            <w:vAlign w:val="bottom"/>
          </w:tcPr>
          <w:p>
            <w:pPr>
              <w:spacing w:after="0"/>
              <w:rPr>
                <w:sz w:val="24"/>
                <w:szCs w:val="24"/>
                <w:color w:val="auto"/>
              </w:rPr>
            </w:pPr>
          </w:p>
        </w:tc>
        <w:tc>
          <w:tcPr>
            <w:tcW w:w="80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83">
              <w:r>
                <w:rPr>
                  <w:rFonts w:ascii="Arial" w:cs="Arial" w:eastAsia="Arial" w:hAnsi="Arial"/>
                  <w:sz w:val="18"/>
                  <w:szCs w:val="18"/>
                  <w:color w:val="0000EE"/>
                  <w:w w:val="89"/>
                </w:rPr>
                <w:t>Consolidated Statements of Changes in Shareholders’ Equity for the Years ended December 31, 2018 and 2017</w:t>
              </w:r>
            </w:hyperlink>
          </w:p>
        </w:tc>
        <w:tc>
          <w:tcPr>
            <w:tcW w:w="1480" w:type="dxa"/>
            <w:vAlign w:val="bottom"/>
            <w:gridSpan w:val="2"/>
          </w:tcPr>
          <w:p>
            <w:pPr>
              <w:spacing w:after="0"/>
              <w:rPr>
                <w:sz w:val="24"/>
                <w:szCs w:val="24"/>
                <w:color w:val="auto"/>
              </w:rPr>
            </w:pPr>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F-6</w:t>
            </w:r>
          </w:p>
        </w:tc>
      </w:tr>
      <w:tr>
        <w:trPr>
          <w:trHeight w:val="304"/>
        </w:trPr>
        <w:tc>
          <w:tcPr>
            <w:tcW w:w="200" w:type="dxa"/>
            <w:vAlign w:val="bottom"/>
          </w:tcPr>
          <w:p>
            <w:pPr>
              <w:spacing w:after="0"/>
              <w:rPr>
                <w:sz w:val="24"/>
                <w:szCs w:val="24"/>
                <w:color w:val="auto"/>
              </w:rPr>
            </w:pPr>
          </w:p>
        </w:tc>
        <w:tc>
          <w:tcPr>
            <w:tcW w:w="9500" w:type="dxa"/>
            <w:vAlign w:val="bottom"/>
            <w:gridSpan w:val="8"/>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Consolidated Statements of Cash Flows for the Years ended December 31, 2018 and 2017</w:t>
              </w:r>
            </w:hyperlink>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F-7</w:t>
            </w:r>
          </w:p>
        </w:tc>
      </w:tr>
      <w:tr>
        <w:trPr>
          <w:trHeight w:val="304"/>
        </w:trPr>
        <w:tc>
          <w:tcPr>
            <w:tcW w:w="200" w:type="dxa"/>
            <w:vAlign w:val="bottom"/>
          </w:tcPr>
          <w:p>
            <w:pPr>
              <w:spacing w:after="0"/>
              <w:rPr>
                <w:sz w:val="24"/>
                <w:szCs w:val="24"/>
                <w:color w:val="auto"/>
              </w:rPr>
            </w:pPr>
          </w:p>
        </w:tc>
        <w:tc>
          <w:tcPr>
            <w:tcW w:w="6520" w:type="dxa"/>
            <w:vAlign w:val="bottom"/>
            <w:tcBorders>
              <w:top w:val="single" w:sz="8" w:color="0000EE"/>
            </w:tcBorders>
            <w:gridSpan w:val="5"/>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Notes to Consolidated Financial Statements</w:t>
              </w:r>
            </w:hyperlink>
          </w:p>
        </w:tc>
        <w:tc>
          <w:tcPr>
            <w:tcW w:w="2980" w:type="dxa"/>
            <w:vAlign w:val="bottom"/>
            <w:gridSpan w:val="3"/>
          </w:tcPr>
          <w:p>
            <w:pPr>
              <w:spacing w:after="0"/>
              <w:rPr>
                <w:sz w:val="24"/>
                <w:szCs w:val="24"/>
                <w:color w:val="auto"/>
              </w:rPr>
            </w:pPr>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F-8</w:t>
            </w:r>
          </w:p>
        </w:tc>
      </w:tr>
      <w:tr>
        <w:trPr>
          <w:trHeight w:val="385"/>
        </w:trPr>
        <w:tc>
          <w:tcPr>
            <w:tcW w:w="20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200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40" w:type="dxa"/>
            <w:vAlign w:val="bottom"/>
            <w:gridSpan w:val="4"/>
          </w:tcPr>
          <w:p>
            <w:pPr>
              <w:jc w:val="center"/>
              <w:ind w:right="3140"/>
              <w:spacing w:after="0"/>
              <w:rPr>
                <w:sz w:val="20"/>
                <w:szCs w:val="20"/>
                <w:color w:val="auto"/>
              </w:rPr>
            </w:pPr>
            <w:r>
              <w:rPr>
                <w:rFonts w:ascii="Arial" w:cs="Arial" w:eastAsia="Arial" w:hAnsi="Arial"/>
                <w:sz w:val="18"/>
                <w:szCs w:val="18"/>
                <w:color w:val="auto"/>
                <w:w w:val="96"/>
              </w:rPr>
              <w:t>F-1</w:t>
            </w:r>
          </w:p>
        </w:tc>
        <w:tc>
          <w:tcPr>
            <w:tcW w:w="1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Arcturus Therapeutics Ltd.</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We have audited the accompanying consolidated balance sheet of Arcturus Therapeutics Ltd. and its subsidiaries (the Company) as of December 31, 2018, the related consolidated statements of operations and comprehensive loss, changes in shareholders’ equity and cash flows for the year ended December 31, 2018, and the related notes (collectively referred to as the “consolidated financial statements”). In our opinion, the consolidated financial statements present fairly, in all material respects, the financial position of the Company at December 31, 2018, and the results of its operations and its cash flows for the year ended December 31, 2018, in conformity with U.S. generally accepted accounting principles.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121"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financial statements, the Company has suffered recurring losses from operations, has negative cash flows from operations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2018</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15, 2019</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60"/>
          </w:cols>
          <w:pgMar w:left="240" w:top="460"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To the Shareholders and Board of Directors of</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ARCTURUS THERAPEUTICS LTD. (FORMERLY ALCOBRA LTD.)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have audited the accompanying consolidated balance sheet of Arcturus Therapeutics Ltd. (formerly Alcobra Ltd.) and its subsidiaries (the “Company”) as of December 31, 2017 and the related consolidated statements of operations and comprehensive loss, shareholders’ equity and cash flows for the year ended December 31, 2017, and the related notes (collectively referred to as the “consolidated financial statements”). In our opinion, the consolidated financial statements present fairly, in all material respects, the financial position of the Company at December 31, 2017, and the results of its operations and its cash flows for the year ended December 31, 2017, in conformity with U.S. generally accepted accounting principles.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Kost Forer Gabbay &amp; Kasierer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KOST FORER GABBAY &amp; KASIERER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Member of Ernst &amp; Young Global</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during 2018</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Tel-Aviv, Israel</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May 14, 2018</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240" w:top="460" w:right="5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U.S. dollars in thousands, except par value information)</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36,709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23,608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Intangible asset held for sale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41,828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50,868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method investment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Non-current restricted cash</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44,198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2,398</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30,556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18,230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tcPr>
          <w:p>
            <w:pPr>
              <w:ind w:left="340"/>
              <w:spacing w:after="0" w:line="201" w:lineRule="exact"/>
              <w:rPr>
                <w:sz w:val="20"/>
                <w:szCs w:val="20"/>
                <w:color w:val="auto"/>
              </w:rPr>
            </w:pPr>
            <w:r>
              <w:rPr>
                <w:rFonts w:ascii="Arial" w:cs="Arial" w:eastAsia="Arial" w:hAnsi="Arial"/>
                <w:sz w:val="18"/>
                <w:szCs w:val="18"/>
                <w:color w:val="auto"/>
              </w:rPr>
              <w:t>Ordinary shares: 30,000 shares authorized, 10,762 issued, 10,719 outstanding and 43 held in treasury at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w w:val="91"/>
              </w:rPr>
              <w:t>December 31, 2018; NIS 0.07 par value; 30,000 shares authorized, 10,699 issued, 10,656 outstanding and 43 held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in treasury at December 31, 2017;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58,302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56,674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(44,874)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(23,089)</w:t>
            </w:r>
          </w:p>
        </w:tc>
        <w:tc>
          <w:tcPr>
            <w:tcW w:w="0" w:type="dxa"/>
            <w:vAlign w:val="bottom"/>
          </w:tcPr>
          <w:p>
            <w:pPr>
              <w:spacing w:after="0"/>
              <w:rPr>
                <w:sz w:val="1"/>
                <w:szCs w:val="1"/>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13,642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33,794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44,198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dollars in thousands (except per share data)</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Collaboration revenue</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net</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Net loss from operations</w:t>
            </w:r>
          </w:p>
        </w:tc>
        <w:tc>
          <w:tcPr>
            <w:tcW w:w="2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(21,811)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Loss from equity method investment</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Finance income (expense), net</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taxes</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(21,785)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loss</w:t>
            </w:r>
          </w:p>
        </w:tc>
        <w:tc>
          <w:tcPr>
            <w:tcW w:w="2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(21,785)</w:t>
            </w:r>
          </w:p>
        </w:tc>
        <w:tc>
          <w:tcPr>
            <w:tcW w:w="5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(10,902)</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2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2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2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(21,785)</w:t>
            </w:r>
          </w:p>
        </w:tc>
        <w:tc>
          <w:tcPr>
            <w:tcW w:w="5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700"/>
              <w:spacing w:after="0"/>
              <w:rPr>
                <w:sz w:val="20"/>
                <w:szCs w:val="20"/>
                <w:color w:val="auto"/>
              </w:rPr>
            </w:pPr>
            <w:r>
              <w:rPr>
                <w:rFonts w:ascii="Arial" w:cs="Arial" w:eastAsia="Arial" w:hAnsi="Arial"/>
                <w:sz w:val="18"/>
                <w:szCs w:val="18"/>
                <w:color w:val="auto"/>
              </w:rPr>
              <w:t>Unrealized gain (loss) on short-term investments</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loss</w:t>
            </w:r>
          </w:p>
        </w:tc>
        <w:tc>
          <w:tcPr>
            <w:tcW w:w="2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(21,782)</w:t>
            </w:r>
          </w:p>
        </w:tc>
        <w:tc>
          <w:tcPr>
            <w:tcW w:w="5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right"/>
        <w:ind w:right="2940"/>
        <w:spacing w:after="0"/>
        <w:rPr>
          <w:sz w:val="20"/>
          <w:szCs w:val="20"/>
          <w:color w:val="auto"/>
        </w:rPr>
      </w:pPr>
      <w:r>
        <w:rPr>
          <w:rFonts w:ascii="Arial" w:cs="Arial" w:eastAsia="Arial" w:hAnsi="Arial"/>
          <w:sz w:val="18"/>
          <w:szCs w:val="18"/>
          <w:b w:val="1"/>
          <w:bCs w:val="1"/>
          <w:color w:val="auto"/>
        </w:rPr>
        <w:t>STATEMENTS OF CHANGES IN SHAREHOLDERS’ EQUITY</w:t>
      </w:r>
    </w:p>
    <w:p>
      <w:pPr>
        <w:sectPr>
          <w:pgSz w:w="11900" w:h="16838" w:orient="portrait"/>
          <w:cols w:equalWidth="0" w:num="1">
            <w:col w:w="11180"/>
          </w:cols>
          <w:pgMar w:left="240" w:top="460" w:right="479" w:bottom="1440" w:gutter="0" w:footer="0" w:header="0"/>
        </w:sectPr>
      </w:pP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dollars in thousands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980" w:type="dxa"/>
            <w:vAlign w:val="bottom"/>
            <w:gridSpan w:val="4"/>
          </w:tcPr>
          <w:p>
            <w:pPr>
              <w:jc w:val="center"/>
              <w:ind w:left="173"/>
              <w:spacing w:after="0"/>
              <w:rPr>
                <w:sz w:val="20"/>
                <w:szCs w:val="20"/>
                <w:color w:val="auto"/>
              </w:rPr>
            </w:pPr>
            <w:r>
              <w:rPr>
                <w:rFonts w:ascii="Arial" w:cs="Arial" w:eastAsia="Arial" w:hAnsi="Arial"/>
                <w:sz w:val="14"/>
                <w:szCs w:val="14"/>
                <w:b w:val="1"/>
                <w:bCs w:val="1"/>
                <w:color w:val="auto"/>
                <w:w w:val="85"/>
              </w:rPr>
              <w:t>Series Seed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4"/>
          </w:tcPr>
          <w:p>
            <w:pPr>
              <w:jc w:val="center"/>
              <w:ind w:left="233"/>
              <w:spacing w:after="0"/>
              <w:rPr>
                <w:sz w:val="20"/>
                <w:szCs w:val="20"/>
                <w:color w:val="auto"/>
              </w:rPr>
            </w:pPr>
            <w:r>
              <w:rPr>
                <w:rFonts w:ascii="Arial" w:cs="Arial" w:eastAsia="Arial" w:hAnsi="Arial"/>
                <w:sz w:val="14"/>
                <w:szCs w:val="14"/>
                <w:b w:val="1"/>
                <w:bCs w:val="1"/>
                <w:color w:val="auto"/>
                <w:w w:val="89"/>
              </w:rPr>
              <w:t>Series A</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180" w:type="dxa"/>
            <w:vAlign w:val="bottom"/>
          </w:tcPr>
          <w:p>
            <w:pPr>
              <w:spacing w:after="0"/>
              <w:rPr>
                <w:sz w:val="14"/>
                <w:szCs w:val="14"/>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0" w:type="dxa"/>
            <w:vAlign w:val="bottom"/>
          </w:tcPr>
          <w:p>
            <w:pPr>
              <w:spacing w:after="0"/>
              <w:rPr>
                <w:sz w:val="1"/>
                <w:szCs w:val="1"/>
                <w:color w:val="auto"/>
              </w:rPr>
            </w:pPr>
          </w:p>
        </w:tc>
      </w:tr>
      <w:tr>
        <w:trPr>
          <w:trHeight w:val="142"/>
        </w:trPr>
        <w:tc>
          <w:tcPr>
            <w:tcW w:w="2400" w:type="dxa"/>
            <w:vAlign w:val="bottom"/>
            <w:vMerge w:val="restart"/>
          </w:tcPr>
          <w:p>
            <w:pPr>
              <w:spacing w:after="0"/>
              <w:rPr>
                <w:sz w:val="20"/>
                <w:szCs w:val="20"/>
                <w:color w:val="auto"/>
              </w:rPr>
            </w:pPr>
            <w:r>
              <w:rPr>
                <w:rFonts w:ascii="Arial" w:cs="Arial" w:eastAsia="Arial" w:hAnsi="Arial"/>
                <w:sz w:val="18"/>
                <w:szCs w:val="18"/>
                <w:b w:val="1"/>
                <w:bCs w:val="1"/>
                <w:color w:val="auto"/>
              </w:rPr>
              <w:t>BALANCE — December 31,</w:t>
            </w:r>
          </w:p>
        </w:tc>
        <w:tc>
          <w:tcPr>
            <w:tcW w:w="6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Shares</w:t>
            </w:r>
          </w:p>
        </w:tc>
        <w:tc>
          <w:tcPr>
            <w:tcW w:w="6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6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Shares</w:t>
            </w:r>
          </w:p>
        </w:tc>
        <w:tc>
          <w:tcPr>
            <w:tcW w:w="6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8"/>
        </w:trPr>
        <w:tc>
          <w:tcPr>
            <w:tcW w:w="2400" w:type="dxa"/>
            <w:vAlign w:val="bottom"/>
            <w:vMerge w:val="continue"/>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400" w:type="dxa"/>
            <w:vAlign w:val="bottom"/>
          </w:tcPr>
          <w:p>
            <w:pPr>
              <w:ind w:left="180"/>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1,284</w:t>
            </w:r>
          </w:p>
        </w:tc>
        <w:tc>
          <w:tcPr>
            <w:tcW w:w="140" w:type="dxa"/>
            <w:vAlign w:val="bottom"/>
          </w:tcPr>
          <w:p>
            <w:pPr>
              <w:spacing w:after="0"/>
              <w:rPr>
                <w:sz w:val="19"/>
                <w:szCs w:val="19"/>
                <w:color w:val="auto"/>
              </w:rPr>
            </w:pPr>
          </w:p>
        </w:tc>
        <w:tc>
          <w:tcPr>
            <w:tcW w:w="3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1,481</w:t>
            </w:r>
          </w:p>
        </w:tc>
        <w:tc>
          <w:tcPr>
            <w:tcW w:w="120" w:type="dxa"/>
            <w:vAlign w:val="bottom"/>
          </w:tcPr>
          <w:p>
            <w:pPr>
              <w:spacing w:after="0"/>
              <w:rPr>
                <w:sz w:val="19"/>
                <w:szCs w:val="19"/>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Unrealized loss on short-term</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Issuance of common shares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upon exercise of share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options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Issuance of shares upon</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exercise of warrants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Issuance of shares upon</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conversion of notes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w w:val="95"/>
              </w:rPr>
              <w:t>Conversion of preferred shares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to ordinary shares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(1,481)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w w:val="97"/>
              </w:rPr>
              <w:t>Beneficial conversion expense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from notes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Issuance of shares in</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8"/>
                <w:szCs w:val="18"/>
                <w:color w:val="auto"/>
                <w:w w:val="99"/>
              </w:rPr>
              <w:t>connection with merger, net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400" w:type="dxa"/>
            <w:vAlign w:val="bottom"/>
          </w:tcPr>
          <w:p>
            <w:pPr>
              <w:spacing w:after="0" w:line="205" w:lineRule="exact"/>
              <w:rPr>
                <w:sz w:val="20"/>
                <w:szCs w:val="20"/>
                <w:color w:val="auto"/>
              </w:rPr>
            </w:pPr>
            <w:r>
              <w:rPr>
                <w:rFonts w:ascii="Arial" w:cs="Arial" w:eastAsia="Arial" w:hAnsi="Arial"/>
                <w:sz w:val="18"/>
                <w:szCs w:val="18"/>
                <w:b w:val="1"/>
                <w:bCs w:val="1"/>
                <w:color w:val="auto"/>
              </w:rPr>
              <w:t>BALANCE — December 31,</w:t>
            </w: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180"/>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3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ind w:left="4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Unrealized gain on short-term</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Issuance of common shares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upon exercise of share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8"/>
                <w:szCs w:val="18"/>
                <w:color w:val="auto"/>
              </w:rPr>
              <w:t>options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400" w:type="dxa"/>
            <w:vAlign w:val="bottom"/>
          </w:tcPr>
          <w:p>
            <w:pPr>
              <w:spacing w:after="0" w:line="205" w:lineRule="exact"/>
              <w:rPr>
                <w:sz w:val="20"/>
                <w:szCs w:val="20"/>
                <w:color w:val="auto"/>
              </w:rPr>
            </w:pPr>
            <w:r>
              <w:rPr>
                <w:rFonts w:ascii="Arial" w:cs="Arial" w:eastAsia="Arial" w:hAnsi="Arial"/>
                <w:sz w:val="18"/>
                <w:szCs w:val="18"/>
                <w:b w:val="1"/>
                <w:bCs w:val="1"/>
                <w:color w:val="auto"/>
              </w:rPr>
              <w:t>BALANCE — December 31,</w:t>
            </w: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180"/>
              <w:spacing w:after="0"/>
              <w:rPr>
                <w:sz w:val="20"/>
                <w:szCs w:val="20"/>
                <w:color w:val="auto"/>
              </w:rPr>
            </w:pPr>
            <w:r>
              <w:rPr>
                <w:rFonts w:ascii="Arial" w:cs="Arial" w:eastAsia="Arial" w:hAnsi="Arial"/>
                <w:sz w:val="18"/>
                <w:szCs w:val="18"/>
                <w:b w:val="1"/>
                <w:bCs w:val="1"/>
                <w:color w:val="auto"/>
              </w:rPr>
              <w:t>2018</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Ordinary Shares</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Additional</w:t>
            </w:r>
          </w:p>
        </w:tc>
        <w:tc>
          <w:tcPr>
            <w:tcW w:w="1540" w:type="dxa"/>
            <w:vAlign w:val="bottom"/>
            <w:gridSpan w:val="4"/>
          </w:tcPr>
          <w:p>
            <w:pPr>
              <w:ind w:left="180"/>
              <w:spacing w:after="0"/>
              <w:rPr>
                <w:sz w:val="20"/>
                <w:szCs w:val="20"/>
                <w:color w:val="auto"/>
              </w:rPr>
            </w:pPr>
            <w:r>
              <w:rPr>
                <w:rFonts w:ascii="Arial" w:cs="Arial" w:eastAsia="Arial" w:hAnsi="Arial"/>
                <w:sz w:val="14"/>
                <w:szCs w:val="14"/>
                <w:b w:val="1"/>
                <w:bCs w:val="1"/>
                <w:color w:val="auto"/>
              </w:rPr>
              <w:t>Accumulated Other</w:t>
            </w:r>
          </w:p>
        </w:tc>
        <w:tc>
          <w:tcPr>
            <w:tcW w:w="10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1240" w:type="dxa"/>
            <w:vAlign w:val="bottom"/>
            <w:tcBorders>
              <w:bottom w:val="single" w:sz="8" w:color="auto"/>
            </w:tcBorders>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4"/>
              <w:spacing w:after="0" w:line="158"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040" w:type="dxa"/>
            <w:vAlign w:val="bottom"/>
            <w:gridSpan w:val="4"/>
            <w:vMerge w:val="continue"/>
          </w:tcPr>
          <w:p>
            <w:pPr>
              <w:spacing w:after="0"/>
              <w:rPr>
                <w:sz w:val="13"/>
                <w:szCs w:val="13"/>
                <w:color w:val="auto"/>
              </w:rPr>
            </w:pPr>
          </w:p>
        </w:tc>
        <w:tc>
          <w:tcPr>
            <w:tcW w:w="1000" w:type="dxa"/>
            <w:vAlign w:val="bottom"/>
            <w:gridSpan w:val="4"/>
          </w:tcPr>
          <w:p>
            <w:pPr>
              <w:ind w:left="80"/>
              <w:spacing w:after="0" w:line="158"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42"/>
        </w:trPr>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8"/>
              </w:rPr>
              <w:t>Shares</w:t>
            </w:r>
          </w:p>
        </w:tc>
        <w:tc>
          <w:tcPr>
            <w:tcW w:w="200" w:type="dxa"/>
            <w:vAlign w:val="bottom"/>
          </w:tcPr>
          <w:p>
            <w:pPr>
              <w:spacing w:after="0"/>
              <w:rPr>
                <w:sz w:val="12"/>
                <w:szCs w:val="12"/>
                <w:color w:val="auto"/>
              </w:rPr>
            </w:pPr>
          </w:p>
        </w:tc>
        <w:tc>
          <w:tcPr>
            <w:tcW w:w="5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2"/>
                <w:szCs w:val="12"/>
                <w:color w:val="auto"/>
              </w:rPr>
            </w:pPr>
          </w:p>
        </w:tc>
        <w:tc>
          <w:tcPr>
            <w:tcW w:w="66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2,801</w:t>
            </w:r>
          </w:p>
        </w:tc>
        <w:tc>
          <w:tcPr>
            <w:tcW w:w="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$ 13,764</w:t>
            </w:r>
          </w:p>
        </w:tc>
        <w:tc>
          <w:tcPr>
            <w:tcW w:w="300" w:type="dxa"/>
            <w:vAlign w:val="bottom"/>
            <w:gridSpan w:val="2"/>
          </w:tcPr>
          <w:p>
            <w:pPr>
              <w:ind w:left="18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(12,187)</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w w:val="98"/>
              </w:rPr>
              <w:t>(10,902)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(10,902)</w:t>
            </w:r>
          </w:p>
        </w:tc>
        <w:tc>
          <w:tcPr>
            <w:tcW w:w="0" w:type="dxa"/>
            <w:vAlign w:val="bottom"/>
          </w:tcPr>
          <w:p>
            <w:pPr>
              <w:spacing w:after="0"/>
              <w:rPr>
                <w:sz w:val="1"/>
                <w:szCs w:val="1"/>
                <w:color w:val="auto"/>
              </w:rPr>
            </w:pPr>
          </w:p>
        </w:tc>
      </w:tr>
      <w:tr>
        <w:trPr>
          <w:trHeight w:val="418"/>
        </w:trPr>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2,170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40" w:type="dxa"/>
            <w:vAlign w:val="bottom"/>
          </w:tcPr>
          <w:p>
            <w:pPr>
              <w:ind w:left="260"/>
              <w:spacing w:after="0"/>
              <w:rPr>
                <w:sz w:val="20"/>
                <w:szCs w:val="20"/>
                <w:color w:val="auto"/>
              </w:rPr>
            </w:pPr>
            <w:r>
              <w:rPr>
                <w:rFonts w:ascii="Arial" w:cs="Arial" w:eastAsia="Arial" w:hAnsi="Arial"/>
                <w:sz w:val="18"/>
                <w:szCs w:val="18"/>
                <w:color w:val="auto"/>
                <w:w w:val="86"/>
              </w:rPr>
              <w:t>348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ind w:left="260"/>
              <w:spacing w:after="0"/>
              <w:rPr>
                <w:sz w:val="20"/>
                <w:szCs w:val="20"/>
                <w:color w:val="auto"/>
              </w:rPr>
            </w:pPr>
            <w:r>
              <w:rPr>
                <w:rFonts w:ascii="Arial" w:cs="Arial" w:eastAsia="Arial" w:hAnsi="Arial"/>
                <w:sz w:val="18"/>
                <w:szCs w:val="18"/>
                <w:color w:val="auto"/>
                <w:w w:val="86"/>
              </w:rPr>
              <w:t>189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ind w:left="260"/>
              <w:spacing w:after="0"/>
              <w:rPr>
                <w:sz w:val="20"/>
                <w:szCs w:val="20"/>
                <w:color w:val="auto"/>
              </w:rPr>
            </w:pPr>
            <w:r>
              <w:rPr>
                <w:rFonts w:ascii="Arial" w:cs="Arial" w:eastAsia="Arial" w:hAnsi="Arial"/>
                <w:sz w:val="18"/>
                <w:szCs w:val="18"/>
                <w:color w:val="auto"/>
                <w:w w:val="86"/>
              </w:rPr>
              <w:t>617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5,957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jc w:val="right"/>
              <w:spacing w:after="0"/>
              <w:rPr>
                <w:sz w:val="20"/>
                <w:szCs w:val="20"/>
                <w:color w:val="auto"/>
              </w:rPr>
            </w:pPr>
            <w:r>
              <w:rPr>
                <w:rFonts w:ascii="Arial" w:cs="Arial" w:eastAsia="Arial" w:hAnsi="Arial"/>
                <w:sz w:val="18"/>
                <w:szCs w:val="18"/>
                <w:color w:val="auto"/>
              </w:rPr>
              <w:t>2,765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212</w:t>
            </w:r>
          </w:p>
        </w:tc>
        <w:tc>
          <w:tcPr>
            <w:tcW w:w="2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33,600</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10,699</w:t>
            </w:r>
          </w:p>
        </w:tc>
        <w:tc>
          <w:tcPr>
            <w:tcW w:w="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w w:val="79"/>
              </w:rPr>
              <w:t>212</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$ 56,674</w:t>
            </w:r>
          </w:p>
        </w:tc>
        <w:tc>
          <w:tcPr>
            <w:tcW w:w="300" w:type="dxa"/>
            <w:vAlign w:val="bottom"/>
            <w:gridSpan w:val="2"/>
          </w:tcPr>
          <w:p>
            <w:pPr>
              <w:ind w:left="18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(23,089)</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33,794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w w:val="80"/>
              </w:rPr>
              <w:t>(21,785)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w w:val="71"/>
              </w:rPr>
              <w:t>2</w:t>
            </w:r>
          </w:p>
        </w:tc>
        <w:tc>
          <w:tcPr>
            <w:tcW w:w="2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10,762</w:t>
            </w:r>
          </w:p>
        </w:tc>
        <w:tc>
          <w:tcPr>
            <w:tcW w:w="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w w:val="79"/>
              </w:rPr>
              <w:t>214</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$ 58,302</w:t>
            </w:r>
          </w:p>
        </w:tc>
        <w:tc>
          <w:tcPr>
            <w:tcW w:w="300" w:type="dxa"/>
            <w:vAlign w:val="bottom"/>
            <w:gridSpan w:val="2"/>
          </w:tcPr>
          <w:p>
            <w:pPr>
              <w:ind w:left="18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(44,874)</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13,642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-4210050</wp:posOffset>
            </wp:positionV>
            <wp:extent cx="6997700" cy="2743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-3798570</wp:posOffset>
            </wp:positionV>
            <wp:extent cx="6997700" cy="2743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-3387090</wp:posOffset>
            </wp:positionV>
            <wp:extent cx="6997700" cy="4114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-2700655</wp:posOffset>
            </wp:positionV>
            <wp:extent cx="6997700" cy="2743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-2152015</wp:posOffset>
            </wp:positionV>
            <wp:extent cx="6997700" cy="2743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-1585595</wp:posOffset>
            </wp:positionV>
            <wp:extent cx="6997700" cy="2743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-1139825</wp:posOffset>
            </wp:positionV>
            <wp:extent cx="6997700" cy="2743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-728345</wp:posOffset>
            </wp:positionV>
            <wp:extent cx="6997700" cy="4114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7700" cy="411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200"/>
            <w:col w:w="5680"/>
          </w:cols>
          <w:pgMar w:left="240" w:top="460" w:right="47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80"/>
          </w:cols>
          <w:pgMar w:left="240" w:top="460" w:right="479" w:bottom="1440" w:gutter="0" w:footer="0" w:header="0"/>
          <w:type w:val="continuous"/>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dollars in thousands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(21,785)</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Loss from equity method investment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 cash interest expenses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Debt conversion expense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Changes in operating assets and liabilities: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(4,001)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cash used in operating activities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(20,760)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property and equipment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(6,594)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equipment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Proceeds from maturities of short-term investments</w:t>
            </w:r>
          </w:p>
        </w:tc>
        <w:tc>
          <w:tcPr>
            <w:tcW w:w="1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cash provided by investing activities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long-term debt, net of debt issuance costs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convertible promissory notes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Proceeds from exercise of warrants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received in the issuance of shares for the net assets of Alcobra Ltd.</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700"/>
              <w:spacing w:after="0"/>
              <w:rPr>
                <w:sz w:val="20"/>
                <w:szCs w:val="20"/>
                <w:color w:val="auto"/>
              </w:rPr>
            </w:pPr>
            <w:r>
              <w:rPr>
                <w:rFonts w:ascii="Arial" w:cs="Arial" w:eastAsia="Arial" w:hAnsi="Arial"/>
                <w:sz w:val="18"/>
                <w:szCs w:val="18"/>
                <w:b w:val="1"/>
                <w:bCs w:val="1"/>
                <w:color w:val="auto"/>
              </w:rPr>
              <w:t>Net cash provided by financing activities</w:t>
            </w:r>
          </w:p>
        </w:tc>
        <w:tc>
          <w:tcPr>
            <w:tcW w:w="1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10,204</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36,816</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Sale of intangible assets for equity method investment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Purchase of property and equipment in accounts payable</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Release of repurchase liability for restricted shares</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Conversion of notes to ordinary shares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assets acquired, excluding cash, cash equivalents and restricted cash</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Less: liabilities assumed</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 excluding cash, cash equivalents and restricted cash</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Organization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Arcturus Therapeutics Ltd. and its subsidiaries (referred to as the “Company”) is a RNA medicines company focused on significant opportunities in rare, liver, and respiratory diseases. The Company’s key proprietary technology has the potential to address the major hurdles in RNA development, namely the effective and safe delivery of RNA therapeutics to disease-relevant target tissues.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Reverse Merger</w:t>
      </w:r>
    </w:p>
    <w:p>
      <w:pPr>
        <w:spacing w:after="0" w:line="117"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On November 15, 2017, Alcobra Ltd. acquired Arcturus Therapeutics, Inc. pursuant to a merger between the companies (the “merger”). Prior to the merger, Alcobra Ltd.’s net assets consisted of cash, investments and nominal non-operating assets. Upon consummation of the merger, Alcobra Ltd. adopted the business plan of Arcturus Therapeutics, Inc. In connection with the merger, Alcobra Ltd. agreed to acquire all of the outstanding common stock of Arcturus Therapeutics, Inc. in exchange for the issuance of an aggregate 6,631,712 of Alcobra Ltd.’s Ordinary Shares, par value 0.07 NIS per share (the “Ordinary Shares”), after giving effect to a 1-for-7 reverse split effected immediately prior to the merger. As a result of the merger, Arcturus Therapeutics, Inc. became a wholly-owned subsidiary of Alcobra Ltd. While Alcobra Ltd. was the legal acquirer in the transaction, Arcturus Therapeutics, Inc. was deemed the accounting acquirer. Immediately after giving effect to the merger, on November 15, 2017, Alcobra Ltd. changed its name to Arcturus Therapeutics Ltd. (“Arcturus” or the “Company”). On November 16, 2017, the Company commenced trading under the symbol “ARCT.” The Company’s principal executive offices and location of all operations are in San Diego, California.</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In accordance with the authoritative literature, a transaction where a private company merges into a public company with no operations and nominal net assets should be accounted for as a capital transaction rather than a business combination. Consequently, the reverse merger was accounted for as an issuance of shares by the Company for the net assets of Alcobra Ltd., accompanied by a recapitalization. Excess of considerations paid over net assets acquired and other merger-related costs were recorded as a charge to additional paid-in capital as discussed in Note 6. While Alcobra Ltd. was the legal acquirer in the merger, Arcturus was deemed the accounting acquirer. As a result, the financial statements of the Company prior to the merger date are the historical financial statements of Arcturus whereas the financial statements of the Company after the merger date reflect the results of the operations of Arcturus and Alcobra Ltd. on a combined basis. All historical information presented herein has been retroactively restated to reflect the effect of the merger shares exchange ratio, reverse stock split and change to the authorized number of Ordinary Shares in accordance with Accounting Standards Codification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Company’s activities since inception have consisted principally of performing research and development activities and raising capital. The Company’s activities are subject to significant risks and uncertainties, including failing to secure additional funding before the Company achieves sustainable revenues and profit from operations.</w:t>
      </w:r>
    </w:p>
    <w:p>
      <w:pPr>
        <w:spacing w:after="0" w:line="18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Company is a pre-clinical bioscience company that is dependent on obtaining external equity and debt financings to fund its operations. Historically, the Company’s primary source of financing has been through the sale of its securities, through issuance of debt and through collaboration agreements. The Company raised $10.0 million in gross proceeds from a long-term debt agreement executed in October 2018 (Note 9). In addition, in October 2018, the Company entered into a Sales Agreement (the “Sales Agreement”) with Leerink Partners LLC (“Leerink”), pursuant to which it may sell from time to time, at its option, up to an aggregate of</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$30.0 million of the Company’s ordinary shares through Leerink, as sales agent. Research and development activities have required significant capital investment since the Company’s inception.</w:t>
      </w:r>
    </w:p>
    <w:p>
      <w:pPr>
        <w:spacing w:after="0" w:line="17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Company expects its operations to continue to require cash investment to pursue the Company’s research and development activities, including preclinical studies, formulation development, clinical trials and related drug manufacturing. The Company has experienced net losses since its inception and as of December 31, 2018 has an accumulated deficit of $44.9 million. The Company expects to continue to incur additional losses for the foreseeable future, and the Company will need to raise additional debt or equity financing or enter into additional collaborations to fund its development. The ability of the Company to transition to profitability is dependent on identifying and developing successful mRNA drug candidates. In the near future, if the Company is not able to achieve planned milestones, incurs costs in excess of its forecasts, or does not meet covenant requirements of its debt (Note 9), it will need to reduce discretionary spending, discontinue the development of some or all of its products, which will delay part of its development programs, all of which will have a material adverse effect on the Company’s ability to achieve its intended business objectives. There can be no assurances that additional financing will be secured or, if secured, will be on favorable terms. Management has prepared cash flow forecasts which indicate that based on the Company’s expected operating losses and negative cash flows, there is substantial doubt about the Company’s ability to continue as a going concern within twelve months after the date that the financial statements for the year ended December 31, 2018, are issued. The accompanying consolidated financial statements have been prepared assuming that the Company will continue as a going concern, which contemplates the realization of assets and the settlement of liabilities and commitments in the normal course of business. The consolidated financial statements do not reflect any adjustments related to the recoverability and classification of assets or the amounts and classification of liabilities that might be necessary if the Company is unable to continue as a going concern.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Arcturus Therapeutics Ltd. and its subsidiaries. All intercompany accounts and transactions have been eliminated in consolidation. These financial statements are prepared in conformity with accounting principles generally accepted in the United States (U.S. GAAP), which requires management to make estimates and assumptions regarding the valuation of certain debt and equity instruments, the equity method investment, share-based compensation, accruals for liabilities, income taxes, revenue and deferred revenue, expense accruals, and other matters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the Company’s nucleic acid-focused technology.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the date of purchase.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Restricted cash represents cash required to be set aside as security for lease payments and to maintain a letter of credit for the benefit of the landlord for the Company’s offices. At December 31, 2018 and 2017, the Company had restricted cash of $107,000 in conjunction with property leases in San Diego, California, and such restriction is expected to be removed at the end of the lease term in 2025. At December 31, 2017, the Company also had restricted cash of $166,000 in conjunction with property leases in Israel, and such restriction was lifted in 2018.</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Short-term Bank Deposits</w:t>
      </w:r>
    </w:p>
    <w:p>
      <w:pPr>
        <w:spacing w:after="0" w:line="117"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Short-term bank deposits (Note 4) are deposits with maturities of more than three months and up to one year when acquired. Short-term bank deposits are presented at their cost, including accrued interest and are included in the balance of short-term investments in the consolidated balance sheet.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 xml:space="preserve">The Company accounts for short-term investments (Note 4) in accordance with ASC No. 320, </w:t>
      </w:r>
      <w:r>
        <w:rPr>
          <w:rFonts w:ascii="Arial" w:cs="Arial" w:eastAsia="Arial" w:hAnsi="Arial"/>
          <w:sz w:val="18"/>
          <w:szCs w:val="18"/>
          <w:i w:val="1"/>
          <w:iCs w:val="1"/>
          <w:color w:val="auto"/>
        </w:rPr>
        <w:t>Investments- Debt and Equity Securities</w:t>
      </w:r>
      <w:r>
        <w:rPr>
          <w:rFonts w:ascii="Arial" w:cs="Arial" w:eastAsia="Arial" w:hAnsi="Arial"/>
          <w:sz w:val="18"/>
          <w:szCs w:val="18"/>
          <w:color w:val="auto"/>
        </w:rPr>
        <w:t>. Management determines the appropriate classification of its investments at the time of purchase and reevaluates such determinations at each balance sheet date.</w:t>
      </w:r>
    </w:p>
    <w:p>
      <w:pPr>
        <w:spacing w:after="0" w:line="18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Company has classified all of its debt securities and certificates of deposit as available-for-sale securities. Available-for-sale securities are carried at fair value, with the unrealized gains and losses reported in accumulated other comprehensive loss in shareholders’ equity. Realized gains and losses on sales of investments are included in interest income and are derived using the specific identification method for determining the cost of securities.</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amortized cost of debt securities is adjusted for amortization of premiums and accretion of discounts to maturity. Such amortization together with interest and dividends on securities are included in interest income.</w:t>
      </w:r>
    </w:p>
    <w:p>
      <w:pPr>
        <w:spacing w:after="0" w:line="170"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The Company recognizes an impairment charge when a decline in the fair value of its investments in debt securities below the amortized cost basis of such securities is judged to be other-than-temporarily impaired. Factors considered in making such a determination include the duration and severity of the impairment, the reason for the decline in value, the potential recovery period and if the entity has the intent to sell the security, or if it is more likely than not that it will be required to sell the security before recovery of its amortized cost basis. The Company did not recognize any other-than-temporary impairment charges on its marketable securities during the year ended December 31, 2017. The Company held no available-for-sale securities as of December 31, 2018.</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Fair value is defined as the exit price, or the amount that would be received to sell an asset or paid to transfer a liability in an orderly transaction between market participants as of the measurement date. A hierarchy has been established for inputs used in measuring fair value that maximizes the use of observable inputs and minimizes the use of unobservable inputs by requiring that the most observable inputs be used when available (Note 5).</w:t>
      </w:r>
    </w:p>
    <w:p>
      <w:pPr>
        <w:spacing w:after="0" w:line="14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Observable inputs are inputs market participants would use in valuing the asset or liability developed based on market data obtained from sources independent of the Company. Unobservable inputs are inputs that reflect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Company’s assumptions about the factors market participants would use in valuing the asset or liability developed based upon the best information available under the circumstances. The hierarchy consists of three levels. Level 1 inputs are quoted prices (unadjusted) in active markets for identical assets or liabilities. 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 Level 3 inputs are unobservable inputs for the asset or liability. Categorization within the valuation hierarchy is based upon the lowest level of input that is significant to the fair value measurement.</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Accounts receivable are recorded at the net invoice value and are non-interest bearing. The Company considers receivables past due based on the contractual payment terms. The Company reserves specific receivables if collectability is no longer reasonably assured. Estimates for allowances for doubtful accounts are determined based on existing contractual obligations, historical payment patterns, and individual customer circumstances. The Company reevaluates such reserves on a regular basis and adjusts its reserves as needed. Once a receivable is deemed to be uncollectible, such balance is charged against the reserve. No reserves have been recorded as of December 31, 2018 or 2017.</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17"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of cash, cash equivalents and short-term investments. The Company limits its exposure to credit loss by placing its cash, cash equivalents, and investments with high credit quality financial institutions in instruments with short maturities.</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There was one customer that comprised 96% of the total accounts receivable balance at December 31, 2018 and one customer that comprised the total accounts receivable balance at December 31, 2017.</w:t>
      </w:r>
    </w:p>
    <w:p>
      <w:pPr>
        <w:spacing w:after="0" w:line="170"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For the year ended December 31, 2018, the Company’s top three customers collectively represented 80% of the Company’s total revenue. For the year ended December 31, 2017, there were three customers that collectively represented 92% of the Company’s total revenue.</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Intangible Assets Held for Sale and Equity Method Investment</w:t>
      </w:r>
    </w:p>
    <w:p>
      <w:pPr>
        <w:spacing w:after="0" w:line="11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At the end of the second quarter of 2018, the Company completed the sale of its intangible assets related to the ADAIR technology, which was accounted for as an intangible asset held for sale as of December 31, 2017. Pursuant to the asset purchase agreement for ADAIR, the Company received a 30% ownership interest in the common stock of a privately held company in consideration for the sale of the ADAIR technology. As this ownership interest is greater than 20% and one executive of the Company holds a seat on the investee’s board of directors, the Company has the ability to exercise significant influence over the operating and financial policies of this investee; therefore, the Company accounts for this investment as an equity method investment. The Company has no requirement to invest further in this private company and the ownership percentage may be diluted in the future. The Company will account for this investment as an equity method investment until the investment no longer meets the definition of an equity method investment.</w:t>
      </w:r>
    </w:p>
    <w:p>
      <w:pPr>
        <w:spacing w:after="0" w:line="192"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The Company accounts for its share of the earnings or losses of the investee with a reporting lag of three months beginning the third quarter of 2018, as the financial statements of the investee are not completed on a basis that is sufficient for the Company to apply the equity method on a current basis. The Company has recorded $0.3 million of its share of losses of the investee as of December 31, 2018.</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80"/>
          </w:cols>
          <w:pgMar w:left="240" w:top="460"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Property and equipment are stated at cost, net of accumulated depreciation and amortization. The cost of property and equipment is depreciated or amortized using the straight-line method over the respective useful lives of the assets, ranging from three to five years. Leasehold improvements are amortized using the straight-line method over the shorter of the estimated useful life of the asset or the lease term. Long-lived assets, including property and equipment are reviewed for impairment whenever events or circumstances indicate that the carrying amount of these assets may not be recoverable. The determinants used for this evaluation include management’s estimate of the asset’s ability to generate positive income from operations and positive cash flow in future periods, as well as the strategic significance of the assets to the Company’s business objectives. The Company did not recognize any impairment losses for the years ended December 31, 2018 or 2017.</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Comprehensive Income/Loss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Comprehensive income/loss is defined as the change in shareholders’ equity during a period from transactions and other events and circumstances from non-owner sources. Comprehensive loss represents unrealized losses on the Company’s marketable securities. The income tax effect related to unrealized losses was immaterial for December 31, 2018 or 2017.</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The Company recognizes revenue when each of the following four criteria is met: (i) persuasive evidence of an arrangement exists; (ii) products are delivered or as services are rendered; (iii) the sales price is fixed or determinable; and (iv) collectability is reasonably assured.</w:t>
      </w:r>
    </w:p>
    <w:p>
      <w:pPr>
        <w:spacing w:after="0" w:line="147"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Multiple-element arrangements may include (i) grants of licenses, or options to obtain licenses, to intellectual property, (ii) research and development services, (iii) participation on joint research or joint development committees, or (iv) manufacturing or supply services. Payments the Company may receive under these arrangements typically include one or more of the following: non-refundable upfront license fees, option exercise fees, funding of research or development efforts, amounts due upon the achievement of specified objectives, or royalties on future product sales.</w:t>
      </w:r>
    </w:p>
    <w:p>
      <w:pPr>
        <w:spacing w:after="0" w:line="154"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Multiple-element arrangements require the separability of deliverables included in an arrangement into different units of accounting and the allocation of arrangement consideration to the units of accounting. The evaluation of multiple-element arrangements requires management to make judgments about (i) the identification of deliverables, (ii) whether such deliverables are separable from the other aspects of the contractual relationship, (iii) the estimated selling price of each deliverable, and (iv) the expected period of performance for each deliverable.</w:t>
      </w:r>
    </w:p>
    <w:p>
      <w:pPr>
        <w:spacing w:after="0" w:line="17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To determine the units of accounting under a multiple-element arrangement, management evaluates certain separation criteria, including whether the deliverables have stand-alone value, based on the relevant facts and circumstances for each arrangement. Management then estimates the selling price for each unit of accounting and allocates the arrangement consideration to each unit using the relative selling price method. The allocated consideration for each unit of accounting is recognized based on the method most appropriate for that unit of account and in accordance with the revenue recognition criteria detailed above.</w:t>
      </w:r>
    </w:p>
    <w:p>
      <w:pPr>
        <w:spacing w:after="0" w:line="188"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If there are deliverables in an arrangement that are not separable from other aspects of the contractual relationship, they are treated as a combined unit of accounting, with the allocated revenue for the combined unit recognized in a manner consistent with the revenue recognition applicable to the final deliverable in the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80"/>
          </w:cols>
          <w:pgMar w:left="240" w:top="460"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combined unit. Payments received prior to satisfying the relevant revenue recognition criteria are recorded as deferred revenue in the accompanying consolidated balance sheets and recognized as revenue when the related revenue recognition criteria are met.</w:t>
      </w:r>
    </w:p>
    <w:p>
      <w:pPr>
        <w:spacing w:after="0" w:line="17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Most of the collaboration agreements provide for non-refundable milestone payments. The Company recognizes revenue that is contingent upon the achievement of a substantive milestone in its entirety in the period in which the milestone is achieved. A milestone is considered substantive when the consideration payable to the Company for such milestone (i) is consistent with its performance necessary to achieve the milestone or the increase in value to the collaboration resulting from its performance, (ii) relates solely to its past performance and (iii) is reasonable relative to all of the other deliverables and payments within the arrangement. In making this assessment, management considers all facts and circumstances relevant to the arrangement, including factors such as the scientific, regulatory, commercial and other risks that must be overcome to achieve the milestone, the level of effort and investment required to achieve the milestone and whether any portion of the milestone consideration is related to future performance or deliverables.</w:t>
      </w:r>
    </w:p>
    <w:p>
      <w:pPr>
        <w:spacing w:after="0" w:line="192"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Management periodically reviews the estimated performance periods under the collaboration agreements, which provide for non-refundable upfront payments and fees. Management adjusted the periods over which revenue was recognized when appropriate to reflect changes in assumptions relating to the estimated performance periods. In the first quarter of 2019, the Company will adopt new accounting guidance that will change future patterns of revenue recognition.</w:t>
      </w:r>
    </w:p>
    <w:p>
      <w:pPr>
        <w:spacing w:after="0" w:line="18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Company records revenues related to the reimbursement of costs incurred under the collaboration agreements where it acts as a principal, controls the research or development activities and bears credit risk. Under its collaboration agreements, the Company is reimbursed for associated out-of-pocket costs and for a certain amounts of full-time equivalent, or FTE, costs based on an agreed-upon FTE rate. The gross amount of these pass-through reimbursed costs is reported as revenue in the accompanying consolidated statements of operations and comprehensive loss, while the actual expenses for which the Company is reimbursed are reflected as research and development costs.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Costs, net</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Research and development costs are expensed as incurred. These expenses result from the Company’s independent research and development efforts as well as efforts associated with collaboration arrangements. Research and development costs include salaries and personnel-related costs, consulting fees, fees paid for contract research and manufacturing services, the costs of laboratory supplies, equipment and facilities and other external costs are shown net of any grants.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Company recognizes share-based compensation for equity awards granted to employees, officers, and directors as an expense on the statements of operations. Share-based compensation is recognized over the requisite service period of the individual awards using the straight-line attribution method, which generally equals the vesting period. Share options have a ten-year life and generally vest 25% on the first anniversary of the grant and in 1/48th equal installments on each monthly anniversary thereafter, such that options are fully vested on the four-year anniversary of the date of grant.</w:t>
      </w:r>
    </w:p>
    <w:p>
      <w:pPr>
        <w:spacing w:after="0" w:line="18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fair value of share options is estimated using a Black-Scholes valuation model on the date of grant. This method requires certain assumptions be used as inputs, such as the fair value of the underlying common shares,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80"/>
          </w:cols>
          <w:pgMar w:left="240" w:top="460"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expected term of the option before exercise, expected volatility of the Company’s Ordinary Shares, expected dividend yield, and a risk-free interest rate. The Company has limited historical share option activity and therefore estimates the expected term of share options granted using the simplified method, which represents the average of the contractual term of the share option and its weighted-average vesting period. The expected volatility of share options is based upon the historical volatility of a peer group of publicly traded companies. The Company has not declared or paid any dividends and do not currently expect to do so in the foreseeable future. The risk-free interest rates used are based on the implied yield currently available in United States Treasury securities at maturity with a term equivalent to the expected term of the share options. The effect of forfeited awards is recorded when the forfeiture occurs.</w:t>
      </w:r>
    </w:p>
    <w:p>
      <w:pPr>
        <w:spacing w:after="0" w:line="189"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Share-based awards granted to non-employees are remeasured at each reporting date and compensation costs are recognized as services are rendered, generally on a straight-line basis. The Company believes that the fair value of these awards is more reliably measurable than the fair value of the services rendered. There were no share-based awards granted to non-employees during 2018 and 2017.</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Ordinary Shares Valuation</w:t>
      </w:r>
    </w:p>
    <w:p>
      <w:pPr>
        <w:spacing w:after="0" w:line="117"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color w:val="auto"/>
        </w:rPr>
        <w:t>Prior to the merger and due to the absence of an active market for the Company’s ordinary shares, the Company utilized third-party valuations which utilized methodologies in accordance with the framework of the American Institute of Certified Public Accountants Technical Practice Aid, Valuation of Privately-Held Company Equity Securities Issued as Compensation, to estimate the fair value of its Ordinary Shares.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consolidated balance sheets to the total of the same such amounts shown in the consolidated statement of cash flows: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780" w:type="dxa"/>
            <w:vAlign w:val="bottom"/>
            <w:gridSpan w:val="4"/>
          </w:tcPr>
          <w:p>
            <w:pPr>
              <w:ind w:left="2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11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$36,709</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$24,965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Non-current Restricted cash</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gridSpan w:val="2"/>
          </w:tcPr>
          <w:p>
            <w:pPr>
              <w:spacing w:after="0"/>
              <w:rPr>
                <w:sz w:val="20"/>
                <w:szCs w:val="20"/>
                <w:color w:val="auto"/>
              </w:rPr>
            </w:pPr>
            <w:r>
              <w:rPr>
                <w:rFonts w:ascii="Arial" w:cs="Arial" w:eastAsia="Arial" w:hAnsi="Arial"/>
                <w:sz w:val="18"/>
                <w:szCs w:val="18"/>
                <w:color w:val="auto"/>
              </w:rPr>
              <w:t>Total cash, cash equivalents and restricted cash shown in the statement of cash</w:t>
            </w:r>
          </w:p>
        </w:tc>
        <w:tc>
          <w:tcPr>
            <w:tcW w:w="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flows</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36,816</w:t>
            </w: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Income taxes are accounted for using an asset and liability approach that requires the recognition of deferred tax assets and liabilities for the expected future tax consequences of temporary differences between the financial reporting basis and the tax basis of the Company’s assets and liabilities at the applicable tax rates, along with net operating loss and tax credit carryovers. The Company records a valuation allowance against its deferred tax assets to reduce the net carrying value to an amount that it believes is more likely than not to be realized. Management has considered estimated taxable income and ongoing prudent and feasible tax planning strategies in assessing the amount of the valuation allowance. Based upon the weight of available evidence, which includes the Company’s historical operating performance and limited potential to utilize tax credit carryforwards, the Company has determined that total deferred tax assets should be fully offset by a valuation allowance. When the Company establishes or reduces the valuation allowance against its deferred tax assets, its provision for income taxes will increase or decrease, respectively, in the period such determination is made.</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The Company is required to file federal and state income tax returns in the United States and various other state jurisdictions. The Company also files income tax returns in the foreign countries in which it operates. The preparation of these income tax returns requires the Company to interpret the applicable tax laws and regulations in effect in such jurisdictions, which could affect the amount of tax paid by the Company.</w:t>
      </w:r>
    </w:p>
    <w:p>
      <w:pPr>
        <w:spacing w:after="0" w:line="147"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Additionally, the Company follows an accounting standard addressing the accounting for uncertainty in income taxes that prescribes rules for recognition, measurement, and classification in the consolidated financial statements of tax positions taken or expected to be taken in a tax return.</w:t>
      </w:r>
    </w:p>
    <w:p>
      <w:pPr>
        <w:spacing w:after="0" w:line="124"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Tax Cuts and Jobs Act (the Act) was enacted on December 22, 2017 resulting in significant modifications to existing law. The Company follows the guidance of Staff Accounting Bulletin (SAB) 118, which provides additional clarification regarding the application of ASC 740 in situations where the Company does not have the necessary information available, prepared or analyzed in reasonable detail to complete the accounting for certain income tax effects of the Act for the reporting period in which the Act was enacted. SAB 118 provides for a measurement period beginning in the reporting period that includes the Act’s enactment and ending when the Company has obtained, prepared and analyzed the information needed in order to complete the accounting requirements, but in no circumstances should the measurement period extend beyond one year from the enactment date.</w:t>
      </w:r>
    </w:p>
    <w:p>
      <w:pPr>
        <w:spacing w:after="0" w:line="16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Company has completed its analysis of the Act’s income tax effects. In total, the Company recorded $2.4 million related to the remeasurement of deferred tax assets which was fully offset by a corresponding decrease in the valuation allowance.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Basic net loss per share is calculated by dividing the net loss by the weighted-average number of ordinary shares outstanding for the period, without consideration for ordinary share equivalents. Diluted net loss per share is calculated by dividing the net loss by the weighted-average number of ordinary shares and dilutive ordinary share equivalents outstanding for the period determined using the treasury-stock method. Dilutive ordinary shares for the year ended December 31, 2018 are comprised of share options. For the year ended December 31, 2017, dilutive ordinary shares are comprised of options, convertible preferred stock, convertible notes, and warrants.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dividends were declared or paid during the reported periods.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200" w:right="360" w:firstLine="441"/>
        <w:spacing w:after="0" w:line="291" w:lineRule="auto"/>
        <w:rPr>
          <w:sz w:val="20"/>
          <w:szCs w:val="20"/>
          <w:color w:val="auto"/>
        </w:rPr>
      </w:pPr>
      <w:r>
        <w:rPr>
          <w:rFonts w:ascii="Arial" w:cs="Arial" w:eastAsia="Arial" w:hAnsi="Arial"/>
          <w:sz w:val="16"/>
          <w:szCs w:val="16"/>
          <w:color w:val="auto"/>
        </w:rPr>
        <w:t xml:space="preserve">In May 2014, the Financial Accounting Standards Board (FASB) amended the existing Accounting Standards Update (ASU) for revenue recognition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which outlines a comprehensive revenue recognition model and supersedes most current revenue recognition guidance. ASU 2014-09 outlines a five-step process for revenue recognition that focuses on transfer of control, as opposed to transfer of risk and rewards, and also requires enhanced disclosures regarding the nature, amount, timing and uncertainty of revenues and cash flows from contracts with customers. Major provisions include determining which goods and services are distinct and require separate accounting (performance obligations), how variable consideration (which may include change orders and claims) is recognized, whether revenue should be recognized at a point in time or over time and ensuring the time value of money is considered in the transaction price.</w:t>
      </w:r>
    </w:p>
    <w:p>
      <w:pPr>
        <w:spacing w:after="0" w:line="16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FASB subsequently issued amendments to ASU No. 2014-09 that have the same effective date and transition date. These new standards will become effective for the Company on January 1, 2019. The Company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will implement the new guidance using the modified retrospective approach. The Company has performed a review of these new standards as compared to its current accounting policies for collaborative relationships. The Company is evaluating the impact of the new standard on historical revenue recorded for its collaboration agreements. This ongoing evaluation is dependent upon the resolution of certain questions relating to the application of the new revenue recognition guidance for collaboration agreements which will ultimately determine the impact, if any, the adoption of this standard may have on the consolidated financial statements.</w:t>
      </w:r>
    </w:p>
    <w:p>
      <w:pPr>
        <w:spacing w:after="0" w:line="18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outlines a comprehensive lease accounting model and supersedes the current lease guidance. The new accounting standard requires lessees to recognize lease liabilities and corresponding right-of-use assets for all leases with lease terms of greater than twelve months. It also changes the definition of a lease and expands the disclosure requirements of lease arrangements. The new accounting standard must be adopted using the modified retrospective approach and is effective for entities for annual reporting periods beginning after December 15, 2018, with early adoption permitted.</w:t>
      </w:r>
    </w:p>
    <w:p>
      <w:pPr>
        <w:spacing w:after="0" w:line="18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In July 2018, the FASB issued ASU 2018-11, Leases (Topic 842): </w:t>
      </w:r>
      <w:r>
        <w:rPr>
          <w:rFonts w:ascii="Arial" w:cs="Arial" w:eastAsia="Arial" w:hAnsi="Arial"/>
          <w:sz w:val="16"/>
          <w:szCs w:val="16"/>
          <w:i w:val="1"/>
          <w:iCs w:val="1"/>
          <w:color w:val="auto"/>
        </w:rPr>
        <w:t>Targeted Improvements</w:t>
      </w:r>
      <w:r>
        <w:rPr>
          <w:rFonts w:ascii="Arial" w:cs="Arial" w:eastAsia="Arial" w:hAnsi="Arial"/>
          <w:sz w:val="16"/>
          <w:szCs w:val="16"/>
          <w:color w:val="auto"/>
        </w:rPr>
        <w:t>, provides entities an optional transition method to apply the new guidance as of the adoption date, rather than as of the earliest period presented. In transition, entities may also elect a package of practical expedients that must be applied in its entirety to all leases commencing before the effective date, unless the lease modified, to not reassess (a) the existence of a lease, (b) lease classification or (c) determination of initial direct costs, which effectively allows entities to carryforward accounting conclusions under previous U.S. GAAP. The Company will adopt the standard on January 1, 2019, using the optional transition method to apply the new guidance as of January 1, 2019, rather than as of the earliest period presented, and elect the package of practical expedients described above.</w:t>
      </w:r>
    </w:p>
    <w:p>
      <w:pPr>
        <w:spacing w:after="0" w:line="16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Company expects Topic 842 will have a material effect on its consolidated balance sheet. However, the Company does not expect Topic 842 will have a material effect on its consolidated statements of operations and comprehensive loss or consolidated statements of cash flows. While the Company continues to assess all of the effects of adoption, the most significant effects relate to (1) the recognition of right-of-use (ROU) assets and lease liabilities within a range of approximately $5.5 million to $6.5 million using an assumed incremental borrowing rate of 8.4%, primarily resulting from leases of office and laboratory space; (2) the derecognition of deferred rent of approximately $0.5 million for certain lease incentives received; and (3) significant new disclosure requirements.</w:t>
      </w:r>
    </w:p>
    <w:p>
      <w:pPr>
        <w:spacing w:after="0" w:line="193"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 Improvements to Nonemployee Share-Based Payment Accounting</w:t>
      </w:r>
      <w:r>
        <w:rPr>
          <w:rFonts w:ascii="Arial" w:cs="Arial" w:eastAsia="Arial" w:hAnsi="Arial"/>
          <w:sz w:val="16"/>
          <w:szCs w:val="16"/>
          <w:color w:val="auto"/>
        </w:rPr>
        <w:t>, which amends the FASB Accounting Standards Codification in order to simplify the accounting for share-based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to nonemployees for goods and services. Under the ASU, most of the guidance on such payments to nonemployees will be aligned with the requirements for share-based payments granted to employees. The guidance mandates the modified retrospective approach and is effective for annual and interim reporting periods beginning after December 31, 2018, with early adoption permitted. The Company plans to adopt this guidance in the first quarter of 2019 and does not expect adoption will have a material impact on the Company’s consolidated financial statements.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 xml:space="preserve">Effective January 1, 2017, the Company adopted ASU No. 2017-09 </w:t>
      </w:r>
      <w:r>
        <w:rPr>
          <w:rFonts w:ascii="Arial" w:cs="Arial" w:eastAsia="Arial" w:hAnsi="Arial"/>
          <w:sz w:val="18"/>
          <w:szCs w:val="18"/>
          <w:i w:val="1"/>
          <w:iCs w:val="1"/>
          <w:color w:val="auto"/>
        </w:rPr>
        <w:t>Compensation — Stock Compensation (Topic 718): Scope of 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No. 2017-09). ASU No. 2017-09 provides guidance about which changes to the terms or conditions of a share-based payment award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an entity to apply modification accounting. The Company’s adoption of ASU No. 2017-09 had no impact on the Company’s statements of financial position or results of operations and comprehensive loss.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240" w:top="460"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Restricted Cash</w:t>
      </w:r>
      <w:r>
        <w:rPr>
          <w:rFonts w:ascii="Arial" w:cs="Arial" w:eastAsia="Arial" w:hAnsi="Arial"/>
          <w:sz w:val="18"/>
          <w:szCs w:val="18"/>
          <w:color w:val="auto"/>
        </w:rPr>
        <w:t>, which requires entities to show the changes in the total of cash, cash equivalents, restricted cash and restricted cash equivalents in the statement of cash flows. As a result, entities will no longer present transfers between cash and cash equivalents and restricted cash and restricted cash equivalents in the statement of cash flows. This update is effective for annual periods beginning after December 15, 2017, and interim periods within those fiscal years with early adoption permitted. The Company adopted this pronouncement retrospectively effective in the December 31, 2017 consolidated financial statements. There was no effect on previously reported balances as a result of adoption of the standard.</w:t>
      </w:r>
    </w:p>
    <w:p>
      <w:pPr>
        <w:spacing w:after="0" w:line="193"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805): </w:t>
      </w: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 which clarifies the definition of a business and affects all companies and other reporting organizations that must determine whether they have acquired or sold a business. The amendments are intended to assist with the evaluation of whether transactions should be accounted for as acquisitions (or disposals) of assets or businesses. The guidance is effective for the Company for fiscal years beginning after December 15, 2018, and interim periods within those fiscal years and should be applied prospectively as of the beginning of the period of adoption. Early adoption is permitted under certain circumstances. The Company adopted ASU 2017-01 as of January 1, 2017 and the adoption did not have an impact on the Company’s accounting and disclosures.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Collaboration Revenue</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Company has entered into license agreements and collaborative research and development arrangements with pharmaceutical and biotechnology companies. Under these arrangements, the Company is entitled to receive license fees, upfront payments, milestone payments if and when certain research and development milestones or technology transfer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 of Phase I, II, and III clinical trials, and commercial revenue, milestone or royalty-based, is often tiered based on net or aggregate sale amounts. The Company cannot guarantee the achievement of these milestones and economics due to risks associated with preclinical and clinical activities required for development of nucleic acid medicine-based therapeutics.</w:t>
      </w:r>
    </w:p>
    <w:p>
      <w:pPr>
        <w:spacing w:after="0" w:line="17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following table summarizes the Company’s collaboration revenues for the periods indicated (in thousands). Approximately $5.0 million and $1.0 million of total collaboration revenue represents revenue derived from foreign countries for the years ended December 31, 2018 and 2017, respectively.</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(Dollars in thousands)</w:t>
            </w:r>
          </w:p>
        </w:tc>
        <w:tc>
          <w:tcPr>
            <w:tcW w:w="1960" w:type="dxa"/>
            <w:vAlign w:val="bottom"/>
            <w:vMerge w:val="restart"/>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9"/>
        </w:trPr>
        <w:tc>
          <w:tcPr>
            <w:tcW w:w="1380" w:type="dxa"/>
            <w:vAlign w:val="bottom"/>
            <w:tcBorders>
              <w:bottom w:val="single" w:sz="8" w:color="auto"/>
            </w:tcBorders>
            <w:gridSpan w:val="2"/>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Collaboration Partner — Janssen</w:t>
            </w:r>
          </w:p>
        </w:tc>
        <w:tc>
          <w:tcPr>
            <w:tcW w:w="28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1,232</w:t>
            </w:r>
          </w:p>
        </w:tc>
        <w:tc>
          <w:tcPr>
            <w:tcW w:w="6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Partner — Ultragenyx</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Collaboration Partner — Takeda</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Partner — CureVac</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960" w:type="dxa"/>
            <w:vAlign w:val="bottom"/>
            <w:gridSpan w:val="2"/>
          </w:tcPr>
          <w:p>
            <w:pPr>
              <w:jc w:val="right"/>
              <w:ind w:right="1865"/>
              <w:spacing w:after="0"/>
              <w:rPr>
                <w:sz w:val="20"/>
                <w:szCs w:val="20"/>
                <w:color w:val="auto"/>
              </w:rPr>
            </w:pPr>
            <w:r>
              <w:rPr>
                <w:rFonts w:ascii="Arial" w:cs="Arial" w:eastAsia="Arial" w:hAnsi="Arial"/>
                <w:sz w:val="18"/>
                <w:szCs w:val="18"/>
                <w:color w:val="auto"/>
              </w:rPr>
              <w:t>F-17</w:t>
            </w: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paragraphs provide information on the nature and purpose of these collaboration arrangements.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Collaboration Partner — Janssen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Janssen 2015 Agreements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2015 the Company entered into two agreements with Janssen. The primary focus of the collaboration is to develop nucleic acid therapeutics for Hepatitis B (HBV). The Company analyzed the form and substance of both of the agreements and concluded they should be evaluated as a single arrangement for accounting purposes. Upon execution of the agreements, the Company received an upfront payment of $2.0 million which was amortized over the estimated research and development period.</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Under the 2015 agreements, the Company recognized revenue of $4.9 million during the year ended December 31, 2017. The revenue recognized as of December 31, 2017 included labor and expense reimbursements of $4.4 million with the remaining revenue representing the amortized portion of the upfront fee and milestone payment. During the quarter ended September 30, 2017, the 2015 agreement was terminated, and the remaining unamortized upfront payment was recognized as of September 30, 2017.</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Janssen 2017 Agreement</w:t>
      </w:r>
    </w:p>
    <w:p>
      <w:pPr>
        <w:spacing w:after="0" w:line="117"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In late-2017, the Company and Janssen entered into a new agreement. The Company reviewed the timing and nature of the arrangement upon the signing of the new agreement and determined that it was not linked to the prior agreements and should be considered as a standalone agreement.</w:t>
      </w:r>
    </w:p>
    <w:p>
      <w:pPr>
        <w:spacing w:after="0" w:line="124"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2017 collaboration agreement allocated discovery, development, funding obligations, and ownership of related intellectual property among the Company and Janssen. The Company received an upfront payment of $7.7 million and may receive preclinical, development and sales milestone payments of $56.5 million, as well as royalty payments on any future licensed product sales. Janssen will reimburse the Company for research costs at a future defined period upon the achievement of the first research milestone. Janssen may also pay option exercise fees within the $1.0 million to</w:t>
      </w:r>
    </w:p>
    <w:p>
      <w:pPr>
        <w:spacing w:after="0" w:line="2"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$5.0 million range per target. Janssen will pay royalties on annual net sales of licensed products in the low to mid-single digits range, subject to reduction on a country-by-country and licensed-product-by-licensed-product basis and subject to certain events, such as expiration of program patents. In addition, the collaboration includes an exclusivity period.</w:t>
      </w:r>
    </w:p>
    <w:p>
      <w:pPr>
        <w:spacing w:after="0" w:line="190"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As the license component of the contract has no standalone value, the license and the research and development activities, exclusivity, and joint steering committee obligations under this agreement should be considered as a single unit of accounting in the arrangement. The upfront fee of</w:t>
      </w:r>
    </w:p>
    <w:p>
      <w:pPr>
        <w:ind w:left="200" w:right="140"/>
        <w:spacing w:after="0" w:line="281" w:lineRule="auto"/>
        <w:rPr>
          <w:sz w:val="20"/>
          <w:szCs w:val="20"/>
          <w:color w:val="auto"/>
        </w:rPr>
      </w:pPr>
      <w:r>
        <w:rPr>
          <w:rFonts w:ascii="Arial" w:cs="Arial" w:eastAsia="Arial" w:hAnsi="Arial"/>
          <w:sz w:val="16"/>
          <w:szCs w:val="16"/>
          <w:color w:val="auto"/>
        </w:rPr>
        <w:t>$7.7 million is being deferred and recognized as revenue using the proportional performance method as the Company determined that the deliverables are fulfilled in a pattern other than straight-line due to the structure and nature of the collaborative arrangement. Total deferred revenue as of December 31, 2018 and December 31, 2017 for Janssen was $6.5 million and $7.6 million, respectively. The Company recognized revenue of</w:t>
      </w:r>
    </w:p>
    <w:p>
      <w:pPr>
        <w:spacing w:after="0" w:line="2" w:lineRule="exact"/>
        <w:rPr>
          <w:sz w:val="20"/>
          <w:szCs w:val="20"/>
          <w:color w:val="auto"/>
        </w:rPr>
      </w:pPr>
    </w:p>
    <w:p>
      <w:pPr>
        <w:ind w:left="200" w:right="480"/>
        <w:spacing w:after="0" w:line="290" w:lineRule="auto"/>
        <w:rPr>
          <w:sz w:val="20"/>
          <w:szCs w:val="20"/>
          <w:color w:val="auto"/>
        </w:rPr>
      </w:pPr>
      <w:r>
        <w:rPr>
          <w:rFonts w:ascii="Arial" w:cs="Arial" w:eastAsia="Arial" w:hAnsi="Arial"/>
          <w:sz w:val="17"/>
          <w:szCs w:val="17"/>
          <w:color w:val="auto"/>
        </w:rPr>
        <w:t>$1.2 million and $0.1 million for the years ended December 31, 2018 and 2017, respectively. The revenue recognized included labor and expense reimbursements of a negligible amount with the remaining revenue representing the recognized portion of the upfront fee.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Collaboration Partner — Ultragenyx</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In 2015 the Company entered into an agreement with Ultragenyx. During the initial phase of the collaboration, the Company will design and optimize therapeutics for certain rare disease targets. Ultragenyx has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60"/>
          </w:cols>
          <w:pgMar w:left="240" w:top="460" w:right="4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option to add additional rare disease targets during the collaborative development period. Additionally, during the collaborative development period, the Company will participate with Ultragenyx in a joint steering committee. In addition, the collaboration includes an initial exclusivity period and an option to extend this period.</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For each program, Ultragenyx will reimburse the Company for all internal and external development costs incurred and if Ultragenyx achieves certain, clinical, regulatory and sales milestones, then the Company is eligible to receive additional payments.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As part of the agreement, Ultragenyx paid an upfront fee and agreed to certain research and development funding obligations. The Company is also entitled to certain additional payments upon exercise of the Ultragenyx expansion option and/or exclusivity extension (if any), and for costs incurred by the Company in conducting the activities assigned under each collaboration development plan. In addition, on a development target-by-development target basis during the two-year period from the effective date of contract, Ultragenyx will pay the Company a one-time milestone payment after the first optimized lead designation for the first product with respect of such development target. For each development target for which Ultragenyx exercises its option, Ultragenyx will pay the Company a one-time option exercise fee within the $2.0 million to $5.0 million range per development target. In 2018, the Company signed an amendment with Ultragenyx, that may reduce milestone payments dependent on whether the Company does not incorporate a predefined chemistry methodology to increase mRNA half-life.</w:t>
      </w:r>
    </w:p>
    <w:p>
      <w:pPr>
        <w:spacing w:after="0" w:line="179"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agreement included potential milestone payments for selected targets from Ultragenyx to the Company. The current potential milestone payment for the remaining target as of December 31, 2018 is $69.5 million. Ultragenyx will pay royalties as a percentage of net sales on a product-by-product and country-by-country basis during the applicable royalty term up to and including double digits. As of December 31, 2018, the Company has not yet reached the clinical phase of the contract.</w:t>
      </w:r>
    </w:p>
    <w:p>
      <w:pPr>
        <w:spacing w:after="0" w:line="18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Company concluded that the license, research and development activities, exclusivity, and joint steering committee obligations under this agreement should be considered a single unit of accounting in the arrangement, and the upfront fee of $10 million is being deferred and recognized as revenue over the same period as the estimated research activities. As of December 31, 2018, the amortization period is currently expected to end on March 31, 2019.</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During 2017, the Company entered into an amendment with Ultragenyx to add one year to the exclusivity period for the reserved targets, in consideration for a one-time payment of $2.0 million. The extension of the exclusivity period did not change the length of the research and development period. Further, the amendment allows Ultragenyx the opportunity to review and comment on its filings and prosecution efforts of pending Company patents that relate to Ultragenyx chemistry. Since the Company’s deliverables under the agreement are considered a single unit of accounting, the payment consideration was added to the unamortized portion of the upfront signing fee and is being recognized systematically, on a straight-line basis, over the remainder of the period that the research and development services are expected to occur. During the fourth quarter of 2018, Ultragenyx extended the exclusivity on a specified number of reserved targets for an additional year with an annual reserve target list maintenance fee. This extension fee was deferred and will be recognized on a straight-line basis over the one-year exclusivity period. Total deferred revenue as of December 31, 2018 and December 31, 2017 for Ultragenyx was $2.7 million and $5.8 million, respectively.</w:t>
      </w:r>
    </w:p>
    <w:p>
      <w:pPr>
        <w:spacing w:after="0" w:line="167"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The Company recognized revenue for Ultragenyx of $6.8 million and $5.6 million during the years ended December 31, 2018 and 2017, respectively. The revenue recognized included labor and expense reimbursements of $2.3 million and $3.7 million for the years ended December 31, 2018 and 2017, respectively, with the remaining revenue representing the amortized portion of the upfront fee on the arrangement.</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80"/>
          </w:cols>
          <w:pgMar w:left="240" w:top="460"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Collaboration Partner — Takeda</w:t>
      </w:r>
    </w:p>
    <w:p>
      <w:pPr>
        <w:spacing w:after="0" w:line="117"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In 2016 the Company entered into a contract with Millennium Pharmaceuticals, Inc., a wholly owned subsidiary of Takeda Pharmaceutical Company Limited (“Takeda”) to perform certain discovery and development of RNA medicines for treatment of nonalcoholic fatty liver disease (NASH). The agreement provided a non-exclusive license of the Company’s technology to Takeda for the 18 month research program term. As part of the agreement, Takeda paid an upfront fee of $0.1 million upon contract execution and agreed to provide the Company with funding for the discovery and development costs. The Company concluded that the research funding, exclusivity and license fees were to be accounted for as a single unit of accounting and the upfront license fees were deferred and recognized as revenue over the same period as the initial research program term. In 2017, the Company and Takeda amended the agreement to extend the research program scope and term through December 20, 2018.</w:t>
      </w:r>
    </w:p>
    <w:p>
      <w:pPr>
        <w:spacing w:after="0" w:line="16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amended agreement provided for $3.7 million in regularly scheduled research funding payments through 2018. The scheduled fees paid are contractually refundable to Takeda if unearned by the Company. As noted above, the agreement ended during December of 2018 in accordance with the contractually agreed upon research term.</w:t>
      </w:r>
    </w:p>
    <w:p>
      <w:pPr>
        <w:spacing w:after="0" w:line="18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On March 8, 2019, the Company entered into a Research Collaboration Agreement with Takeda for the purpose of designing, optimizing and manufacturing LUNAR-formulated mRNA Therapeutics. The Company recognized revenue from Takeda of $1.1 million and $1.4 million for the years ended December 31, 2018 and 2017, respectively. The revenue recognized includes expense reimbursements that are recognized as revenue when incurred as per the terms of the agreement and milestone payments. The Company is currently in negotiations with Takeda to potentially begin a new program with the intent for these remaining funds to be spent on additional workplans, resources and activities performed by Arcturus as part of the collaboration.</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Collaboration Partner — CureVac</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In January 2018, the Company entered into a Development and Option Agreement with CureVac, (the “Development and Option Agreement”). Under the terms of the Development and Option Agreement, the parties have agreed to conduct joint preclinical development programs once CureVac makes a payment to pull down a target on the basis of which CureVac is granted options for taking a license on pre-agreed license terms to develop and commercialize certain products incorporating the Company’s patents and know-how related to delivery systems based on or incorporating lipid-mediated delivery systems (including the LUNAR</w:t>
      </w:r>
      <w:r>
        <w:rPr>
          <w:rFonts w:ascii="Arial" w:cs="Arial" w:eastAsia="Arial" w:hAnsi="Arial"/>
          <w:sz w:val="13"/>
          <w:szCs w:val="13"/>
          <w:color w:val="auto"/>
        </w:rPr>
        <w:t>®</w:t>
      </w:r>
      <w:r>
        <w:rPr>
          <w:rFonts w:ascii="Arial" w:cs="Arial" w:eastAsia="Arial" w:hAnsi="Arial"/>
          <w:sz w:val="16"/>
          <w:szCs w:val="16"/>
          <w:color w:val="auto"/>
        </w:rPr>
        <w:t xml:space="preserve"> platform) (the “Arcturus LMD Technology”), and CureVac patents and know-how related to mRNA technology. Subject to certain restrictions, the parties will have an undivided one-half interest in the patents and know-how developed jointly by the parties during the course of the Development and Option Agreement. Pursuant to the terms of the Development and Option Agreement, CureVac will have a number of target options to co-develop from a reserved target list to enter into licenses under the Arcturus LMD Technology with respect to the development, manufacture and commercialization of licensed products (which can include products identified for development by the Company unless the Company is permitted by the terms of the Development and Option Agreement to place such products on a restricted list). A separate notice and fee will be required for each license agreement. If the target to which the license agreement relates is chosen by the parties for co-development under the Co-Development Agreement (which is defined below and discussed in the following paragraph) the license agreement will terminate as such programs will be covered under the Co-Development Agreement discussed below, and therefore CureVac will be given a credit for any exercise fees, milestone payments already paid and all other payments made in relation to the license agreement towards future such payments incurred with respect to future licenses under the Arcturus LMD Technology. Pursuant to a May 2018 amendment to the Development and Option Agreement (which was amended and restated on September 28, 2018), the Company increased the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number of targets available to CureVac under the Development and Option Agreement and agreed upon the license forms to be executed upon selection of the targets by CureVac.</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Concurrently with the Development and Option Agreement, the Company entered into a Co-Development and Co-Commercialization Agreement (the “Co-Development Agreement”). Under the terms of such agreement, the parties will collaborate to develop and commercialize mRNA-based products for treating ornithine transcarbamylase (“OTC”) deficiency, incorporating CureVac’s mRNA technology, the Company’s mRNA technology and the Arcturus LMD Technology. The overall collaboration with CureVac was managed by a joint steering committee. The parties also have the option to co-develop two mRNA programs for CureVac and one mRNA program for the Company that are not included on the target escrow list. All costs incurred from the Co-Development Agreement will be shared equally by the Company and CureVac, and any costs incurred by the Company in excess of CureVac will be divided evenly and recognized as revenue. The Company recognized $3.3 million of collaboration revenue related to the Co-Development Agreement as of December 31, 2018.</w:t>
      </w:r>
    </w:p>
    <w:p>
      <w:pPr>
        <w:spacing w:after="0" w:line="179"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Company concluded that the contracts should be accounted for on a combined basis due to their being negotiated and signed concurrently as well as the interoperability between the two agreements, and that the research and development activities, exclusivity, license fees, governance and reserve target rights were to be accounted for as a single unit of accounting and the upfront license fees of $5.0 million were deferred and recognized as revenue over the eight-year research program period. Further, the Company concluded that the options granted to CureVac are substantive and are to be evaluated as a separate arrangement and not a deliverable of the original arrangement since the option is at the sole election of the customer and due to the fact that the exercise price for the option is reasonable in comparison to other payments in the arrangement. Total deferred revenue as of December 31, 2018 was $4.4 million under the Development and Option Agreement. The Company recognized revenue from CureVac under both agreements of $4.4 million for the year ended December 31, 2018. The revenue recognized included labor and expense reimbursements of $3.8 million for the year ended December 31, 2018, with the remaining revenue representing the amortized portion of the upfront fee under the Development and Option Agreement.</w:t>
      </w:r>
    </w:p>
    <w:p>
      <w:pPr>
        <w:spacing w:after="0" w:line="178"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On February 11, 2019, the Company announced the termination of the obligations of CureVac under the Co-Development Agreement, effective 180 days from February 5, 2019 and the re-assumption by the Company of the worldwide rights thereto. Arcturus will reassume 100% global rights for its flagship asset, clinical development candidate ARCT-810, a messenger RNA (mRNA) drug to treat OTC deficiency. ARCT-810 was previously subject to equal cost sharing between Arcturus and CureVac under the Co-Development Agreement. CureVac elected not to continue its obligations for the preclinical development of ARCT-810 under and pursuant to the terms of the agreement.</w:t>
      </w:r>
    </w:p>
    <w:p>
      <w:pPr>
        <w:spacing w:after="0" w:line="173"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Pursuant to the terms of the Co-Development Agreement, CureVac is obligated to continue to fund its share of the preclinical expenses for the OTC program until August of 2019.</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Other Collaboration Agreements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Company entered into several other smaller agreements and recorded revenue and deferred revenue consistently with the revenue recognition practices described in the significant accounting policies footnote. The total revenue of $2.2 million from other smaller agreements was primarily related to a Research and Exclusive License Agreement with Synthetic Genomics, Inc. (“SGI”) which the Company entered into during the fourth quarter of 2017. Under the agreement, the Company granted SGI an exclusive license for the Arcturus LMD Technology to research, develop and sell products for diseases excluding all respiratory disease viruses other than influenza. Revenue related to this agreement is made up of labor reimbursements and sublicense revenue. The sublicense revenue is calculated as a percentage of all cash payments received by SGI from any sublicense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for a LUNAR product, in the mid 10% to 20% range, less payments made to third parties to obtain the right to practice intellectual property used to develop or necessary to make, use, or sell all or part of licensed LUNAR product. Under certain circumstances, the Company will be owed a percentage ranging from 5% to 10% of amounts received by SGI should they enter into agreements. Additionally, in order to maintain exclusive rights, SGI must achieve certain specified sublicense milestones or pay the Company annual exclusivity maintenance fees. As part of the agreement, SGI paid an upfront fee of $0.2 million upon contract execution which is creditable against any payments to Arcturus. Therefore, the upfront fee was fully deferred upon the receipt of funds. The Company recognized $1.4 million of labor reimbursement and sublicense revenue as of December 31, 2018.</w:t>
      </w:r>
    </w:p>
    <w:p>
      <w:pPr>
        <w:spacing w:after="0" w:line="165"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The remaining revenue from smaller collaboration agreements primarily relates to the agreement with Providence Therapeutics, Inc. (“Providence”), a related party. Under this agreement, the Company recognized revenue of $0.6 million from amortization of an upfront payment, labor reimbursements, and out-of-pocket cost reimbursements. See Note 14 Related Party Transactions for further details of the Providence agreement.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Short-term Investments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2017, the Company’s short-term investments consisted of short-term bank deposits and marketable securities totaling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$23.6 million. The balance of investments as of December 31, 2017 included bank deposits of $15.0 million with maturities of more than three months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but less than one year as well as short-term deposits stated at cost which approximated market value. As of December 31, 2017, the Company’s short-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term bank deposits bore interest at a weighted average annual interest rate of 1.6%. During 2018, all short-term bank deposits were liquidated.</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There were no short-term investments as of December 31, 2018. The following is a summary of short-term investments at December 31, 2017:</w:t>
      </w:r>
    </w:p>
    <w:p>
      <w:pPr>
        <w:spacing w:after="0" w:line="267"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7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w w:val="95"/>
              </w:rPr>
              <w:t>Gross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740" w:type="dxa"/>
            <w:vAlign w:val="bottom"/>
            <w:gridSpan w:val="3"/>
            <w:vMerge w:val="continue"/>
          </w:tcPr>
          <w:p>
            <w:pPr>
              <w:spacing w:after="0"/>
              <w:rPr>
                <w:sz w:val="12"/>
                <w:szCs w:val="12"/>
                <w:color w:val="auto"/>
              </w:rPr>
            </w:pPr>
          </w:p>
        </w:tc>
        <w:tc>
          <w:tcPr>
            <w:tcW w:w="1220" w:type="dxa"/>
            <w:vAlign w:val="bottom"/>
            <w:gridSpan w:val="3"/>
          </w:tcPr>
          <w:p>
            <w:pPr>
              <w:jc w:val="center"/>
              <w:ind w:left="479"/>
              <w:spacing w:after="0" w:line="149" w:lineRule="exact"/>
              <w:rPr>
                <w:sz w:val="20"/>
                <w:szCs w:val="20"/>
                <w:color w:val="auto"/>
              </w:rPr>
            </w:pPr>
            <w:r>
              <w:rPr>
                <w:rFonts w:ascii="Arial" w:cs="Arial" w:eastAsia="Arial" w:hAnsi="Arial"/>
                <w:sz w:val="14"/>
                <w:szCs w:val="14"/>
                <w:b w:val="1"/>
                <w:bCs w:val="1"/>
                <w:color w:val="auto"/>
                <w:w w:val="95"/>
              </w:rPr>
              <w:t>unrealized</w:t>
            </w:r>
          </w:p>
        </w:tc>
        <w:tc>
          <w:tcPr>
            <w:tcW w:w="1520" w:type="dxa"/>
            <w:vAlign w:val="bottom"/>
            <w:gridSpan w:val="4"/>
          </w:tcPr>
          <w:p>
            <w:pPr>
              <w:ind w:left="580"/>
              <w:spacing w:after="0" w:line="14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34"/>
              <w:spacing w:after="0"/>
              <w:rPr>
                <w:sz w:val="20"/>
                <w:szCs w:val="20"/>
                <w:color w:val="auto"/>
              </w:rPr>
            </w:pPr>
            <w:r>
              <w:rPr>
                <w:rFonts w:ascii="Arial" w:cs="Arial" w:eastAsia="Arial" w:hAnsi="Arial"/>
                <w:sz w:val="14"/>
                <w:szCs w:val="14"/>
                <w:b w:val="1"/>
                <w:bCs w:val="1"/>
                <w:color w:val="auto"/>
                <w:w w:val="97"/>
              </w:rPr>
              <w:t>cost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20"/>
              <w:spacing w:after="0"/>
              <w:rPr>
                <w:sz w:val="20"/>
                <w:szCs w:val="20"/>
                <w:color w:val="auto"/>
              </w:rPr>
            </w:pPr>
            <w:r>
              <w:rPr>
                <w:rFonts w:ascii="Arial" w:cs="Arial" w:eastAsia="Arial" w:hAnsi="Arial"/>
                <w:sz w:val="14"/>
                <w:szCs w:val="14"/>
                <w:b w:val="1"/>
                <w:bCs w:val="1"/>
                <w:color w:val="auto"/>
                <w:w w:val="87"/>
              </w:rPr>
              <w:t>gains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4"/>
                <w:szCs w:val="14"/>
                <w:color w:val="auto"/>
              </w:rPr>
            </w:pPr>
          </w:p>
        </w:tc>
        <w:tc>
          <w:tcPr>
            <w:tcW w:w="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2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$1,462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7,149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short-term investments are held as available-for-sale and mature within twelve months of December 31, 2017.</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Fair Value Measurements</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225" w:lineRule="exact"/>
        <w:rPr>
          <w:sz w:val="20"/>
          <w:szCs w:val="20"/>
          <w:color w:val="auto"/>
        </w:rPr>
      </w:pPr>
    </w:p>
    <w:p>
      <w:pPr>
        <w:jc w:val="right"/>
        <w:ind w:right="526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58" w:lineRule="exact"/>
        <w:rPr>
          <w:sz w:val="20"/>
          <w:szCs w:val="20"/>
          <w:color w:val="auto"/>
        </w:rPr>
      </w:pPr>
    </w:p>
    <w:p>
      <w:pPr>
        <w:jc w:val="right"/>
        <w:ind w:right="528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60"/>
          </w:cols>
          <w:pgMar w:left="240" w:top="460" w:right="4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carrying value of cash, restricted cash, short-term bank deposits, accounts receivable, accounts payable, and accrued liabilities approximate their respective fair values due to their relative short maturities.</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As of December 31, 2018, all assets measured at fair value on a recurring basis consisted of cash equivalents which were classified within Level 1 of the fair value hierarchy. The following table presents the fair value hierarchy for assets measured at fair value on a recurring basis as of December 31, 2017 (in thousands):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December 31, 2017</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tcBorders>
              <w:bottom w:val="single" w:sz="8" w:color="auto"/>
            </w:tcBorders>
            <w:gridSpan w:val="9"/>
          </w:tcPr>
          <w:p>
            <w:pPr>
              <w:jc w:val="right"/>
              <w:ind w:right="274"/>
              <w:spacing w:after="0" w:line="142" w:lineRule="exact"/>
              <w:rPr>
                <w:sz w:val="20"/>
                <w:szCs w:val="20"/>
                <w:color w:val="auto"/>
              </w:rPr>
            </w:pPr>
            <w:r>
              <w:rPr>
                <w:rFonts w:ascii="Arial" w:cs="Arial" w:eastAsia="Arial" w:hAnsi="Arial"/>
                <w:sz w:val="14"/>
                <w:szCs w:val="14"/>
                <w:b w:val="1"/>
                <w:bCs w:val="1"/>
                <w:color w:val="auto"/>
              </w:rPr>
              <w:t>Fair value measurements using input type</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Level 1</w:t>
            </w:r>
          </w:p>
        </w:tc>
        <w:tc>
          <w:tcPr>
            <w:tcW w:w="46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2</w:t>
            </w: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$2,024</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 —</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8"/>
              </w:rPr>
              <w:t>1,462</w:t>
            </w:r>
          </w:p>
        </w:tc>
        <w:tc>
          <w:tcPr>
            <w:tcW w:w="44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7,146</w:t>
            </w:r>
          </w:p>
        </w:tc>
        <w:tc>
          <w:tcPr>
            <w:tcW w:w="4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40" w:type="dxa"/>
            <w:vAlign w:val="bottom"/>
            <w:shd w:val="clear" w:color="auto" w:fill="CCEEFF"/>
          </w:tcPr>
          <w:p>
            <w:pPr>
              <w:spacing w:after="0"/>
              <w:rPr>
                <w:sz w:val="18"/>
                <w:szCs w:val="18"/>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Total financial assets</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2,024</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8,608</w:t>
            </w:r>
          </w:p>
        </w:tc>
        <w:tc>
          <w:tcPr>
            <w:tcW w:w="440" w:type="dxa"/>
            <w:vAlign w:val="bottom"/>
          </w:tcPr>
          <w:p>
            <w:pPr>
              <w:spacing w:after="0"/>
              <w:rPr>
                <w:sz w:val="19"/>
                <w:szCs w:val="19"/>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3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10,632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fair value of certain financial instruments was measured and classified within Level 1 of the fair value hierarchy based on quoted prices. Certain financial instruments classified within Level 2 of the fair value hierarchy include the types of instruments that trade in markets that are not considered to be active, but are valued based on quoted market prices, broker or dealer quotations, or alternative pricing sources with reasonable levels of price transparency.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Reverse Merger with Alcobra Ltd.</w:t>
      </w:r>
    </w:p>
    <w:p>
      <w:pPr>
        <w:spacing w:after="0" w:line="121"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As described in Note 1 “Organization,” the reverse merger completed between Arcturus and Alcobra Ltd. was accounted for as an issuance of shares by the Company for the net assets of Alcobra Ltd., accompanied by a recapitalization. Arcturus was considered the acquirer for accounting and financial reporting purposes and acquired the assets and assumed the liabilities of Alcobra Ltd. Arcturus gained control of the combined company after the merger. The annual consolidated financial statements of the Company reflect the operations of the acquirer for accounting purposes together with a deemed issuance of shares, equivalent to the shares held by the former stockholders of the legal acquirer and a recapitalization of the equity of the accounting acquirer. The annual consolidated financial statements include the accounts of the Company since the effective date of the reverse capitalization and the accounts of Arcturus Therapeutics, Inc. since inception.</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80"/>
          </w:cols>
          <w:pgMar w:left="240" w:top="459" w:right="4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summarizes the estimated fair value of the assets and liabilities acquired at November 15, 2017, the date of the merger:</w:t>
      </w:r>
    </w:p>
    <w:p>
      <w:pPr>
        <w:sectPr>
          <w:pgSz w:w="11900" w:h="16838" w:orient="portrait"/>
          <w:cols w:equalWidth="0" w:num="1">
            <w:col w:w="11200"/>
          </w:cols>
          <w:pgMar w:left="240" w:top="460" w:right="459" w:bottom="1440" w:gutter="0" w:footer="0" w:header="0"/>
        </w:sectPr>
      </w:pPr>
    </w:p>
    <w:p>
      <w:pPr>
        <w:spacing w:after="0" w:line="267"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6350</wp:posOffset>
            </wp:positionV>
            <wp:extent cx="475107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Cash and cash equivalents</w:t>
      </w:r>
    </w:p>
    <w:p>
      <w:pPr>
        <w:spacing w:after="0" w:line="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Restricted cash</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Prepaid and other assets</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Property, plant and equipment —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-116205</wp:posOffset>
            </wp:positionV>
            <wp:extent cx="475107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1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Intangible asset-held for sale</w:t>
      </w:r>
    </w:p>
    <w:p>
      <w:pPr>
        <w:spacing w:after="0" w:line="2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1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Accounts payable and accrued expenses</w:t>
      </w:r>
    </w:p>
    <w:p>
      <w:pPr>
        <w:spacing w:after="0" w:line="3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left="187" w:hanging="187"/>
        <w:spacing w:after="0"/>
        <w:tabs>
          <w:tab w:leader="none" w:pos="18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2,032</w:t>
      </w:r>
    </w:p>
    <w:p>
      <w:pPr>
        <w:spacing w:after="0" w:line="23" w:lineRule="exact"/>
        <w:rPr>
          <w:rFonts w:ascii="Arial" w:cs="Arial" w:eastAsia="Arial" w:hAnsi="Arial"/>
          <w:sz w:val="18"/>
          <w:szCs w:val="18"/>
          <w:color w:val="auto"/>
        </w:rPr>
      </w:pPr>
    </w:p>
    <w:p>
      <w:pPr>
        <w:ind w:left="327"/>
        <w:spacing w:after="0"/>
        <w:rPr>
          <w:rFonts w:ascii="Arial" w:cs="Arial" w:eastAsia="Arial" w:hAnsi="Arial"/>
          <w:sz w:val="18"/>
          <w:szCs w:val="18"/>
          <w:color w:val="auto"/>
        </w:rPr>
      </w:pPr>
      <w:r>
        <w:rPr>
          <w:rFonts w:ascii="Arial" w:cs="Arial" w:eastAsia="Arial" w:hAnsi="Arial"/>
          <w:sz w:val="18"/>
          <w:szCs w:val="18"/>
          <w:color w:val="auto"/>
        </w:rPr>
        <w:t>179</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34,188</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434</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29</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771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37,452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3771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6"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3771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6" w:lineRule="exact"/>
        <w:rPr>
          <w:sz w:val="20"/>
          <w:szCs w:val="20"/>
          <w:color w:val="auto"/>
        </w:rPr>
      </w:pPr>
    </w:p>
    <w:p>
      <w:pPr>
        <w:jc w:val="right"/>
        <w:ind w:right="1860"/>
        <w:spacing w:after="0"/>
        <w:rPr>
          <w:sz w:val="20"/>
          <w:szCs w:val="20"/>
          <w:color w:val="auto"/>
        </w:rPr>
      </w:pPr>
      <w:r>
        <w:rPr>
          <w:rFonts w:ascii="Arial" w:cs="Arial" w:eastAsia="Arial" w:hAnsi="Arial"/>
          <w:sz w:val="16"/>
          <w:szCs w:val="16"/>
          <w:u w:val="single" w:color="auto"/>
          <w:color w:val="auto"/>
        </w:rPr>
        <w:t>$35,546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3771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033" w:space="720"/>
            <w:col w:w="2447"/>
          </w:cols>
          <w:pgMar w:left="240" w:top="460" w:right="459" w:bottom="1440" w:gutter="0" w:footer="0" w:header="0"/>
          <w:type w:val="continuous"/>
        </w:sectPr>
      </w:pPr>
    </w:p>
    <w:p>
      <w:pPr>
        <w:spacing w:after="0" w:line="7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estimated fair value of total considerations paid was $40,841,000 based on the shares and options of Alcobra Ltd. outstanding on the merger date as adjusted per the merger agreement of 3,997,000 multiplied by the closing price of $10.22 on the date of the merger. The excess of the fair value of the consideration paid over the fair value of the net assets acquired as detailed above was $5,295,000, which was recorded as a charge to additional paid-in capital in the equity section of the consolidated balance sheet. The Company also incurred direct merger-related costs totaling $1,734,000, which offset proceeds received from the transaction and were recorded as a reduction to additional paid-in capital on the consolidated balance sheet.</w:t>
      </w:r>
    </w:p>
    <w:p>
      <w:pPr>
        <w:spacing w:after="0" w:line="15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Assets acquired in the merger included an intangible asset consisting of in-process research and development for proprietary drug technology called ADAIR. At the closing date of the reverse merger, the Company entered into an agreement with Amiservice to which the Company agreed to transfer certain intellectual property related to ADAIR in exchange for a minority equity stake in a company to be formed by Amiservice for the purpose of acquiring the ADAIR assets. The Company determined that the asset met the classification criteria as held for sale in accordance with related accounting guidance when acquired and remained held for sale at December 31, 2017. To determine the fair value of the ADAIR asset, the Company utilized an independent valuation consultant who valued the asset using a market approach valuation method. In conjunction with this valuation, management judgment was required to forecast the occurrence of future events that would trigger the closing of the ADAIR sale agreement.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 the end of the second quarter of 2018, the Company completed the sale of its intangible assets related to the ADAIR technology (Note 2).</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Balance sheet details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liabilities consisted of the following as of December 31, 2018 and December 31, 2017.</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920" w:type="dxa"/>
            <w:vAlign w:val="bottom"/>
            <w:gridSpan w:val="2"/>
            <w:vMerge w:val="continue"/>
          </w:tcPr>
          <w:p>
            <w:pPr>
              <w:spacing w:after="0"/>
              <w:rPr>
                <w:sz w:val="12"/>
                <w:szCs w:val="12"/>
                <w:color w:val="auto"/>
              </w:rPr>
            </w:pPr>
          </w:p>
        </w:tc>
        <w:tc>
          <w:tcPr>
            <w:tcW w:w="38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2018</w:t>
            </w:r>
          </w:p>
        </w:tc>
        <w:tc>
          <w:tcPr>
            <w:tcW w:w="106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3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$1,812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Refundable fees received</w:t>
            </w:r>
          </w:p>
        </w:tc>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2,259</w:t>
            </w:r>
          </w:p>
        </w:tc>
        <w:tc>
          <w:tcPr>
            <w:tcW w:w="5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3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8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3,907</w:t>
            </w:r>
          </w:p>
        </w:tc>
        <w:tc>
          <w:tcPr>
            <w:tcW w:w="5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2,793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940" w:type="dxa"/>
            <w:vAlign w:val="bottom"/>
            <w:gridSpan w:val="2"/>
          </w:tcPr>
          <w:p>
            <w:pPr>
              <w:jc w:val="right"/>
              <w:ind w:right="2425"/>
              <w:spacing w:after="0"/>
              <w:rPr>
                <w:sz w:val="20"/>
                <w:szCs w:val="20"/>
                <w:color w:val="auto"/>
              </w:rPr>
            </w:pPr>
            <w:r>
              <w:rPr>
                <w:rFonts w:ascii="Arial" w:cs="Arial" w:eastAsia="Arial" w:hAnsi="Arial"/>
                <w:sz w:val="18"/>
                <w:szCs w:val="18"/>
                <w:color w:val="auto"/>
              </w:rPr>
              <w:t>F-24</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60" w:right="459" w:bottom="1440" w:gutter="0" w:footer="0" w:header="0"/>
          <w:type w:val="continuous"/>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 Property and Equipment,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net consisted of the following:</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4"/>
                <w:szCs w:val="14"/>
                <w:color w:val="auto"/>
              </w:rPr>
            </w:pPr>
          </w:p>
        </w:tc>
        <w:tc>
          <w:tcPr>
            <w:tcW w:w="17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040" w:type="dxa"/>
            <w:vAlign w:val="bottom"/>
            <w:gridSpan w:val="2"/>
            <w:vMerge w:val="continue"/>
          </w:tcPr>
          <w:p>
            <w:pPr>
              <w:spacing w:after="0"/>
              <w:rPr>
                <w:sz w:val="12"/>
                <w:szCs w:val="12"/>
                <w:color w:val="auto"/>
              </w:rPr>
            </w:pPr>
          </w:p>
        </w:tc>
        <w:tc>
          <w:tcPr>
            <w:tcW w:w="1580" w:type="dxa"/>
            <w:vAlign w:val="bottom"/>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equipment</w:t>
            </w:r>
          </w:p>
        </w:tc>
        <w:tc>
          <w:tcPr>
            <w:tcW w:w="1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$ 2,711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Computers and software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and furniture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5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5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(1,497)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$ 1,975</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Depreciation and amortization expense was $582,000 and $410,000 for the years ended December 31, 2018 and December 31, 2017, respectively.</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Debt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Long-term debt with Western Alliance Bank</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On October 12, 2018, the Company entered into a Loan and Security Agreement with Western Alliance Bank whereby the Company received gross proceeds of $10.0 million under a long-term debt agreement (the “Loan”). The Loan has a maturity date of October 1, 2022 and carries interest at the U.S. prime rate plus 1.25%. The loan has an interest-only period of 19 months, which could be extended by an additional 6 months if certain conditions are met, followed by an amortization period of 30 months, or 24 months if the interest-only period is extended. As of December 31, 2018, the Company estimated that the interest-only period will be 19 months, followed by an amortization period of 30 month.</w:t>
      </w:r>
    </w:p>
    <w:p>
      <w:pPr>
        <w:spacing w:after="0" w:line="17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Company paid a loan origination fee of $128,000 which was recorded as a debt discount and is being accreted over the term of the Loan. In addition, the Company is required to pay a fee of $350,000 upon certain change of control events.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Upon maturity or prepayment, the Company will be required to pay a 3% fee, or a 2% fee if the U.S. Food and Drug Administration accepts certain Investigational New Drug (“IND”) applications prior to maturity. Because acceptance of an IND is outside of the Company’s control, management estimated that the Company will be liable for a fee of 3% of the principal balance, or $300,000 upon repayment or maturity, and such fee is accreted to the debt balance using the effective interest method over the term of the Loan.</w:t>
      </w:r>
    </w:p>
    <w:p>
      <w:pPr>
        <w:spacing w:after="0" w:line="187"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The Loan is collateralized by all of the assets of the Company, excluding intellectual property, which is subject to a negative pledge. The Loan contains customary conditions of borrowing, events of default and covenants, including covenants that restrict the Company’s ability to dispose of assets, merge with or acquire other entities, incur indebtedness and make distributions to holders of the Company’s capital stock. In addition, the Company is required to maintain at least 50% of its deposit and investment accounts, or $20 million, whichever is lower, with the Western Alliance Bank.</w:t>
      </w:r>
    </w:p>
    <w:p>
      <w:pPr>
        <w:spacing w:after="0" w:line="188"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Loan also includes covenants which include the Company’s (1) nomination of a clinical candidate by December 31, 2018, which the Company is in compliance with, and (2) submission of a clinical candidate for Investigational New Drug application (“IND”), made to the U.S. Food and Drug Administration by</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00"/>
          </w:cols>
          <w:pgMar w:left="24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jc w:val="both"/>
        <w:ind w:left="200" w:right="380"/>
        <w:spacing w:after="0" w:line="264" w:lineRule="auto"/>
        <w:rPr>
          <w:sz w:val="20"/>
          <w:szCs w:val="20"/>
          <w:color w:val="auto"/>
        </w:rPr>
      </w:pPr>
      <w:r>
        <w:rPr>
          <w:rFonts w:ascii="Arial" w:cs="Arial" w:eastAsia="Arial" w:hAnsi="Arial"/>
          <w:sz w:val="18"/>
          <w:szCs w:val="18"/>
          <w:color w:val="auto"/>
        </w:rPr>
        <w:t>December 31, 2019 and have it approved by January 31, 2020, provided that, if the Company has received net cash proceeds from sale, on or after October 12, 2018, of the Company’s equity securities in an amount of not less than $15,000,000, then the IND submission date shall be extended to May 31, 2020 and the approval date shall be extended to June 30, 2020.</w:t>
      </w:r>
    </w:p>
    <w:p>
      <w:pPr>
        <w:spacing w:after="0" w:line="181"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Should an event of default occur, including the occurrence of a material adverse effect, the Company could be liable for immediate repayment of all obligations under the Loan. As of December 31, 2018, the Company is in compliance with all covenants and conditions of the Loan.</w:t>
      </w:r>
    </w:p>
    <w:p>
      <w:pPr>
        <w:spacing w:after="0" w:line="12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As of December 31, 2018, the outstanding long-term debt balance was $9.9 milllion, inclusive of $28,000 of accretion of the final payment and net of the unamortized debt discount of $117,000.</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Principal payments, including the final payment due at repayment, on the long-term debt are as follows as of December 31, 2018:</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2020</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2,666,667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4,000,000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2021</w:t>
            </w:r>
          </w:p>
        </w:tc>
        <w:tc>
          <w:tcPr>
            <w:tcW w:w="2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3,633,333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10,300,000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Convertible Promissory Notes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On November 15, 2017 and in connection with the merger, holders of all of the Company’s convertible promissory notes that were issued in the second quarter of 2017 converted $5,795,000 of principal value and $162,000 of accrued interest into 616,824 Ordinary Shares at an average conversion rate of $10.19 per share. Additionally, the Company recognized additional expense of $348,000 as a result of the beneficial conversion feature received by the noteholders upon settlement per terms of the amended note agreements, which was charged to finance expense included in the consolidated statements of operations and comprehensive loss.</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Company recognized interest expense related to its long-term debt of $186,000 and $150,000 during the years ended December 31, 2018 and 2017,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 Shareholders’ Equity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Merger and reverse stock split</w:t>
      </w:r>
    </w:p>
    <w:p>
      <w:pPr>
        <w:spacing w:after="0" w:line="11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The Company completed the merger with Alcobra Ltd. on November 15, 2017 as described in Note 6 to the consolidated financial statements. In connection with the merger, all outstanding shares of Arcturus Therapeutics, Inc. were exchanged for the Company’s ordinary shares at a rate of 0.293 ordinary shares of the Company’s stock for each share of Arcturus Therapeutics, Inc. common stock.</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Also on November 15, 2017 and prior to and in connection with the merger, Alcobra Ltd. effected a 1-for-7 reverse stock split of ordinary shares and changed ordinary shares authorized to 30,000,000 shares. All historical information presented herein has been retroactively restated to reflect the effect of the merger exchange ratio, reverse stock split and change to the authorized number of ordinary shares in accordance with Accounting Standards Codification Topic 260, </w:t>
      </w:r>
      <w:r>
        <w:rPr>
          <w:rFonts w:ascii="Arial" w:cs="Arial" w:eastAsia="Arial" w:hAnsi="Arial"/>
          <w:sz w:val="18"/>
          <w:szCs w:val="18"/>
          <w:i w:val="1"/>
          <w:iCs w:val="1"/>
          <w:color w:val="auto"/>
        </w:rPr>
        <w:t>“Earnings Per Share”.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00"/>
          </w:cols>
          <w:pgMar w:left="240" w:top="460"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Restricted Ordinary Shares</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In March 2013, the founders of the Company purchased 2,783,686 ordinary shares of stock for $0.0068 per share. Of the shares purchased, 1,538,353 were subject to a repurchase option whereby the Company has an option for two months after date of termination of service to repurchase any or all of the unvested shares at the original purchase price per share. The repurchase option shall be deemed to be automatically exercised by the Company as of the end of the two-month period unless the Company notifies the purchaser that it does not intend to exercise its option. The shares will be vested (1) 25% after obtaining suitable siRNA license; (2) 25% after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proof-of-concept achieved; (3) 25% after a regulatory agency new drug application (such as an Investigational New Drug application) is filed and accepted by the applicable regulatory agency; and (4) 25% after human biological proof-of-concept is achieved. The Company met the first two milestones during 2013 and 2014 leaving an unvested balance of 769,176 ordinary shares. In 2017, the ordinary shares purchase agreements were amended to clarify vesting conditions and also to accelerate the vesting of 146,510 ordinary shares resulting in a modification expense of $1,495,000 as of December 31, 2017. As of December 31, 2018 and 2017, there were 622,667 ordinary shares unvested and subject to the repurchase option.</w:t>
      </w:r>
    </w:p>
    <w:p>
      <w:pPr>
        <w:spacing w:after="0" w:line="28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Warrants were issued in connection with the issuance of the Company’s preferred stock. In 2017 and in conjunction with the merger, all 192,647 of the outstanding warrants were exercised for 188,980 Ordinary Shares (after subtraction of shares for net exercise, when selected). The Company received proceeds of $160,000 in conjunction with the warrant exercises in 2017.</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Dilutive securities at December 31, 2018 that were not included in the calculation of diluted net loss per share for the year ended December 31, 2018 as they were anti-dilutive totaled 94,000. Dilutive securities that were not included in the calculation of diluted net loss per share because they were anti-dilutive totaled 3,057,000 potential shares at December 31, 2017.</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For the years ended December 31, 2018 and 2017, the calculation of the weighted-average number of shares outstanding excludes both unvested restricted ordinary shares of 622,667 and shares held in treasury of 43,000. In addition, for only the year ended December 31, 2017, the calculation of weighted-average number of shares outstanding excludes 79,000 shares which were issued upon the early exercise of share options and subject to future vesting.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 Share-Based Compensation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Arcturus Therapeutics, Inc. had one stock compensation plan prior to the merger, the 2013 Equity Incentive Plan (the “2013 Plan”) which provides for the granting of options, warrants, restricted stock awards, restricted stock units, and other equity-based compensation to the Company’s directors, employees and consultants. In connection with the merger and as required in the 2013 Plan, all outstanding options in the 2013 Plan converted into options to purchase Alcobra Ltd.’s Ordinary Shares, as renamed Arcturus Therapeutics Ltd., and the applicable share amounts and exercise prices were adjusted to reflect the exchange ratio. The 2013 Plan has been extinguished and no additional grants shall be made from the 2013 Plan. Options granted under the 2013 Plan generally expire ten years from the date of grant. There were 38,751 shares available for future issuance under the 2013 Plan at December 31, 2018.</w:t>
      </w:r>
    </w:p>
    <w:p>
      <w:pPr>
        <w:spacing w:after="0" w:line="18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Prior to the merger, Alcobra Ltd. granted options to officers, directors, advisors, management and other key employees through the 2010 Incentive Option Plan (the “2010 Plan”). Substantially all options that were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240" w:top="460"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outstanding under the 2010 Plan became fully vested upon the closing of the merger. The value of these options was included as a component of the purchase price recorded in conjunction with the merger. The number of shares subject to and the exercise prices applicable to these outstanding options were adjusted in connection with the 1- for- 7 reverse share split. Options granted under the 2010 Plan generally expire ten years from the date of grant. Upon merger, the 2013 Plan was assumed by the 2010 Plan. The Company generally issues new shares upon option exercise. There were 94,001 shares available for future issuance under the 2010 Plan as of December 31, 2018; however, the Company does not intend to issue additional shares under the 2010 Plan.</w:t>
      </w:r>
    </w:p>
    <w:p>
      <w:pPr>
        <w:spacing w:after="0" w:line="193"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August 2018, the Company adopted the 2018 Omnibus Equity Incentive Plan (“2018 Plan”). Under the 2018 Plan, the Company is authorized to issue up to a maximum of 1,100,000 ordinary shares pursuant to the exercise of incentive share options or other awards provided for therein. In August 2018, the Company issued a certain number of options to purchase Ordinary shares to a group of employees as well as options to purchase a total of 220,000 Ordinary Shares to its executives. The Company also issued options to purchase a total of 130,000 Ordinary Shares to the non-executive members of the Company’s board of directors. As of December 31, 2018, there were 470,000 shares available for future issuance under the 2018 Plan.</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 Options</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share options granted:</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For the Year Ended December 31,</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0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5"/>
              </w:rPr>
              <w:t>6.07</w:t>
            </w:r>
          </w:p>
        </w:tc>
        <w:tc>
          <w:tcPr>
            <w:tcW w:w="7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73.3%</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76.4%</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2.77%</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1.87%</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Grant date weighted average fair value</w:t>
            </w:r>
          </w:p>
        </w:tc>
        <w:tc>
          <w:tcPr>
            <w:tcW w:w="17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5.38</w:t>
            </w: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7.94</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share option activity for the year ended December 31, 2018:</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1"/>
              </w:rPr>
              <w:t>Weighted-</w:t>
            </w: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9"/>
              </w:rPr>
              <w:t>Number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Average</w:t>
            </w: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580" w:type="dxa"/>
            <w:vAlign w:val="bottom"/>
            <w:gridSpan w:val="4"/>
          </w:tcPr>
          <w:p>
            <w:pPr>
              <w:ind w:left="620"/>
              <w:spacing w:after="0" w:line="149" w:lineRule="exact"/>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00" w:type="dxa"/>
            <w:vAlign w:val="bottom"/>
            <w:gridSpan w:val="3"/>
          </w:tcPr>
          <w:p>
            <w:pPr>
              <w:jc w:val="center"/>
              <w:ind w:left="213"/>
              <w:spacing w:after="0"/>
              <w:rPr>
                <w:sz w:val="20"/>
                <w:szCs w:val="20"/>
                <w:color w:val="auto"/>
              </w:rPr>
            </w:pPr>
            <w:r>
              <w:rPr>
                <w:rFonts w:ascii="Arial" w:cs="Arial" w:eastAsia="Arial" w:hAnsi="Arial"/>
                <w:sz w:val="14"/>
                <w:szCs w:val="14"/>
                <w:b w:val="1"/>
                <w:bCs w:val="1"/>
                <w:color w:val="auto"/>
                <w:w w:val="89"/>
              </w:rPr>
              <w:t>Exercise Price</w:t>
            </w:r>
          </w:p>
        </w:tc>
        <w:tc>
          <w:tcPr>
            <w:tcW w:w="1500" w:type="dxa"/>
            <w:vAlign w:val="bottom"/>
            <w:gridSpan w:val="2"/>
          </w:tcPr>
          <w:p>
            <w:pPr>
              <w:jc w:val="center"/>
              <w:ind w:left="574"/>
              <w:spacing w:after="0"/>
              <w:rPr>
                <w:sz w:val="20"/>
                <w:szCs w:val="20"/>
                <w:color w:val="auto"/>
              </w:rPr>
            </w:pPr>
            <w:r>
              <w:rPr>
                <w:rFonts w:ascii="Arial" w:cs="Arial" w:eastAsia="Arial" w:hAnsi="Arial"/>
                <w:sz w:val="14"/>
                <w:szCs w:val="14"/>
                <w:b w:val="1"/>
                <w:bCs w:val="1"/>
                <w:color w:val="auto"/>
                <w:w w:val="93"/>
              </w:rPr>
              <w:t>Term (Years)</w:t>
            </w:r>
          </w:p>
        </w:tc>
        <w:tc>
          <w:tcPr>
            <w:tcW w:w="6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2017</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344,055</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1,046,931</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8.13</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(62,224)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Forfeited/cancelled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(139,329)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16.92</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Outstanding — December 31, 2018</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1,189,433</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Exercisable — December 31, 2018</w:t>
            </w: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5.77</w:t>
            </w:r>
          </w:p>
        </w:tc>
        <w:tc>
          <w:tcPr>
            <w:tcW w:w="1500" w:type="dxa"/>
            <w:vAlign w:val="bottom"/>
            <w:gridSpan w:val="2"/>
            <w:vMerge w:val="restart"/>
          </w:tcPr>
          <w:p>
            <w:pPr>
              <w:jc w:val="right"/>
              <w:spacing w:after="0"/>
              <w:rPr>
                <w:sz w:val="20"/>
                <w:szCs w:val="20"/>
                <w:color w:val="auto"/>
              </w:rPr>
            </w:pPr>
            <w:r>
              <w:rPr>
                <w:rFonts w:ascii="Arial" w:cs="Arial" w:eastAsia="Arial" w:hAnsi="Arial"/>
                <w:sz w:val="18"/>
                <w:szCs w:val="18"/>
                <w:color w:val="auto"/>
              </w:rPr>
              <w:t>7.53</w:t>
            </w:r>
          </w:p>
        </w:tc>
        <w:tc>
          <w:tcPr>
            <w:tcW w:w="720" w:type="dxa"/>
            <w:vAlign w:val="bottom"/>
            <w:gridSpan w:val="2"/>
            <w:vMerge w:val="restart"/>
          </w:tcPr>
          <w:p>
            <w:pPr>
              <w:ind w:left="60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255</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vMerge w:val="continue"/>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280,782</w:t>
            </w:r>
          </w:p>
        </w:tc>
        <w:tc>
          <w:tcPr>
            <w:tcW w:w="3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Exercisable and expected to vest — December 31, 2018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1,189,433</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At December 31, 2018, the total unrecognized compensation cost of $4.4 million will be recognized over the weighted-average remaining service period of approximately 3.1 years. The fair value of the options vested during the years ended December 31, 2018 and 2017 was $972,000 and $669,000, respectively.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20"/>
          </w:cols>
          <w:pgMar w:left="24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Certain options granted were exercised prior to vesting, and are subject to repurchase by the Company at the lower of the original issue price or fair value and will vest according to the respective option agreement. As of December 31, 2017, 35,595 options were exercised but still subject to future vesting. No shares remained subject to repurchase as of December 31, 2018.</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Share-based compensation expenses included in the Company’s statements of operations and comprehensive loss for the years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and 2017 were:</w:t>
      </w:r>
    </w:p>
    <w:p>
      <w:pPr>
        <w:spacing w:after="0" w:line="21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1"/>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gridSpan w:val="2"/>
            <w:vMerge w:val="continue"/>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2018</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Share-based compensation expense for the year ended December 31, 2017 includes $1,495,000 of expense related to a modification of a restricted Ordinary Shares agreement as discussed in Note 10.</w:t>
      </w:r>
    </w:p>
    <w:p>
      <w:pPr>
        <w:spacing w:after="0" w:line="170"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During 2017, the Company granted options for 58,600 shares to two board members at an exercise price below fair value at the grant date. The awards were subject to performance conditions based on closing the reverse merger with Alcobra Ltd. and execution of a facility lease. All of the options vested during 2017, and related expense of $568,000 is included in general and administrative expense for the year ended December 31, 2017 related to the awards.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 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reconciliation of loss before income taxes for domestic and foreign locations for the years ended December 31, 2018 and 2017 is as follows:</w:t>
      </w:r>
    </w:p>
    <w:p>
      <w:pPr>
        <w:spacing w:after="0" w:line="267"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3720" w:type="dxa"/>
            <w:vAlign w:val="bottom"/>
            <w:gridSpan w:val="2"/>
            <w:vMerge w:val="continue"/>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(21,604)</w:t>
            </w: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Foreign</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(181)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loss before income taxes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(21,785)</w:t>
            </w:r>
          </w:p>
        </w:tc>
        <w:tc>
          <w:tcPr>
            <w:tcW w:w="6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 xml:space="preserve">The Company accounts for income taxes in accordance with ASC 740-10,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The impact of an uncertain income tax position on the income tax return must be recognized at the largest amount that is more likely than not to be sustained upon audit by the relevant taxing authority. An uncertain tax position will not be recognized if it has less than 50% likelihood of being sustained.</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60"/>
          </w:cols>
          <w:pgMar w:left="240" w:top="460" w:right="4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reconciliation of income tax expense for the years ended December 31, 2018 and 2017 is as follows (in millions):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2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920" w:type="dxa"/>
            <w:vAlign w:val="bottom"/>
            <w:tcBorders>
              <w:top w:val="single" w:sz="8" w:color="auto"/>
            </w:tcBorders>
            <w:gridSpan w:val="2"/>
          </w:tcPr>
          <w:p>
            <w:pPr>
              <w:jc w:val="center"/>
              <w:ind w:left="439"/>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 of unrecognized tax benefits</w:t>
            </w:r>
          </w:p>
        </w:tc>
        <w:tc>
          <w:tcPr>
            <w:tcW w:w="1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$ 0.4</w:t>
            </w: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$ 0.4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Settlement of prior period tax positions</w:t>
            </w:r>
          </w:p>
        </w:tc>
        <w:tc>
          <w:tcPr>
            <w:tcW w:w="18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4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Increase for prior period tax positions</w:t>
            </w: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Increase for current period tax positions</w:t>
            </w:r>
          </w:p>
        </w:tc>
        <w:tc>
          <w:tcPr>
            <w:tcW w:w="182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of unrecognized tax benefits</w:t>
            </w:r>
          </w:p>
        </w:tc>
        <w:tc>
          <w:tcPr>
            <w:tcW w:w="2180" w:type="dxa"/>
            <w:vAlign w:val="bottom"/>
            <w:gridSpan w:val="2"/>
            <w:shd w:val="clear" w:color="auto" w:fill="CCEEFF"/>
          </w:tcPr>
          <w:p>
            <w:pPr>
              <w:jc w:val="center"/>
              <w:ind w:left="1730"/>
              <w:spacing w:after="0"/>
              <w:rPr>
                <w:sz w:val="20"/>
                <w:szCs w:val="20"/>
                <w:color w:val="auto"/>
              </w:rPr>
            </w:pPr>
            <w:r>
              <w:rPr>
                <w:rFonts w:ascii="Arial" w:cs="Arial" w:eastAsia="Arial" w:hAnsi="Arial"/>
                <w:sz w:val="18"/>
                <w:szCs w:val="18"/>
                <w:color w:val="auto"/>
                <w:w w:val="89"/>
              </w:rPr>
              <w:t>$ 0.4</w:t>
            </w:r>
          </w:p>
        </w:tc>
        <w:tc>
          <w:tcPr>
            <w:tcW w:w="920" w:type="dxa"/>
            <w:vAlign w:val="bottom"/>
            <w:gridSpan w:val="2"/>
            <w:shd w:val="clear" w:color="auto" w:fill="CCEEFF"/>
          </w:tcPr>
          <w:p>
            <w:pPr>
              <w:jc w:val="center"/>
              <w:ind w:left="439"/>
              <w:spacing w:after="0"/>
              <w:rPr>
                <w:sz w:val="20"/>
                <w:szCs w:val="20"/>
                <w:color w:val="auto"/>
              </w:rPr>
            </w:pPr>
            <w:r>
              <w:rPr>
                <w:rFonts w:ascii="Arial" w:cs="Arial" w:eastAsia="Arial" w:hAnsi="Arial"/>
                <w:sz w:val="18"/>
                <w:szCs w:val="18"/>
                <w:color w:val="auto"/>
                <w:w w:val="89"/>
              </w:rPr>
              <w:t>$ 0.4</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Included in the balance of unrecognized tax benefits at both December 31, 2018 and 2017 is $0.4 million that could impact the Company’s effective tax rate, if recognized, subject to a valuation allowance. None of the unrecognized tax benefits currently impact the Company’s effective tax rate due to the full valuation allowance the Company has recorded against its deferred tax assets.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is subject to taxation and files income tax returns in the United States, California and Israel. Currently, no historical years are under examination. The Company’s tax years from 2013 to date are subject to examination by the Israeli, U.S. and state taxing authorities due to the carryforward of unutilized net operating losses and research and development credits. The Company’s policy is to recognize interest expense and penalties related to income tax matters as income tax expense. As of December 31, 2018, there are unrecognized tax benefits of $0.2 million and $0.2 million for the United States and California, respectively. There was no tax related interest or penalties recognized for the years ended December 31, 2018 and 2017.</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does not anticipate any material changes to its unrecognized tax benefits within the next twelve months.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significant components of deferred income taxes at December 31, 2018 and 2017:</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Net operating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8,399</w:t>
            </w: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Total gross deferred tax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10,539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(10,539)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(26,519)</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Company has established a valuation allowance against net deferred tax assets due to the uncertainty that such assets will be realized. The Company periodically evaluates the recoverability of the deferred tax assets. At such time as it is determined that it is more likely than not that deferred tax assets will be realizable, the valuation allowance will be reduced.</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60"/>
          </w:cols>
          <w:pgMar w:left="240" w:top="459" w:right="4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At December 31, 2018, the Company had federal and state net operating losses, or NOL, carryforwards of approximately $33.2 million and $30.2 million, respectively. The federal NOL carryforwards begin to expire in 2034, and the state NOL carryforwards begin to expire in 2034. The Company has foreign NOL carryforwards of approximately $89.0 million that do not expire and can be carried forward indefinitely. Due to the Company’s recent plan of the Redomiciliation, it is more likely than not that the foreign NOL will not be realized. As a result, the Company has removed the foreign NOL carryforwards from its deferred tax asset schedule and recorded a corresponding decrease to its valuation allowance beginning January 1, 2018.</w:t>
      </w:r>
    </w:p>
    <w:p>
      <w:pPr>
        <w:spacing w:after="0" w:line="193" w:lineRule="exact"/>
        <w:rPr>
          <w:sz w:val="20"/>
          <w:szCs w:val="20"/>
          <w:color w:val="auto"/>
        </w:rPr>
      </w:pPr>
    </w:p>
    <w:p>
      <w:pPr>
        <w:jc w:val="both"/>
        <w:ind w:left="200" w:right="180" w:firstLine="441"/>
        <w:spacing w:after="0" w:line="286" w:lineRule="auto"/>
        <w:rPr>
          <w:sz w:val="20"/>
          <w:szCs w:val="20"/>
          <w:color w:val="auto"/>
        </w:rPr>
      </w:pPr>
      <w:r>
        <w:rPr>
          <w:rFonts w:ascii="Arial" w:cs="Arial" w:eastAsia="Arial" w:hAnsi="Arial"/>
          <w:sz w:val="17"/>
          <w:szCs w:val="17"/>
          <w:color w:val="auto"/>
        </w:rPr>
        <w:t>Excluded from the deferred tax assets for the net operating losses are pre-acquisition Alcobra Inc. and Alcobra Ltd. federal and foreign losses of $0.3 million and $20.4 million, respectively. The Company does not believe these losses will be available to use in the future due to limitations under IRC Section 382, lack of operations in Israel where the NOLs were generated and contemplated restructuring.</w:t>
      </w:r>
    </w:p>
    <w:p>
      <w:pPr>
        <w:spacing w:after="0" w:line="166" w:lineRule="exact"/>
        <w:rPr>
          <w:sz w:val="20"/>
          <w:szCs w:val="20"/>
          <w:color w:val="auto"/>
        </w:rPr>
      </w:pPr>
    </w:p>
    <w:p>
      <w:pPr>
        <w:ind w:left="200" w:right="720" w:firstLine="441"/>
        <w:spacing w:after="0" w:line="342" w:lineRule="auto"/>
        <w:rPr>
          <w:sz w:val="20"/>
          <w:szCs w:val="20"/>
          <w:color w:val="auto"/>
        </w:rPr>
      </w:pPr>
      <w:r>
        <w:rPr>
          <w:rFonts w:ascii="Arial" w:cs="Arial" w:eastAsia="Arial" w:hAnsi="Arial"/>
          <w:sz w:val="16"/>
          <w:szCs w:val="16"/>
          <w:color w:val="auto"/>
        </w:rPr>
        <w:t>At December 31, 2018, the Company had federal and state research and development credit carryforwards of approximately $0.2 million and $0.2 million, respectively. The federal credit carryforwards begin to expire in 2033, and the state credits carry forward indefinitely.</w:t>
      </w:r>
    </w:p>
    <w:p>
      <w:pPr>
        <w:spacing w:after="0" w:line="124"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Company has also incurred research and development expenses of $17.0 million and $15.9 million for the years ended December 31, 2018 and 2017, respectively. The Company believes that a portion of these expenditures will yield additional federal and California tax credits; however, the potential credits under the tax laws have not yet been calculated.</w:t>
      </w:r>
    </w:p>
    <w:p>
      <w:pPr>
        <w:spacing w:after="0" w:line="18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Pursuant to Internal Revenue Code of 1986, as amended (the Code) Sections 382 and 383, annual use of the Company’s federal and California net operating loss and research and development credit carryforwards may be limited in the event a cumulative change in ownership of more than 50% occurs within a three-year period. The Company has not completed a Code Section 382 analysis regarding the limitation of net operating loss carryforwards and other tax attributes. There is a risk that changes in ownership have occurred since Company’s formation. If a change in ownership were to have occurred, the NOL carryforwards and other tax attributes could be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reconciliation of the federal statutory income tax rate to the Company’s effective income tax rate is as follows: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540" w:type="dxa"/>
            <w:vAlign w:val="bottom"/>
            <w:gridSpan w:val="4"/>
          </w:tcPr>
          <w:p>
            <w:pPr>
              <w:jc w:val="right"/>
              <w:ind w:right="77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20" w:type="dxa"/>
            <w:vAlign w:val="bottom"/>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2018</w:t>
            </w:r>
          </w:p>
        </w:tc>
        <w:tc>
          <w:tcPr>
            <w:tcW w:w="126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13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21.0%</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3640" w:type="dxa"/>
            <w:vAlign w:val="bottom"/>
            <w:gridSpan w:val="3"/>
          </w:tcPr>
          <w:p>
            <w:pPr>
              <w:jc w:val="right"/>
              <w:ind w:right="1030"/>
              <w:spacing w:after="0"/>
              <w:rPr>
                <w:sz w:val="20"/>
                <w:szCs w:val="20"/>
                <w:color w:val="auto"/>
              </w:rPr>
            </w:pPr>
            <w:r>
              <w:rPr>
                <w:rFonts w:ascii="Arial" w:cs="Arial" w:eastAsia="Arial" w:hAnsi="Arial"/>
                <w:sz w:val="18"/>
                <w:szCs w:val="18"/>
                <w:color w:val="auto"/>
              </w:rPr>
              <w:t>5.3%</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3640" w:type="dxa"/>
            <w:vAlign w:val="bottom"/>
            <w:gridSpan w:val="3"/>
            <w:shd w:val="clear" w:color="auto" w:fill="CCEEFF"/>
          </w:tcPr>
          <w:p>
            <w:pPr>
              <w:jc w:val="right"/>
              <w:ind w:right="970"/>
              <w:spacing w:after="0"/>
              <w:rPr>
                <w:sz w:val="20"/>
                <w:szCs w:val="20"/>
                <w:color w:val="auto"/>
              </w:rPr>
            </w:pPr>
            <w:r>
              <w:rPr>
                <w:rFonts w:ascii="Arial" w:cs="Arial" w:eastAsia="Arial" w:hAnsi="Arial"/>
                <w:sz w:val="18"/>
                <w:szCs w:val="18"/>
                <w:color w:val="auto"/>
              </w:rPr>
              <w:t>(1.3%)</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3640" w:type="dxa"/>
            <w:vAlign w:val="bottom"/>
            <w:gridSpan w:val="3"/>
          </w:tcPr>
          <w:p>
            <w:pPr>
              <w:jc w:val="right"/>
              <w:ind w:right="970"/>
              <w:spacing w:after="0"/>
              <w:rPr>
                <w:sz w:val="20"/>
                <w:szCs w:val="20"/>
                <w:color w:val="auto"/>
              </w:rPr>
            </w:pPr>
            <w:r>
              <w:rPr>
                <w:rFonts w:ascii="Arial" w:cs="Arial" w:eastAsia="Arial" w:hAnsi="Arial"/>
                <w:sz w:val="18"/>
                <w:szCs w:val="18"/>
                <w:color w:val="auto"/>
              </w:rPr>
              <w:t>(0.2%)</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Tax Cuts and JOBS Act</w:t>
            </w:r>
          </w:p>
        </w:tc>
        <w:tc>
          <w:tcPr>
            <w:tcW w:w="13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Change in tax rate</w:t>
            </w:r>
          </w:p>
        </w:tc>
        <w:tc>
          <w:tcPr>
            <w:tcW w:w="1360" w:type="dxa"/>
            <w:vAlign w:val="bottom"/>
          </w:tcPr>
          <w:p>
            <w:pPr>
              <w:spacing w:after="0"/>
              <w:rPr>
                <w:sz w:val="18"/>
                <w:szCs w:val="18"/>
                <w:color w:val="auto"/>
              </w:rPr>
            </w:pPr>
          </w:p>
        </w:tc>
        <w:tc>
          <w:tcPr>
            <w:tcW w:w="2280" w:type="dxa"/>
            <w:vAlign w:val="bottom"/>
            <w:gridSpan w:val="2"/>
          </w:tcPr>
          <w:p>
            <w:pPr>
              <w:jc w:val="right"/>
              <w:ind w:right="1030"/>
              <w:spacing w:after="0"/>
              <w:rPr>
                <w:sz w:val="20"/>
                <w:szCs w:val="20"/>
                <w:color w:val="auto"/>
              </w:rPr>
            </w:pPr>
            <w:r>
              <w:rPr>
                <w:rFonts w:ascii="Arial" w:cs="Arial" w:eastAsia="Arial" w:hAnsi="Arial"/>
                <w:sz w:val="18"/>
                <w:szCs w:val="18"/>
                <w:color w:val="auto"/>
              </w:rPr>
              <w:t>—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640" w:type="dxa"/>
            <w:vAlign w:val="bottom"/>
            <w:gridSpan w:val="3"/>
            <w:shd w:val="clear" w:color="auto" w:fill="CCEEFF"/>
          </w:tcPr>
          <w:p>
            <w:pPr>
              <w:jc w:val="right"/>
              <w:ind w:right="970"/>
              <w:spacing w:after="0"/>
              <w:rPr>
                <w:sz w:val="20"/>
                <w:szCs w:val="20"/>
                <w:color w:val="auto"/>
              </w:rPr>
            </w:pPr>
            <w:r>
              <w:rPr>
                <w:rFonts w:ascii="Arial" w:cs="Arial" w:eastAsia="Arial" w:hAnsi="Arial"/>
                <w:sz w:val="18"/>
                <w:szCs w:val="18"/>
                <w:color w:val="auto"/>
              </w:rPr>
              <w:t>(20.7%)</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w:t>
            </w:r>
          </w:p>
        </w:tc>
        <w:tc>
          <w:tcPr>
            <w:tcW w:w="3640" w:type="dxa"/>
            <w:vAlign w:val="bottom"/>
            <w:gridSpan w:val="3"/>
          </w:tcPr>
          <w:p>
            <w:pPr>
              <w:jc w:val="right"/>
              <w:ind w:right="970"/>
              <w:spacing w:after="0"/>
              <w:rPr>
                <w:sz w:val="20"/>
                <w:szCs w:val="20"/>
                <w:color w:val="auto"/>
              </w:rPr>
            </w:pPr>
            <w:r>
              <w:rPr>
                <w:rFonts w:ascii="Arial" w:cs="Arial" w:eastAsia="Arial" w:hAnsi="Arial"/>
                <w:sz w:val="18"/>
                <w:szCs w:val="18"/>
                <w:color w:val="auto"/>
              </w:rPr>
              <w:t>(3.0%)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3640" w:type="dxa"/>
            <w:vAlign w:val="bottom"/>
            <w:gridSpan w:val="3"/>
            <w:shd w:val="clear" w:color="auto" w:fill="CCEEFF"/>
          </w:tcPr>
          <w:p>
            <w:pPr>
              <w:jc w:val="right"/>
              <w:ind w:right="970"/>
              <w:spacing w:after="0"/>
              <w:rPr>
                <w:sz w:val="20"/>
                <w:szCs w:val="20"/>
                <w:color w:val="auto"/>
              </w:rPr>
            </w:pPr>
            <w:r>
              <w:rPr>
                <w:rFonts w:ascii="Arial" w:cs="Arial" w:eastAsia="Arial" w:hAnsi="Arial"/>
                <w:sz w:val="18"/>
                <w:szCs w:val="18"/>
                <w:color w:val="auto"/>
              </w:rPr>
              <w:t>(1.1%)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30"/>
              <w:spacing w:after="0"/>
              <w:rPr>
                <w:sz w:val="20"/>
                <w:szCs w:val="20"/>
                <w:color w:val="auto"/>
              </w:rPr>
            </w:pPr>
            <w:r>
              <w:rPr>
                <w:rFonts w:ascii="Arial" w:cs="Arial" w:eastAsia="Arial" w:hAnsi="Arial"/>
                <w:sz w:val="18"/>
                <w:szCs w:val="18"/>
                <w:color w:val="auto"/>
                <w:w w:val="74"/>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640" w:type="dxa"/>
            <w:vAlign w:val="bottom"/>
            <w:gridSpan w:val="3"/>
          </w:tcPr>
          <w:p>
            <w:pPr>
              <w:jc w:val="right"/>
              <w:ind w:right="2670"/>
              <w:spacing w:after="0"/>
              <w:rPr>
                <w:sz w:val="20"/>
                <w:szCs w:val="20"/>
                <w:color w:val="auto"/>
              </w:rPr>
            </w:pPr>
            <w:r>
              <w:rPr>
                <w:rFonts w:ascii="Arial" w:cs="Arial" w:eastAsia="Arial" w:hAnsi="Arial"/>
                <w:sz w:val="18"/>
                <w:szCs w:val="18"/>
                <w:color w:val="auto"/>
              </w:rPr>
              <w:t>F-31</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Tax Cuts and Jobs Act (the Act) was enacted in the U.S. on December 22, 2017. The Act reduced the corporate tax rate to 21% from 35% rate, required companies to pay a one-time transition tax on earnings of certain foreign subsidiaries that were previously tax deferred and created new taxes on certain foreign-sourced earnings. In 2017, the Company recorded provisional amounts for certain enactment-date effects of the Act by applying the guidance in SAB 118 because it had not yet completed its enactment-date accounting for these effects.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SAB 118 measurement period</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Company applied the guidance in SAB 118 when accounting for the enactment-date effects of the Act in 2017. At December 31, 2017, the Company had not completed its accounting for all of the enactment-date income tax effects of the Act under ASC 740, Income Taxes. At December 31, 2018, the Company completed its accounting for all of the enactment-date income tax effects of the Act. As further discussed below, during 2018, the Company did not recognize adjustments to the provisional amounts recorded at December 31, 2017.</w:t>
      </w:r>
    </w:p>
    <w:p>
      <w:pPr>
        <w:spacing w:after="0" w:line="17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As of December 31, 2017, the Company remeasured certain deferred tax assets and liabilities based on the rates at which they were expected to reverse in the future (which was generally 21%), by recording a provisional amount of $2.4 million, which was fully offset by a valuation allowance of the same amount. Upon further analysis of certain aspects of the Act and refinement of its calculations during the 12 months ended December 31, 2018, the Company found no other adjustments were necessary.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Cystic Fibrosis Foundation Therapeutics Funding agreement</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has received royalty bearing grants sponsored by Cystic Fibrosis Foundation Therapeutics, Inc. (“CFFT”). Should the awards result in a successful product, the Company will pay CFFT a specified payment amount in installments following commercialization based on a formula that is six times the total award amount, plus a payment equal to the awarded payments, within sixty days after aggregate net sales of the product exceed certain thresholds. Further, in the event of a license, sale or other transfer of the product or the Company’s development program technology (including a change of control transaction), the Company will pay CFFT a percentage of such transfer payments actually received by the Company or the Company’s shareholders (subject to a royalty cap). As of December 31, 2018, the Company has received $0.5 million in grants and has not had a successful product utilizing CFFT grants.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left="200" w:right="420" w:firstLine="441"/>
        <w:spacing w:after="0" w:line="308" w:lineRule="auto"/>
        <w:rPr>
          <w:sz w:val="20"/>
          <w:szCs w:val="20"/>
          <w:color w:val="auto"/>
        </w:rPr>
      </w:pPr>
      <w:r>
        <w:rPr>
          <w:rFonts w:ascii="Arial" w:cs="Arial" w:eastAsia="Arial" w:hAnsi="Arial"/>
          <w:sz w:val="17"/>
          <w:szCs w:val="17"/>
          <w:color w:val="auto"/>
        </w:rPr>
        <w:t>The Company leases office and lab space for its corporate headquarters in San Diego, California under a non-cancelable operating lease. The initial lease term ended February 2018 and had monthly rental payments with escalations during the term of the lease.</w:t>
      </w:r>
    </w:p>
    <w:p>
      <w:pPr>
        <w:spacing w:after="0" w:line="14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In October 2017, the Company entered into a new lease for office space adjacent to its previously occupied headquarters. The commencement of the lease began in March 2018 and the lease extends for approximately 84 months from the commencement date. Monthly rental payments are due under the lease and there are escalating rent payments during the term of the lease. The Company is also responsible for its proportional share of operating expenses of the building and common areas. In conjunction with the new lease, the Company will receive free rent for four months and received a tenant improvement allowance of $74,000. The lease may be extended for one five year period at then current market rate with annual escalations. The Company entered into an irrevocable standby letter of credit with the landlord for security of $96,000 upon executing the lease which is included (along with additional funds required to secure the letter of credit) in the balance of non-current restricted cash as of December 31, 2018.</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20"/>
          </w:cols>
          <w:pgMar w:left="240" w:top="460"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For operating leases, minimum lease payments, including minimum scheduled rent increases, are recognized as rent expense on a straight-line basis over the lease term. Leasehold improvement incentives paid to the Company by the landlord are recorded as a deferred rent and amortized as a reduction of rent expense over the lease term. Rent expense totaled $1.1 million and $334,000 for the years ended December 31, 2018 and 2017, respectively.</w:t>
      </w:r>
    </w:p>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 xml:space="preserve">Future minimum payments under leases and lease commitments with initial terms greater than one year were as follows at December 31, 2018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2020</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1,277</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2022</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1,350</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60" w:type="dxa"/>
            <w:vAlign w:val="bottom"/>
            <w:shd w:val="clear" w:color="auto" w:fill="CCEEFF"/>
          </w:tcPr>
          <w:p>
            <w:pPr>
              <w:spacing w:after="0"/>
              <w:rPr>
                <w:sz w:val="18"/>
                <w:szCs w:val="18"/>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Thereafter</w:t>
            </w:r>
          </w:p>
        </w:tc>
        <w:tc>
          <w:tcPr>
            <w:tcW w:w="30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60" w:type="dxa"/>
            <w:vAlign w:val="bottom"/>
          </w:tcPr>
          <w:p>
            <w:pPr>
              <w:spacing w:after="0"/>
              <w:rPr>
                <w:sz w:val="19"/>
                <w:szCs w:val="19"/>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8,345</w:t>
            </w:r>
          </w:p>
        </w:tc>
        <w:tc>
          <w:tcPr>
            <w:tcW w:w="60" w:type="dxa"/>
            <w:vAlign w:val="bottom"/>
            <w:shd w:val="clear" w:color="auto" w:fill="CCEEFF"/>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14. Related Party Transactions</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During 2016, the Company entered into a Research Collaboration and License Agreement with a related party, Providence, whose CEO and President is also a shareholder of the Company, to identify and optimize microRNA modulators and/or mimetics for the treatment of neoplastic diseases. In April 2017, the Providence Agreement was amended to include mRNA for the treatment of neoplastic disease. In July 2018, the Providence Agreement was amended and restated to cover brain neoplasms, breast neoplasms and ovarian neoplasms. Each party is responsible for their own research costs under the agreement, and Providence is responsible for all of the development costs through the completion of Phase 2 clinical trials. The Company is entitled to share in future product revenue of each product provided the Company shares in the product’s post Phase 2 costs. Separately, Providence has agreed to pay for FTEs at a specified rate. For the years ended December 31, 2018 and 2017, the Company has recognized $0.6 million and $1.0 million, respectively, in revenue related to the amortization of the upfront payment and revenue related to the payment for FTEs and expense reimbursements. There were no outstanding accounts receivable balances related to this agreement as of December 31, 2018 and December 31, 2017. During the third quarter of 2017, the Company’s ordinary share agreement for the President and CEO of Providence was modified to remove the vesting conditions of the original grant and the Company recognized $1.5 million in related stock compensation expense.</w:t>
      </w:r>
    </w:p>
    <w:p>
      <w:pPr>
        <w:spacing w:after="0" w:line="17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During May 2018, the Company agreed to reimburse professional fees related to the proxy incurred by Joseph Payne, President &amp; CEO, Board of Director, and Padmanabh Chivukula, COO &amp; CSO, totaling $1.4 million.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15. Litigation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Previously Disclosed Litigation in Israel and California and California Arbitration</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Company, executive officers Joseph Payne (CEO) and Padmanabh Chivukula (COO and CSO) and certain former and current members of the Company’s board of directors were party to now terminated lawsuits filed in Israel and California and an arbitration in California. These lawsuits and the arbitration emanated from disputes among certain of these parties in connection with actions taken by former board members to terminate the employment of Mr. Payne and Dr. Chivukula and lawsuits filed by Mr. Payne in response to these terminations.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00"/>
          </w:cols>
          <w:pgMar w:left="240" w:top="460"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Mr. Payne and Dr. Chivukula have been reappointed to their roles as CEO (Payne) and COO and CSO (Chivukula) with the Company and the Company entered into an Agreement and Release with its current officers and certain former directors and officers to terminate all of the then ongoing litigation in Israel and the Unites States and the arbitration that arose in connection with the terminations of Mr. Payne and Dr. Chivukula. Accordingly, all of the previously described lawsuits and the arbitration have been dismissed with prejudice.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16. Subsequent Events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Effective January 1, 2019, the Company appointed Andrew Sassine as its Chief Financial Officer, whose employment terms are pending approval from the shareholders under the Israeli law. All compensation paid to Mr. Sassine from January 1, 2019 to the date of this filing is subject to refund to the Company should his appointment not be approved by shareholders.</w:t>
      </w:r>
    </w:p>
    <w:p>
      <w:pPr>
        <w:spacing w:after="0" w:line="181" w:lineRule="exact"/>
        <w:rPr>
          <w:sz w:val="20"/>
          <w:szCs w:val="20"/>
          <w:color w:val="auto"/>
        </w:rPr>
      </w:pPr>
    </w:p>
    <w:p>
      <w:pPr>
        <w:ind w:left="200" w:right="640" w:firstLine="441"/>
        <w:spacing w:after="0" w:line="302" w:lineRule="auto"/>
        <w:rPr>
          <w:sz w:val="20"/>
          <w:szCs w:val="20"/>
          <w:color w:val="auto"/>
        </w:rPr>
      </w:pPr>
      <w:r>
        <w:rPr>
          <w:rFonts w:ascii="Arial" w:cs="Arial" w:eastAsia="Arial" w:hAnsi="Arial"/>
          <w:sz w:val="16"/>
          <w:szCs w:val="16"/>
          <w:color w:val="auto"/>
        </w:rPr>
        <w:t>On February 11, 2019, the Company announced its intention to initiate a process to redomicile from an Israeli limited company to a U.S. corporation. The final form and timing of the redomiciliation has not yet been finalized and the redomiciliation is subject to the approval of the shareholders. On February 11, 2019, the Company filed an application with the Tel Aviv District Court to approve the convening of a general shareholders meeting of the Company for the approval of the redomiciliation pursuant to Sections 350 and 351 of the Israeli Companies Law.</w:t>
      </w:r>
    </w:p>
    <w:p>
      <w:pPr>
        <w:spacing w:after="0" w:line="8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240" w:top="459" w:right="5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ANNEX A</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10060" w:type="dxa"/>
            <w:vAlign w:val="bottom"/>
            <w:gridSpan w:val="6"/>
          </w:tcPr>
          <w:p>
            <w:pPr>
              <w:jc w:val="center"/>
              <w:ind w:right="960"/>
              <w:spacing w:after="0"/>
              <w:rPr>
                <w:sz w:val="20"/>
                <w:szCs w:val="20"/>
                <w:color w:val="auto"/>
              </w:rPr>
            </w:pPr>
            <w:r>
              <w:rPr>
                <w:rFonts w:ascii="Arial" w:cs="Arial" w:eastAsia="Arial" w:hAnsi="Arial"/>
                <w:sz w:val="18"/>
                <w:szCs w:val="18"/>
                <w:b w:val="1"/>
                <w:bCs w:val="1"/>
                <w:color w:val="auto"/>
              </w:rPr>
              <w:t>EXCHANGE AGREEMENT</w:t>
            </w:r>
          </w:p>
        </w:tc>
        <w:tc>
          <w:tcPr>
            <w:tcW w:w="0" w:type="dxa"/>
            <w:vAlign w:val="bottom"/>
          </w:tcPr>
          <w:p>
            <w:pPr>
              <w:spacing w:after="0"/>
              <w:rPr>
                <w:sz w:val="1"/>
                <w:szCs w:val="1"/>
                <w:color w:val="auto"/>
              </w:rPr>
            </w:pPr>
          </w:p>
        </w:tc>
      </w:tr>
      <w:tr>
        <w:trPr>
          <w:trHeight w:val="392"/>
        </w:trPr>
        <w:tc>
          <w:tcPr>
            <w:tcW w:w="9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100" w:type="dxa"/>
            <w:vAlign w:val="bottom"/>
            <w:gridSpan w:val="5"/>
          </w:tcPr>
          <w:p>
            <w:pPr>
              <w:jc w:val="center"/>
              <w:ind w:right="4920"/>
              <w:spacing w:after="0"/>
              <w:rPr>
                <w:sz w:val="20"/>
                <w:szCs w:val="20"/>
                <w:color w:val="auto"/>
              </w:rPr>
            </w:pPr>
            <w:r>
              <w:rPr>
                <w:rFonts w:ascii="Arial" w:cs="Arial" w:eastAsia="Arial" w:hAnsi="Arial"/>
                <w:sz w:val="18"/>
                <w:szCs w:val="18"/>
                <w:b w:val="1"/>
                <w:bCs w:val="1"/>
                <w:color w:val="auto"/>
              </w:rPr>
              <w:t>AGREEMENT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60" w:type="dxa"/>
            <w:vAlign w:val="bottom"/>
          </w:tcPr>
          <w:p>
            <w:pPr>
              <w:spacing w:after="0"/>
              <w:rPr>
                <w:sz w:val="24"/>
                <w:szCs w:val="24"/>
                <w:color w:val="auto"/>
              </w:rPr>
            </w:pPr>
          </w:p>
        </w:tc>
        <w:tc>
          <w:tcPr>
            <w:tcW w:w="10060" w:type="dxa"/>
            <w:vAlign w:val="bottom"/>
            <w:gridSpan w:val="6"/>
          </w:tcPr>
          <w:p>
            <w:pPr>
              <w:jc w:val="center"/>
              <w:ind w:right="960"/>
              <w:spacing w:after="0"/>
              <w:rPr>
                <w:sz w:val="20"/>
                <w:szCs w:val="20"/>
                <w:color w:val="auto"/>
              </w:rPr>
            </w:pPr>
            <w:r>
              <w:rPr>
                <w:rFonts w:ascii="Arial" w:cs="Arial" w:eastAsia="Arial" w:hAnsi="Arial"/>
                <w:sz w:val="18"/>
                <w:szCs w:val="18"/>
                <w:b w:val="1"/>
                <w:bCs w:val="1"/>
                <w:color w:val="auto"/>
                <w:w w:val="90"/>
              </w:rPr>
              <w:t>drawn up and signed on February 8, 2019</w:t>
            </w:r>
          </w:p>
        </w:tc>
        <w:tc>
          <w:tcPr>
            <w:tcW w:w="0" w:type="dxa"/>
            <w:vAlign w:val="bottom"/>
          </w:tcPr>
          <w:p>
            <w:pPr>
              <w:spacing w:after="0"/>
              <w:rPr>
                <w:sz w:val="1"/>
                <w:szCs w:val="1"/>
                <w:color w:val="auto"/>
              </w:rPr>
            </w:pPr>
          </w:p>
        </w:tc>
      </w:tr>
      <w:tr>
        <w:trPr>
          <w:trHeight w:val="445"/>
        </w:trPr>
        <w:tc>
          <w:tcPr>
            <w:tcW w:w="960" w:type="dxa"/>
            <w:vAlign w:val="bottom"/>
          </w:tcPr>
          <w:p>
            <w:pPr>
              <w:spacing w:after="0"/>
              <w:rPr>
                <w:sz w:val="20"/>
                <w:szCs w:val="20"/>
                <w:color w:val="auto"/>
              </w:rPr>
            </w:pPr>
            <w:r>
              <w:rPr>
                <w:rFonts w:ascii="Arial" w:cs="Arial" w:eastAsia="Arial" w:hAnsi="Arial"/>
                <w:sz w:val="18"/>
                <w:szCs w:val="18"/>
                <w:b w:val="1"/>
                <w:bCs w:val="1"/>
                <w:color w:val="auto"/>
              </w:rPr>
              <w:t>between:</w:t>
            </w:r>
          </w:p>
        </w:tc>
        <w:tc>
          <w:tcPr>
            <w:tcW w:w="10060" w:type="dxa"/>
            <w:vAlign w:val="bottom"/>
            <w:gridSpan w:val="6"/>
          </w:tcPr>
          <w:p>
            <w:pPr>
              <w:ind w:left="1000"/>
              <w:spacing w:after="0"/>
              <w:rPr>
                <w:sz w:val="20"/>
                <w:szCs w:val="20"/>
                <w:color w:val="auto"/>
              </w:rPr>
            </w:pPr>
            <w:r>
              <w:rPr>
                <w:rFonts w:ascii="Arial" w:cs="Arial" w:eastAsia="Arial" w:hAnsi="Arial"/>
                <w:sz w:val="18"/>
                <w:szCs w:val="18"/>
                <w:b w:val="1"/>
                <w:bCs w:val="1"/>
                <w:color w:val="auto"/>
              </w:rPr>
              <w:t>ARCTURUS THERAPEUTICS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Company number 514098995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of 58 Harakevet Street</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Tel-Aviv, Israel</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“Israeli Company</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w w:val="91"/>
              </w:rPr>
              <w:t>of the first part;</w:t>
            </w:r>
          </w:p>
        </w:tc>
        <w:tc>
          <w:tcPr>
            <w:tcW w:w="0" w:type="dxa"/>
            <w:vAlign w:val="bottom"/>
          </w:tcPr>
          <w:p>
            <w:pPr>
              <w:spacing w:after="0"/>
              <w:rPr>
                <w:sz w:val="1"/>
                <w:szCs w:val="1"/>
                <w:color w:val="auto"/>
              </w:rPr>
            </w:pPr>
          </w:p>
        </w:tc>
      </w:tr>
      <w:tr>
        <w:trPr>
          <w:trHeight w:val="438"/>
        </w:trPr>
        <w:tc>
          <w:tcPr>
            <w:tcW w:w="960" w:type="dxa"/>
            <w:vAlign w:val="bottom"/>
          </w:tcPr>
          <w:p>
            <w:pPr>
              <w:spacing w:after="0"/>
              <w:rPr>
                <w:sz w:val="20"/>
                <w:szCs w:val="20"/>
                <w:color w:val="auto"/>
              </w:rPr>
            </w:pPr>
            <w:r>
              <w:rPr>
                <w:rFonts w:ascii="Arial" w:cs="Arial" w:eastAsia="Arial" w:hAnsi="Arial"/>
                <w:sz w:val="18"/>
                <w:szCs w:val="18"/>
                <w:b w:val="1"/>
                <w:bCs w:val="1"/>
                <w:color w:val="auto"/>
              </w:rPr>
              <w:t>and:</w:t>
            </w:r>
          </w:p>
        </w:tc>
        <w:tc>
          <w:tcPr>
            <w:tcW w:w="8820" w:type="dxa"/>
            <w:vAlign w:val="bottom"/>
            <w:gridSpan w:val="4"/>
          </w:tcPr>
          <w:p>
            <w:pPr>
              <w:ind w:left="1000"/>
              <w:spacing w:after="0"/>
              <w:rPr>
                <w:sz w:val="20"/>
                <w:szCs w:val="20"/>
                <w:color w:val="auto"/>
              </w:rPr>
            </w:pPr>
            <w:r>
              <w:rPr>
                <w:rFonts w:ascii="Arial" w:cs="Arial" w:eastAsia="Arial" w:hAnsi="Arial"/>
                <w:sz w:val="18"/>
                <w:szCs w:val="18"/>
                <w:b w:val="1"/>
                <w:bCs w:val="1"/>
                <w:color w:val="auto"/>
              </w:rPr>
              <w:t>ARCTURUS THERAPEUTICS HOLDINGS INC.</w:t>
            </w:r>
          </w:p>
        </w:tc>
        <w:tc>
          <w:tcPr>
            <w:tcW w:w="1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of 251 Little Falls Drive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New Castle County</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The State of Delaware, 19808 United States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“New Company</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4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w w:val="87"/>
              </w:rPr>
              <w:t>of the second part;</w:t>
            </w: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Whereas</w:t>
            </w:r>
          </w:p>
        </w:tc>
        <w:tc>
          <w:tcPr>
            <w:tcW w:w="8620" w:type="dxa"/>
            <w:vAlign w:val="bottom"/>
            <w:gridSpan w:val="3"/>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60" w:type="dxa"/>
            <w:vAlign w:val="bottom"/>
            <w:vMerge w:val="continue"/>
          </w:tcPr>
          <w:p>
            <w:pPr>
              <w:spacing w:after="0"/>
              <w:rPr>
                <w:sz w:val="24"/>
                <w:szCs w:val="24"/>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rPr>
              <w:t>the Israeli Company is a public company incorporated in Israel and whose shares are listed for trading on the NASDAQ;</w:t>
            </w:r>
          </w:p>
        </w:tc>
        <w:tc>
          <w:tcPr>
            <w:tcW w:w="0" w:type="dxa"/>
            <w:vAlign w:val="bottom"/>
          </w:tcPr>
          <w:p>
            <w:pPr>
              <w:spacing w:after="0"/>
              <w:rPr>
                <w:sz w:val="1"/>
                <w:szCs w:val="1"/>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5"/>
              </w:rPr>
              <w:t>the New Company is a private company that was incorporated in the State of Delaware, United States, prior to the signing of this</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rPr>
              <w:t>the Israeli Company wholly owns (100%) the American Company (as defined hereunder);</w:t>
            </w:r>
          </w:p>
        </w:tc>
        <w:tc>
          <w:tcPr>
            <w:tcW w:w="0" w:type="dxa"/>
            <w:vAlign w:val="bottom"/>
          </w:tcPr>
          <w:p>
            <w:pPr>
              <w:spacing w:after="0"/>
              <w:rPr>
                <w:sz w:val="1"/>
                <w:szCs w:val="1"/>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7"/>
              </w:rPr>
              <w:t>the New Company was incorporated for the designated purpose of implementing the share exchange that is the subject of this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0"/>
              </w:rPr>
              <w:t>Agreement, has not yet issued any of its shares and is not engaging in, and has not engaged in, any business and/or other activity since</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rPr>
              <w:t>the day of its incorporation, other than for the purposes of this Agreement;</w:t>
            </w:r>
          </w:p>
        </w:tc>
        <w:tc>
          <w:tcPr>
            <w:tcW w:w="0" w:type="dxa"/>
            <w:vAlign w:val="bottom"/>
          </w:tcPr>
          <w:p>
            <w:pPr>
              <w:spacing w:after="0"/>
              <w:rPr>
                <w:sz w:val="1"/>
                <w:szCs w:val="1"/>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0"/>
              </w:rPr>
              <w:t>the parties desire to engage in this Agreement for the purpose of implementing a reorganization proceeding, by way of an arrangement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0"/>
              </w:rPr>
              <w:t>pursuant to sections 350 and 351 of the Companies Law, under which the Option-holders of the Israeli Company and the Shareholders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3"/>
              </w:rPr>
              <w:t>of the Israeli Company shall receive, in lieu of their holdings of the Israeli Company Options and Shares, with shares and options for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1"/>
              </w:rPr>
              <w:t>shares of the New Company, and furthermore, the American Company’s shares held by the Israeli Company shall be transferred to the</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rPr>
              <w:t>New Company, all as specified in this Agreement;</w:t>
            </w:r>
          </w:p>
        </w:tc>
        <w:tc>
          <w:tcPr>
            <w:tcW w:w="0" w:type="dxa"/>
            <w:vAlign w:val="bottom"/>
          </w:tcPr>
          <w:p>
            <w:pPr>
              <w:spacing w:after="0"/>
              <w:rPr>
                <w:sz w:val="1"/>
                <w:szCs w:val="1"/>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0"/>
              </w:rPr>
              <w:t>the consummation of the transaction that is the subject of this Agreement is subject to the receipt of the Court’s approval, as well as the</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rPr>
              <w:t>receipt of the additional approvals specified in this Agreement;</w:t>
            </w:r>
          </w:p>
        </w:tc>
        <w:tc>
          <w:tcPr>
            <w:tcW w:w="0" w:type="dxa"/>
            <w:vAlign w:val="bottom"/>
          </w:tcPr>
          <w:p>
            <w:pPr>
              <w:spacing w:after="0"/>
              <w:rPr>
                <w:sz w:val="1"/>
                <w:szCs w:val="1"/>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2"/>
              </w:rPr>
              <w:t>the parties desire to prescribe and define in the provisions of this Agreement all legal relations between them in relation to all matters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0"/>
              </w:rPr>
              <w:t>pertaining to the execution of the exchange of the Israeli Company Options and Shares, the transfer of the American Company’s shares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2"/>
              </w:rPr>
              <w:t>to the New Company, as well as in relation to all other matters specified in this Agreement, all being in conformity with and subject to</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rPr>
              <w:t>the provisions of this Agreement;</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100" w:type="dxa"/>
            <w:vAlign w:val="bottom"/>
            <w:gridSpan w:val="5"/>
          </w:tcPr>
          <w:p>
            <w:pPr>
              <w:jc w:val="center"/>
              <w:ind w:right="4900"/>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wherefore the parties agree and stipulate as follows:</w:t>
      </w:r>
    </w:p>
    <w:p>
      <w:pPr>
        <w:spacing w:after="0" w:line="374" w:lineRule="exact"/>
        <w:rPr>
          <w:sz w:val="20"/>
          <w:szCs w:val="20"/>
          <w:color w:val="auto"/>
        </w:rPr>
      </w:pPr>
    </w:p>
    <w:p>
      <w:pPr>
        <w:ind w:left="640" w:hanging="436"/>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b w:val="1"/>
          <w:bCs w:val="1"/>
          <w:u w:val="single" w:color="auto"/>
          <w:color w:val="auto"/>
        </w:rPr>
        <w:t>Recitals and definitions</w:t>
      </w:r>
    </w:p>
    <w:p>
      <w:pPr>
        <w:spacing w:after="0" w:line="13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1.1  The recitals to this Agreement constitute an integral part thereof.</w:t>
      </w:r>
    </w:p>
    <w:p>
      <w:pPr>
        <w:spacing w:after="0" w:line="130" w:lineRule="exact"/>
        <w:rPr>
          <w:rFonts w:ascii="Arial" w:cs="Arial" w:eastAsia="Arial" w:hAnsi="Arial"/>
          <w:sz w:val="18"/>
          <w:szCs w:val="18"/>
          <w:color w:val="auto"/>
        </w:rPr>
      </w:pPr>
    </w:p>
    <w:p>
      <w:pPr>
        <w:ind w:left="1060" w:hanging="432"/>
        <w:spacing w:after="0" w:line="277" w:lineRule="auto"/>
        <w:rPr>
          <w:rFonts w:ascii="Arial" w:cs="Arial" w:eastAsia="Arial" w:hAnsi="Arial"/>
          <w:sz w:val="18"/>
          <w:szCs w:val="18"/>
          <w:color w:val="auto"/>
        </w:rPr>
      </w:pPr>
      <w:r>
        <w:rPr>
          <w:rFonts w:ascii="Arial" w:cs="Arial" w:eastAsia="Arial" w:hAnsi="Arial"/>
          <w:sz w:val="18"/>
          <w:szCs w:val="18"/>
          <w:color w:val="auto"/>
        </w:rPr>
        <w:t>1.2 The clause headings are solely for reference purposes and may not be used for any other purpose, including for the purpose of interpreting This Agreement.</w:t>
      </w:r>
    </w:p>
    <w:p>
      <w:pPr>
        <w:spacing w:after="0" w:line="7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1.3  In This Agreement, the following terms shall have the definitions ascribed alongside them:</w:t>
      </w:r>
    </w:p>
    <w:p>
      <w:pPr>
        <w:spacing w:after="0" w:line="127" w:lineRule="exact"/>
        <w:rPr>
          <w:sz w:val="20"/>
          <w:szCs w:val="20"/>
          <w:color w:val="auto"/>
        </w:rPr>
      </w:pPr>
    </w:p>
    <w:p>
      <w:pPr>
        <w:ind w:left="4340" w:right="760" w:hanging="3252"/>
        <w:spacing w:after="0" w:line="276" w:lineRule="auto"/>
        <w:tabs>
          <w:tab w:leader="none" w:pos="1247"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the “Consideration Options</w:t>
      </w:r>
      <w:r>
        <w:rPr>
          <w:rFonts w:ascii="Arial" w:cs="Arial" w:eastAsia="Arial" w:hAnsi="Arial"/>
          <w:sz w:val="18"/>
          <w:szCs w:val="18"/>
          <w:color w:val="auto"/>
        </w:rPr>
        <w:t>”</w:t>
      </w:r>
      <w:r>
        <w:rPr>
          <w:rFonts w:ascii="Arial" w:cs="Arial" w:eastAsia="Arial" w:hAnsi="Arial"/>
          <w:sz w:val="17"/>
          <w:szCs w:val="17"/>
          <w:color w:val="auto"/>
        </w:rPr>
        <w:t>– Up to 1,658,183 options of the New Company, the terms of which shall be identical to those of the Israeli Company Options (</w:t>
      </w:r>
      <w:r>
        <w:rPr>
          <w:rFonts w:ascii="Arial" w:cs="Arial" w:eastAsia="Arial" w:hAnsi="Arial"/>
          <w:sz w:val="17"/>
          <w:szCs w:val="17"/>
          <w:i w:val="1"/>
          <w:iCs w:val="1"/>
          <w:color w:val="auto"/>
        </w:rPr>
        <w:t>mutatis mutandis</w:t>
      </w:r>
      <w:r>
        <w:rPr>
          <w:rFonts w:ascii="Arial" w:cs="Arial" w:eastAsia="Arial" w:hAnsi="Arial"/>
          <w:sz w:val="17"/>
          <w:szCs w:val="17"/>
          <w:color w:val="auto"/>
        </w:rPr>
        <w:t>) and which shall be issued to the Optionholders, pursuant to the terms of this Agreement, and which shall constitute the full consideration in respect of the Israeli Company Options, which shall be voided on the Consummation Date;</w:t>
      </w:r>
    </w:p>
    <w:p>
      <w:pPr>
        <w:spacing w:after="0" w:line="64" w:lineRule="exact"/>
        <w:rPr>
          <w:sz w:val="20"/>
          <w:szCs w:val="20"/>
          <w:color w:val="auto"/>
        </w:rPr>
      </w:pPr>
    </w:p>
    <w:tbl>
      <w:tblPr>
        <w:tblLayout w:type="fixed"/>
        <w:tblInd w:w="108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the “Court</w:t>
            </w:r>
            <w:r>
              <w:rPr>
                <w:rFonts w:ascii="Arial" w:cs="Arial" w:eastAsia="Arial" w:hAnsi="Arial"/>
                <w:sz w:val="18"/>
                <w:szCs w:val="18"/>
                <w:color w:val="auto"/>
              </w:rPr>
              <w:t>”</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5480" w:type="dxa"/>
            <w:vAlign w:val="bottom"/>
            <w:vMerge w:val="restart"/>
          </w:tcPr>
          <w:p>
            <w:pPr>
              <w:ind w:left="40"/>
              <w:spacing w:after="0"/>
              <w:rPr>
                <w:sz w:val="20"/>
                <w:szCs w:val="20"/>
                <w:color w:val="auto"/>
              </w:rPr>
            </w:pPr>
            <w:r>
              <w:rPr>
                <w:rFonts w:ascii="Arial" w:cs="Arial" w:eastAsia="Arial" w:hAnsi="Arial"/>
                <w:sz w:val="18"/>
                <w:szCs w:val="18"/>
                <w:color w:val="auto"/>
              </w:rPr>
              <w:t>The competent court in Israel to deliberate the Arrangement;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3000" w:type="dxa"/>
            <w:vAlign w:val="bottom"/>
          </w:tcPr>
          <w:p>
            <w:pPr>
              <w:spacing w:after="0"/>
              <w:rPr>
                <w:sz w:val="20"/>
                <w:szCs w:val="20"/>
                <w:color w:val="auto"/>
              </w:rPr>
            </w:pPr>
            <w:r>
              <w:rPr>
                <w:rFonts w:ascii="Arial" w:cs="Arial" w:eastAsia="Arial" w:hAnsi="Arial"/>
                <w:sz w:val="18"/>
                <w:szCs w:val="18"/>
                <w:color w:val="auto"/>
                <w:w w:val="99"/>
              </w:rPr>
              <w:t xml:space="preserve">(c)  </w:t>
            </w:r>
            <w:r>
              <w:rPr>
                <w:rFonts w:ascii="Arial" w:cs="Arial" w:eastAsia="Arial" w:hAnsi="Arial"/>
                <w:sz w:val="18"/>
                <w:szCs w:val="18"/>
                <w:b w:val="1"/>
                <w:bCs w:val="1"/>
                <w:color w:val="auto"/>
                <w:w w:val="99"/>
              </w:rPr>
              <w:t>the “Shareholders of the Israeli</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5480" w:type="dxa"/>
            <w:vAlign w:val="bottom"/>
          </w:tcPr>
          <w:p>
            <w:pPr>
              <w:ind w:left="40"/>
              <w:spacing w:after="0"/>
              <w:rPr>
                <w:sz w:val="20"/>
                <w:szCs w:val="20"/>
                <w:color w:val="auto"/>
              </w:rPr>
            </w:pPr>
            <w:r>
              <w:rPr>
                <w:rFonts w:ascii="Arial" w:cs="Arial" w:eastAsia="Arial" w:hAnsi="Arial"/>
                <w:sz w:val="18"/>
                <w:szCs w:val="18"/>
                <w:color w:val="auto"/>
                <w:w w:val="89"/>
              </w:rPr>
              <w:t>The holders of shares of the Israeli Company as they shall be on the Record</w:t>
            </w:r>
          </w:p>
        </w:tc>
        <w:tc>
          <w:tcPr>
            <w:tcW w:w="0" w:type="dxa"/>
            <w:vAlign w:val="bottom"/>
          </w:tcPr>
          <w:p>
            <w:pPr>
              <w:spacing w:after="0"/>
              <w:rPr>
                <w:sz w:val="1"/>
                <w:szCs w:val="1"/>
                <w:color w:val="auto"/>
              </w:rPr>
            </w:pPr>
          </w:p>
        </w:tc>
      </w:tr>
      <w:tr>
        <w:trPr>
          <w:trHeight w:val="234"/>
        </w:trPr>
        <w:tc>
          <w:tcPr>
            <w:tcW w:w="3000" w:type="dxa"/>
            <w:vAlign w:val="bottom"/>
          </w:tcPr>
          <w:p>
            <w:pPr>
              <w:ind w:left="36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340" w:right="780" w:hanging="3252"/>
        <w:spacing w:after="0" w:line="264" w:lineRule="auto"/>
        <w:tabs>
          <w:tab w:leader="none" w:pos="1257"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the “Israeli Company Options</w:t>
      </w:r>
      <w:r>
        <w:rPr>
          <w:rFonts w:ascii="Arial" w:cs="Arial" w:eastAsia="Arial" w:hAnsi="Arial"/>
          <w:sz w:val="18"/>
          <w:szCs w:val="18"/>
          <w:color w:val="auto"/>
        </w:rPr>
        <w:t>”– Up to 1,658,183 options to purchase shares of the Israeli Company, whereby each option vests the holder thereof with the right to exercise it for one share of the Israeli Company;</w:t>
      </w:r>
    </w:p>
    <w:p>
      <w:pPr>
        <w:sectPr>
          <w:pgSz w:w="11900" w:h="16838" w:orient="portrait"/>
          <w:cols w:equalWidth="0" w:num="1">
            <w:col w:w="11020"/>
          </w:cols>
          <w:pgMar w:left="240" w:top="460" w:right="639" w:bottom="1440" w:gutter="0" w:footer="0" w:header="0"/>
        </w:sectPr>
      </w:pPr>
    </w:p>
    <w:p>
      <w:pPr>
        <w:spacing w:after="0" w:line="7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b w:val="1"/>
          <w:bCs w:val="1"/>
          <w:color w:val="auto"/>
        </w:rPr>
        <w:t>the “Application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sectPr>
          <w:pgSz w:w="11900" w:h="16838" w:orient="portrait"/>
          <w:cols w:equalWidth="0" w:num="2">
            <w:col w:w="3620" w:space="720"/>
            <w:col w:w="6680"/>
          </w:cols>
          <w:pgMar w:left="240" w:top="460" w:right="639" w:bottom="1440" w:gutter="0" w:footer="0" w:header="0"/>
          <w:type w:val="continuous"/>
        </w:sectPr>
      </w:pPr>
    </w:p>
    <w:p>
      <w:pPr>
        <w:ind w:left="4520"/>
        <w:spacing w:after="0"/>
        <w:rPr>
          <w:sz w:val="20"/>
          <w:szCs w:val="20"/>
          <w:color w:val="auto"/>
        </w:rPr>
      </w:pPr>
      <w:r>
        <w:rPr>
          <w:rFonts w:ascii="Arial" w:cs="Arial" w:eastAsia="Arial" w:hAnsi="Arial"/>
          <w:sz w:val="16"/>
          <w:szCs w:val="16"/>
          <w:color w:val="auto"/>
        </w:rPr>
        <w:t>Application for approval of the Arrangement;</w:t>
      </w:r>
    </w:p>
    <w:p>
      <w:pPr>
        <w:sectPr>
          <w:pgSz w:w="11900" w:h="16838" w:orient="portrait"/>
          <w:cols w:equalWidth="0" w:num="1">
            <w:col w:w="11020"/>
          </w:cols>
          <w:pgMar w:left="240" w:top="460" w:right="639" w:bottom="1440" w:gutter="0" w:footer="0" w:header="0"/>
          <w:type w:val="continuous"/>
        </w:sectPr>
      </w:pPr>
    </w:p>
    <w:p>
      <w:pPr>
        <w:spacing w:after="0" w:line="122" w:lineRule="exact"/>
        <w:rPr>
          <w:sz w:val="20"/>
          <w:szCs w:val="20"/>
          <w:color w:val="auto"/>
        </w:rPr>
      </w:pPr>
    </w:p>
    <w:p>
      <w:pPr>
        <w:ind w:left="1080"/>
        <w:spacing w:after="0"/>
        <w:tabs>
          <w:tab w:leader="none" w:pos="142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b w:val="1"/>
          <w:bCs w:val="1"/>
          <w:color w:val="auto"/>
        </w:rPr>
        <w:t>the “Arrangement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980" w:hanging="170"/>
        <w:spacing w:after="0" w:line="308" w:lineRule="auto"/>
        <w:rPr>
          <w:sz w:val="20"/>
          <w:szCs w:val="20"/>
          <w:color w:val="auto"/>
        </w:rPr>
      </w:pPr>
      <w:r>
        <w:rPr>
          <w:rFonts w:ascii="Arial" w:cs="Arial" w:eastAsia="Arial" w:hAnsi="Arial"/>
          <w:sz w:val="17"/>
          <w:szCs w:val="17"/>
          <w:color w:val="auto"/>
        </w:rPr>
        <w:t>– Arrangement pursuant to sections 350 and 351 of the Companies Law, under which that stated hereunder in clause 2 shall be approved;</w:t>
      </w:r>
    </w:p>
    <w:p>
      <w:pPr>
        <w:spacing w:after="0" w:line="34" w:lineRule="exact"/>
        <w:rPr>
          <w:sz w:val="20"/>
          <w:szCs w:val="20"/>
          <w:color w:val="auto"/>
        </w:rPr>
      </w:pPr>
    </w:p>
    <w:p>
      <w:pPr>
        <w:sectPr>
          <w:pgSz w:w="11900" w:h="16838" w:orient="portrait"/>
          <w:cols w:equalWidth="0" w:num="2">
            <w:col w:w="3800" w:space="720"/>
            <w:col w:w="6500"/>
          </w:cols>
          <w:pgMar w:left="240" w:top="460" w:right="639" w:bottom="1440" w:gutter="0" w:footer="0" w:header="0"/>
          <w:type w:val="continuous"/>
        </w:sectPr>
      </w:pPr>
    </w:p>
    <w:p>
      <w:pPr>
        <w:ind w:left="4340" w:right="720" w:hanging="3252"/>
        <w:spacing w:after="0" w:line="264" w:lineRule="auto"/>
        <w:tabs>
          <w:tab w:leader="none" w:pos="1257"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the “American Company</w:t>
      </w:r>
      <w:r>
        <w:rPr>
          <w:rFonts w:ascii="Arial" w:cs="Arial" w:eastAsia="Arial" w:hAnsi="Arial"/>
          <w:sz w:val="18"/>
          <w:szCs w:val="18"/>
          <w:color w:val="auto"/>
        </w:rPr>
        <w:t>”– Arcturus Therapeutics Inc., which is a private company incorporated and registered in the State of Delaware, United States, and wholly owned (100%) by the Israeli Company;</w:t>
      </w:r>
    </w:p>
    <w:p>
      <w:pPr>
        <w:sectPr>
          <w:pgSz w:w="11900" w:h="16838" w:orient="portrait"/>
          <w:cols w:equalWidth="0" w:num="1">
            <w:col w:w="11020"/>
          </w:cols>
          <w:pgMar w:left="240" w:top="460" w:right="639" w:bottom="1440" w:gutter="0" w:footer="0" w:header="0"/>
          <w:type w:val="continuous"/>
        </w:sectPr>
      </w:pPr>
    </w:p>
    <w:p>
      <w:pPr>
        <w:spacing w:after="0" w:line="7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 xml:space="preserve">(h)  </w:t>
      </w:r>
      <w:r>
        <w:rPr>
          <w:rFonts w:ascii="Arial" w:cs="Arial" w:eastAsia="Arial" w:hAnsi="Arial"/>
          <w:sz w:val="17"/>
          <w:szCs w:val="17"/>
          <w:b w:val="1"/>
          <w:bCs w:val="1"/>
          <w:color w:val="auto"/>
        </w:rPr>
        <w:t>the “Tax Ruling</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720" w:hanging="170"/>
        <w:spacing w:after="0" w:line="273" w:lineRule="auto"/>
        <w:rPr>
          <w:sz w:val="20"/>
          <w:szCs w:val="20"/>
          <w:color w:val="auto"/>
        </w:rPr>
      </w:pPr>
      <w:r>
        <w:rPr>
          <w:rFonts w:ascii="Arial" w:cs="Arial" w:eastAsia="Arial" w:hAnsi="Arial"/>
          <w:sz w:val="17"/>
          <w:szCs w:val="17"/>
          <w:color w:val="auto"/>
        </w:rPr>
        <w:t>– A pre-ruling by the Israel Tax Authority regarding the taxation and withholding tax arrangements that shall apply in respect of a sale of the Israeli Company’s shares and the Israeli Company Options in consideration of the Consideration Shares and the Consideration Options, voiding of the Israeli Company Options and in respect of the transfer of the American Company’s shares from the Israeli Company to the New Company;</w:t>
      </w:r>
    </w:p>
    <w:p>
      <w:pPr>
        <w:spacing w:after="0" w:line="66" w:lineRule="exact"/>
        <w:rPr>
          <w:sz w:val="20"/>
          <w:szCs w:val="20"/>
          <w:color w:val="auto"/>
        </w:rPr>
      </w:pPr>
    </w:p>
    <w:p>
      <w:pPr>
        <w:sectPr>
          <w:pgSz w:w="11900" w:h="16838" w:orient="portrait"/>
          <w:cols w:equalWidth="0" w:num="2">
            <w:col w:w="3800" w:space="720"/>
            <w:col w:w="6500"/>
          </w:cols>
          <w:pgMar w:left="240" w:top="460" w:right="639" w:bottom="1440" w:gutter="0" w:footer="0" w:header="0"/>
          <w:type w:val="continuous"/>
        </w:sectPr>
      </w:pPr>
    </w:p>
    <w:p>
      <w:pPr>
        <w:ind w:left="1440" w:right="1840" w:hanging="352"/>
        <w:spacing w:after="0" w:line="258" w:lineRule="auto"/>
        <w:tabs>
          <w:tab w:leader="none" w:pos="143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the “Deadline for Fulfilling the</w:t>
      </w:r>
      <w:r>
        <w:rPr>
          <w:rFonts w:ascii="Arial" w:cs="Arial" w:eastAsia="Arial" w:hAnsi="Arial"/>
          <w:sz w:val="18"/>
          <w:szCs w:val="18"/>
          <w:color w:val="auto"/>
        </w:rPr>
        <w:t xml:space="preserve">– May 31, 2019, unless extended as stated hereunder in clause 7.4; </w:t>
      </w:r>
      <w:r>
        <w:rPr>
          <w:rFonts w:ascii="Arial" w:cs="Arial" w:eastAsia="Arial" w:hAnsi="Arial"/>
          <w:sz w:val="18"/>
          <w:szCs w:val="18"/>
          <w:b w:val="1"/>
          <w:bCs w:val="1"/>
          <w:color w:val="auto"/>
        </w:rPr>
        <w:t>Suspending Conditions</w:t>
      </w:r>
      <w:r>
        <w:rPr>
          <w:rFonts w:ascii="Arial" w:cs="Arial" w:eastAsia="Arial" w:hAnsi="Arial"/>
          <w:sz w:val="18"/>
          <w:szCs w:val="18"/>
          <w:color w:val="auto"/>
        </w:rPr>
        <w:t>”</w:t>
      </w:r>
    </w:p>
    <w:p>
      <w:pPr>
        <w:sectPr>
          <w:pgSz w:w="11900" w:h="16838" w:orient="portrait"/>
          <w:cols w:equalWidth="0" w:num="1">
            <w:col w:w="11020"/>
          </w:cols>
          <w:pgMar w:left="240" w:top="460" w:right="639" w:bottom="1440" w:gutter="0" w:footer="0" w:header="0"/>
          <w:type w:val="continuous"/>
        </w:sectPr>
      </w:pPr>
    </w:p>
    <w:p>
      <w:pPr>
        <w:spacing w:after="0" w:line="306" w:lineRule="exact"/>
        <w:rPr>
          <w:sz w:val="20"/>
          <w:szCs w:val="20"/>
          <w:color w:val="auto"/>
        </w:rPr>
      </w:pPr>
    </w:p>
    <w:p>
      <w:pPr>
        <w:ind w:left="1080"/>
        <w:spacing w:after="0"/>
        <w:tabs>
          <w:tab w:leader="none" w:pos="1420"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16"/>
          <w:szCs w:val="16"/>
          <w:b w:val="1"/>
          <w:bCs w:val="1"/>
          <w:color w:val="auto"/>
        </w:rPr>
        <w:t>the “Record Date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right="700" w:hanging="259"/>
        <w:spacing w:after="0" w:line="264"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date determining eligibility to receive the Consideration Shares, which shall be the date to be specified in the Court ruling regarding approval of the Arrangement;</w:t>
      </w:r>
    </w:p>
    <w:p>
      <w:pPr>
        <w:spacing w:after="0" w:line="69" w:lineRule="exact"/>
        <w:rPr>
          <w:sz w:val="20"/>
          <w:szCs w:val="20"/>
          <w:color w:val="auto"/>
        </w:rPr>
      </w:pPr>
    </w:p>
    <w:p>
      <w:pPr>
        <w:sectPr>
          <w:pgSz w:w="11900" w:h="16838" w:orient="portrait"/>
          <w:cols w:equalWidth="0" w:num="2">
            <w:col w:w="3800" w:space="720"/>
            <w:col w:w="6500"/>
          </w:cols>
          <w:pgMar w:left="240" w:top="460" w:right="639" w:bottom="1440" w:gutter="0" w:footer="0" w:header="0"/>
          <w:type w:val="continuous"/>
        </w:sectPr>
      </w:pPr>
    </w:p>
    <w:p>
      <w:pPr>
        <w:ind w:left="1080"/>
        <w:spacing w:after="0"/>
        <w:rPr>
          <w:sz w:val="20"/>
          <w:szCs w:val="20"/>
          <w:color w:val="auto"/>
        </w:rPr>
      </w:pPr>
      <w:r>
        <w:rPr>
          <w:rFonts w:ascii="Arial" w:cs="Arial" w:eastAsia="Arial" w:hAnsi="Arial"/>
          <w:sz w:val="16"/>
          <w:szCs w:val="16"/>
          <w:color w:val="auto"/>
        </w:rPr>
        <w:t xml:space="preserve">(k)  </w:t>
      </w:r>
      <w:r>
        <w:rPr>
          <w:rFonts w:ascii="Arial" w:cs="Arial" w:eastAsia="Arial" w:hAnsi="Arial"/>
          <w:sz w:val="16"/>
          <w:szCs w:val="16"/>
          <w:b w:val="1"/>
          <w:bCs w:val="1"/>
          <w:color w:val="auto"/>
        </w:rPr>
        <w:t>the “Shares Being Purchased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720" w:hanging="259"/>
        <w:spacing w:after="0" w:line="259"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Up to 11,139,723 ordinary shares of NIS 0.07 each of the Israeli Company, which constitute on the Consummation Date 100% of the Israeli Company’s issued and paid-up share capital, being Free and Clear, which shall be purchased by the</w:t>
      </w:r>
    </w:p>
    <w:p>
      <w:pPr>
        <w:spacing w:after="0" w:line="119" w:lineRule="exact"/>
        <w:rPr>
          <w:sz w:val="20"/>
          <w:szCs w:val="20"/>
          <w:color w:val="auto"/>
        </w:rPr>
      </w:pPr>
    </w:p>
    <w:p>
      <w:pPr>
        <w:sectPr>
          <w:pgSz w:w="11900" w:h="16838" w:orient="portrait"/>
          <w:cols w:equalWidth="0" w:num="2">
            <w:col w:w="3800" w:space="720"/>
            <w:col w:w="6500"/>
          </w:cols>
          <w:pgMar w:left="240" w:top="460" w:right="639" w:bottom="1440" w:gutter="0" w:footer="0" w:header="0"/>
          <w:type w:val="continuous"/>
        </w:sectPr>
      </w:pPr>
    </w:p>
    <w:p>
      <w:pPr>
        <w:jc w:val="center"/>
        <w:ind w:right="-419"/>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1020"/>
          </w:cols>
          <w:pgMar w:left="240" w:top="460" w:right="639" w:bottom="1440" w:gutter="0" w:footer="0" w:header="0"/>
          <w:type w:val="continuous"/>
        </w:sectPr>
      </w:pPr>
    </w:p>
    <w:bookmarkStart w:id="213" w:name="page214"/>
    <w:bookmarkEnd w:id="213"/>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b w:val="1"/>
                <w:bCs w:val="1"/>
                <w:color w:val="0000EE"/>
                <w:w w:val="90"/>
              </w:rPr>
            </w:pPr>
            <w:hyperlink w:anchor="page6">
              <w:r>
                <w:rPr>
                  <w:rFonts w:ascii="Arial" w:cs="Arial" w:eastAsia="Arial" w:hAnsi="Arial"/>
                  <w:sz w:val="18"/>
                  <w:szCs w:val="18"/>
                  <w:b w:val="1"/>
                  <w:bCs w:val="1"/>
                  <w:color w:val="0000EE"/>
                  <w:w w:val="90"/>
                </w:rPr>
                <w:t>Table of Contents</w:t>
              </w:r>
            </w:hyperlink>
          </w:p>
        </w:tc>
        <w:tc>
          <w:tcPr>
            <w:tcW w:w="2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76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w w:val="92"/>
              </w:rPr>
              <w:t>New Company from the Shareholders of the Israeli Company in consideration</w:t>
            </w:r>
          </w:p>
        </w:tc>
      </w:tr>
      <w:tr>
        <w:trPr>
          <w:trHeight w:val="230"/>
        </w:trPr>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w w:val="93"/>
              </w:rPr>
              <w:t>of the Consideration Shares, in conformity with the terms of This Agreement;</w:t>
            </w:r>
          </w:p>
        </w:tc>
      </w:tr>
      <w:tr>
        <w:trPr>
          <w:trHeight w:val="324"/>
        </w:trPr>
        <w:tc>
          <w:tcPr>
            <w:tcW w:w="1400" w:type="dxa"/>
            <w:vAlign w:val="bottom"/>
            <w:gridSpan w:val="2"/>
          </w:tcPr>
          <w:p>
            <w:pPr>
              <w:ind w:left="1080"/>
              <w:spacing w:after="0"/>
              <w:rPr>
                <w:sz w:val="20"/>
                <w:szCs w:val="20"/>
                <w:color w:val="auto"/>
              </w:rPr>
            </w:pPr>
            <w:r>
              <w:rPr>
                <w:rFonts w:ascii="Arial" w:cs="Arial" w:eastAsia="Arial" w:hAnsi="Arial"/>
                <w:sz w:val="18"/>
                <w:szCs w:val="18"/>
                <w:color w:val="auto"/>
              </w:rPr>
              <w:t>(l)</w:t>
            </w:r>
          </w:p>
        </w:tc>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the “Suspending Conditions</w:t>
            </w:r>
            <w:r>
              <w:rPr>
                <w:rFonts w:ascii="Arial" w:cs="Arial" w:eastAsia="Arial" w:hAnsi="Arial"/>
                <w:sz w:val="18"/>
                <w:szCs w:val="18"/>
                <w:color w:val="auto"/>
              </w:rPr>
              <w:t>”</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rPr>
              <w:t>All of the suspending conditions specified hereunder in clause 7;</w:t>
            </w:r>
          </w:p>
        </w:tc>
      </w:tr>
      <w:tr>
        <w:trPr>
          <w:trHeight w:val="540"/>
        </w:trPr>
        <w:tc>
          <w:tcPr>
            <w:tcW w:w="1400" w:type="dxa"/>
            <w:vAlign w:val="bottom"/>
            <w:gridSpan w:val="2"/>
          </w:tcPr>
          <w:p>
            <w:pPr>
              <w:ind w:left="1080"/>
              <w:spacing w:after="0"/>
              <w:rPr>
                <w:sz w:val="20"/>
                <w:szCs w:val="20"/>
                <w:color w:val="auto"/>
              </w:rPr>
            </w:pPr>
            <w:r>
              <w:rPr>
                <w:rFonts w:ascii="Arial" w:cs="Arial" w:eastAsia="Arial" w:hAnsi="Arial"/>
                <w:sz w:val="18"/>
                <w:szCs w:val="18"/>
                <w:color w:val="auto"/>
              </w:rPr>
              <w:t>(m)</w:t>
            </w:r>
          </w:p>
        </w:tc>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the “Consideration</w:t>
            </w:r>
            <w:r>
              <w:rPr>
                <w:rFonts w:ascii="Arial" w:cs="Arial" w:eastAsia="Arial" w:hAnsi="Arial"/>
                <w:sz w:val="18"/>
                <w:szCs w:val="18"/>
                <w:color w:val="auto"/>
              </w:rPr>
              <w:t>”</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rPr>
              <w:t>As defined hereunder in clause 3;</w:t>
            </w:r>
          </w:p>
        </w:tc>
      </w:tr>
      <w:tr>
        <w:trPr>
          <w:trHeight w:val="526"/>
        </w:trPr>
        <w:tc>
          <w:tcPr>
            <w:tcW w:w="1400" w:type="dxa"/>
            <w:vAlign w:val="bottom"/>
            <w:gridSpan w:val="2"/>
          </w:tcPr>
          <w:p>
            <w:pPr>
              <w:ind w:left="1080"/>
              <w:spacing w:after="0"/>
              <w:rPr>
                <w:sz w:val="20"/>
                <w:szCs w:val="20"/>
                <w:color w:val="auto"/>
              </w:rPr>
            </w:pPr>
            <w:r>
              <w:rPr>
                <w:rFonts w:ascii="Arial" w:cs="Arial" w:eastAsia="Arial" w:hAnsi="Arial"/>
                <w:sz w:val="18"/>
                <w:szCs w:val="18"/>
                <w:color w:val="auto"/>
              </w:rPr>
              <w:t>(n)</w:t>
            </w:r>
          </w:p>
        </w:tc>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the “Companies Law</w:t>
            </w:r>
            <w:r>
              <w:rPr>
                <w:rFonts w:ascii="Arial" w:cs="Arial" w:eastAsia="Arial" w:hAnsi="Arial"/>
                <w:sz w:val="18"/>
                <w:szCs w:val="18"/>
                <w:color w:val="auto"/>
              </w:rPr>
              <w:t>”</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w w:val="89"/>
              </w:rPr>
              <w:t xml:space="preserve">The Israeli Companies Law, </w:t>
            </w:r>
            <w:r>
              <w:rPr>
                <w:rFonts w:ascii="Arial" w:cs="Arial" w:eastAsia="Arial" w:hAnsi="Arial"/>
                <w:sz w:val="18"/>
                <w:szCs w:val="18"/>
                <w:i w:val="1"/>
                <w:iCs w:val="1"/>
                <w:color w:val="auto"/>
                <w:w w:val="89"/>
              </w:rPr>
              <w:t>5759</w:t>
            </w:r>
            <w:r>
              <w:rPr>
                <w:rFonts w:ascii="Arial" w:cs="Arial" w:eastAsia="Arial" w:hAnsi="Arial"/>
                <w:sz w:val="18"/>
                <w:szCs w:val="18"/>
                <w:color w:val="auto"/>
                <w:w w:val="89"/>
              </w:rPr>
              <w:t xml:space="preserve"> – 1999, and the regulations enacted pursuant</w:t>
            </w:r>
          </w:p>
        </w:tc>
      </w:tr>
      <w:tr>
        <w:trPr>
          <w:trHeight w:val="230"/>
        </w:trPr>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rPr>
              <w:t>thereto;</w:t>
            </w:r>
          </w:p>
        </w:tc>
      </w:tr>
      <w:tr>
        <w:trPr>
          <w:trHeight w:val="310"/>
        </w:trPr>
        <w:tc>
          <w:tcPr>
            <w:tcW w:w="1400" w:type="dxa"/>
            <w:vAlign w:val="bottom"/>
            <w:gridSpan w:val="2"/>
          </w:tcPr>
          <w:p>
            <w:pPr>
              <w:ind w:left="1080"/>
              <w:spacing w:after="0"/>
              <w:rPr>
                <w:sz w:val="20"/>
                <w:szCs w:val="20"/>
                <w:color w:val="auto"/>
              </w:rPr>
            </w:pPr>
            <w:r>
              <w:rPr>
                <w:rFonts w:ascii="Arial" w:cs="Arial" w:eastAsia="Arial" w:hAnsi="Arial"/>
                <w:sz w:val="18"/>
                <w:szCs w:val="18"/>
                <w:color w:val="auto"/>
              </w:rPr>
              <w:t>(o)</w:t>
            </w:r>
          </w:p>
        </w:tc>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 xml:space="preserve">the </w:t>
            </w:r>
            <w:r>
              <w:rPr>
                <w:rFonts w:ascii="Arial" w:cs="Arial" w:eastAsia="Arial" w:hAnsi="Arial"/>
                <w:sz w:val="18"/>
                <w:szCs w:val="18"/>
                <w:color w:val="auto"/>
              </w:rPr>
              <w:t>“</w:t>
            </w:r>
            <w:r>
              <w:rPr>
                <w:rFonts w:ascii="Arial" w:cs="Arial" w:eastAsia="Arial" w:hAnsi="Arial"/>
                <w:sz w:val="18"/>
                <w:szCs w:val="18"/>
                <w:b w:val="1"/>
                <w:bCs w:val="1"/>
                <w:color w:val="auto"/>
              </w:rPr>
              <w:t>Securities Law</w:t>
            </w:r>
            <w:r>
              <w:rPr>
                <w:rFonts w:ascii="Arial" w:cs="Arial" w:eastAsia="Arial" w:hAnsi="Arial"/>
                <w:sz w:val="18"/>
                <w:szCs w:val="18"/>
                <w:color w:val="auto"/>
              </w:rPr>
              <w:t>”</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w w:val="91"/>
              </w:rPr>
              <w:t xml:space="preserve">The Israeli Securities Law, </w:t>
            </w:r>
            <w:r>
              <w:rPr>
                <w:rFonts w:ascii="Arial" w:cs="Arial" w:eastAsia="Arial" w:hAnsi="Arial"/>
                <w:sz w:val="18"/>
                <w:szCs w:val="18"/>
                <w:i w:val="1"/>
                <w:iCs w:val="1"/>
                <w:color w:val="auto"/>
                <w:w w:val="91"/>
              </w:rPr>
              <w:t>5728</w:t>
            </w:r>
            <w:r>
              <w:rPr>
                <w:rFonts w:ascii="Arial" w:cs="Arial" w:eastAsia="Arial" w:hAnsi="Arial"/>
                <w:sz w:val="18"/>
                <w:szCs w:val="18"/>
                <w:color w:val="auto"/>
                <w:w w:val="91"/>
              </w:rPr>
              <w:t xml:space="preserve"> – 1968, and the regulations enacted pursuant</w:t>
            </w:r>
          </w:p>
        </w:tc>
      </w:tr>
      <w:tr>
        <w:trPr>
          <w:trHeight w:val="230"/>
        </w:trPr>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rPr>
              <w:t>thereto;</w:t>
            </w:r>
          </w:p>
        </w:tc>
      </w:tr>
      <w:tr>
        <w:trPr>
          <w:trHeight w:val="310"/>
        </w:trPr>
        <w:tc>
          <w:tcPr>
            <w:tcW w:w="1400" w:type="dxa"/>
            <w:vAlign w:val="bottom"/>
            <w:gridSpan w:val="2"/>
          </w:tcPr>
          <w:p>
            <w:pPr>
              <w:ind w:left="1080"/>
              <w:spacing w:after="0"/>
              <w:rPr>
                <w:sz w:val="20"/>
                <w:szCs w:val="20"/>
                <w:color w:val="auto"/>
              </w:rPr>
            </w:pPr>
            <w:r>
              <w:rPr>
                <w:rFonts w:ascii="Arial" w:cs="Arial" w:eastAsia="Arial" w:hAnsi="Arial"/>
                <w:sz w:val="18"/>
                <w:szCs w:val="18"/>
                <w:color w:val="auto"/>
              </w:rPr>
              <w:t>(p)</w:t>
            </w:r>
          </w:p>
        </w:tc>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the “Consummation Date</w:t>
            </w:r>
            <w:r>
              <w:rPr>
                <w:rFonts w:ascii="Arial" w:cs="Arial" w:eastAsia="Arial" w:hAnsi="Arial"/>
                <w:sz w:val="18"/>
                <w:szCs w:val="18"/>
                <w:color w:val="auto"/>
              </w:rPr>
              <w:t>”</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w w:val="89"/>
              </w:rPr>
              <w:t>The date on which the Arrangement shall be completed according to the date to</w:t>
            </w:r>
          </w:p>
        </w:tc>
      </w:tr>
      <w:tr>
        <w:trPr>
          <w:trHeight w:val="230"/>
        </w:trPr>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rPr>
              <w:t>be stipulated by the Court;</w:t>
            </w:r>
          </w:p>
        </w:tc>
      </w:tr>
      <w:tr>
        <w:trPr>
          <w:trHeight w:val="310"/>
        </w:trPr>
        <w:tc>
          <w:tcPr>
            <w:tcW w:w="1400" w:type="dxa"/>
            <w:vAlign w:val="bottom"/>
            <w:gridSpan w:val="2"/>
          </w:tcPr>
          <w:p>
            <w:pPr>
              <w:ind w:left="1080"/>
              <w:spacing w:after="0"/>
              <w:rPr>
                <w:sz w:val="20"/>
                <w:szCs w:val="20"/>
                <w:color w:val="auto"/>
              </w:rPr>
            </w:pPr>
            <w:r>
              <w:rPr>
                <w:rFonts w:ascii="Arial" w:cs="Arial" w:eastAsia="Arial" w:hAnsi="Arial"/>
                <w:sz w:val="18"/>
                <w:szCs w:val="18"/>
                <w:color w:val="auto"/>
              </w:rPr>
              <w:t>(q)</w:t>
            </w:r>
          </w:p>
        </w:tc>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the “Option-holders</w:t>
            </w:r>
            <w:r>
              <w:rPr>
                <w:rFonts w:ascii="Arial" w:cs="Arial" w:eastAsia="Arial" w:hAnsi="Arial"/>
                <w:sz w:val="18"/>
                <w:szCs w:val="18"/>
                <w:color w:val="auto"/>
              </w:rPr>
              <w:t>”</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rPr>
              <w:t>The holders of the Israeli Company Options as they shall be on the</w:t>
            </w:r>
          </w:p>
        </w:tc>
      </w:tr>
      <w:tr>
        <w:trPr>
          <w:trHeight w:val="230"/>
        </w:trPr>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rPr>
              <w:t>Consummation Date;</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440" w:right="1320" w:hanging="352"/>
        <w:spacing w:after="0" w:line="258" w:lineRule="auto"/>
        <w:tabs>
          <w:tab w:leader="none" w:pos="1422"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 xml:space="preserve">the </w:t>
      </w:r>
      <w:r>
        <w:rPr>
          <w:rFonts w:ascii="Arial" w:cs="Arial" w:eastAsia="Arial" w:hAnsi="Arial"/>
          <w:sz w:val="18"/>
          <w:szCs w:val="18"/>
          <w:color w:val="auto"/>
        </w:rPr>
        <w:t>“</w:t>
      </w:r>
      <w:r>
        <w:rPr>
          <w:rFonts w:ascii="Arial" w:cs="Arial" w:eastAsia="Arial" w:hAnsi="Arial"/>
          <w:sz w:val="18"/>
          <w:szCs w:val="18"/>
          <w:b w:val="1"/>
          <w:bCs w:val="1"/>
          <w:color w:val="auto"/>
        </w:rPr>
        <w:t>Israeli Company Options and</w:t>
      </w:r>
      <w:r>
        <w:rPr>
          <w:rFonts w:ascii="Arial" w:cs="Arial" w:eastAsia="Arial" w:hAnsi="Arial"/>
          <w:sz w:val="18"/>
          <w:szCs w:val="18"/>
          <w:color w:val="auto"/>
        </w:rPr>
        <w:t xml:space="preserve">the Shares Being Purchased and the Israeli Company Options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305" w:lineRule="exact"/>
        <w:rPr>
          <w:rFonts w:ascii="Arial" w:cs="Arial" w:eastAsia="Arial" w:hAnsi="Arial"/>
          <w:sz w:val="18"/>
          <w:szCs w:val="18"/>
          <w:color w:val="auto"/>
        </w:rPr>
      </w:pPr>
    </w:p>
    <w:p>
      <w:pPr>
        <w:ind w:left="4340" w:right="60" w:hanging="3252"/>
        <w:spacing w:after="0" w:line="272" w:lineRule="auto"/>
        <w:tabs>
          <w:tab w:leader="none" w:pos="1262"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the “Consideration Shares</w:t>
      </w:r>
      <w:r>
        <w:rPr>
          <w:rFonts w:ascii="Arial" w:cs="Arial" w:eastAsia="Arial" w:hAnsi="Arial"/>
          <w:sz w:val="18"/>
          <w:szCs w:val="18"/>
          <w:color w:val="auto"/>
        </w:rPr>
        <w:t>”</w:t>
      </w:r>
      <w:r>
        <w:rPr>
          <w:rFonts w:ascii="Arial" w:cs="Arial" w:eastAsia="Arial" w:hAnsi="Arial"/>
          <w:sz w:val="17"/>
          <w:szCs w:val="17"/>
          <w:color w:val="auto"/>
        </w:rPr>
        <w:t>– Up to 11,139,723 shares of common stock, par value USD 0.001 per share, of the New Company, which shall constitute on the Consummation Date 100% of the issued and outstanding share capital of the New Company, being Free and Clear, which shall be issued to the Shareholders of the Israeli Company in consideration of the Shares Being Purchased, in conformity with the terms of this Agreement, and which shall constitute the full consideration in respect of the Shares Being Purchased;</w:t>
      </w:r>
    </w:p>
    <w:p>
      <w:pPr>
        <w:sectPr>
          <w:pgSz w:w="11900" w:h="16838" w:orient="portrait"/>
          <w:cols w:equalWidth="0" w:num="1">
            <w:col w:w="10260"/>
          </w:cols>
          <w:pgMar w:left="240" w:top="446" w:right="1399" w:bottom="1440" w:gutter="0" w:footer="0" w:header="0"/>
        </w:sectPr>
      </w:pPr>
    </w:p>
    <w:p>
      <w:pPr>
        <w:spacing w:after="0" w:line="70" w:lineRule="exact"/>
        <w:rPr>
          <w:sz w:val="20"/>
          <w:szCs w:val="20"/>
          <w:color w:val="auto"/>
        </w:rPr>
      </w:pPr>
    </w:p>
    <w:p>
      <w:pPr>
        <w:ind w:left="1080"/>
        <w:spacing w:after="0"/>
        <w:tabs>
          <w:tab w:leader="none" w:pos="1420" w:val="left"/>
        </w:tabs>
        <w:rPr>
          <w:sz w:val="20"/>
          <w:szCs w:val="20"/>
          <w:color w:val="auto"/>
        </w:rPr>
      </w:pPr>
      <w:r>
        <w:rPr>
          <w:rFonts w:ascii="Arial" w:cs="Arial" w:eastAsia="Arial" w:hAnsi="Arial"/>
          <w:sz w:val="18"/>
          <w:szCs w:val="18"/>
          <w:color w:val="auto"/>
        </w:rPr>
        <w:t>(t)</w:t>
      </w:r>
      <w:r>
        <w:rPr>
          <w:sz w:val="20"/>
          <w:szCs w:val="20"/>
          <w:color w:val="auto"/>
        </w:rPr>
        <w:tab/>
      </w:r>
      <w:r>
        <w:rPr>
          <w:rFonts w:ascii="Arial" w:cs="Arial" w:eastAsia="Arial" w:hAnsi="Arial"/>
          <w:sz w:val="16"/>
          <w:szCs w:val="16"/>
          <w:b w:val="1"/>
          <w:bCs w:val="1"/>
          <w:color w:val="auto"/>
        </w:rPr>
        <w:t>the “Form S-4 Registration</w:t>
      </w:r>
    </w:p>
    <w:p>
      <w:pPr>
        <w:spacing w:after="0" w:line="2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Statement”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hanging="170"/>
        <w:spacing w:after="0" w:line="302" w:lineRule="auto"/>
        <w:rPr>
          <w:sz w:val="20"/>
          <w:szCs w:val="20"/>
          <w:color w:val="auto"/>
        </w:rPr>
      </w:pPr>
      <w:r>
        <w:rPr>
          <w:rFonts w:ascii="Arial" w:cs="Arial" w:eastAsia="Arial" w:hAnsi="Arial"/>
          <w:sz w:val="16"/>
          <w:szCs w:val="16"/>
          <w:color w:val="auto"/>
        </w:rPr>
        <w:t>– the registration statement on Form S-4 to be filed with the SEC by the New Company registering the public offering and sale of the Consideration Shares to the Shareholders of the Israeli Company, as said registration statement may be amended prior to the time it is declared effective by the SEC.</w:t>
      </w:r>
    </w:p>
    <w:p>
      <w:pPr>
        <w:spacing w:after="0" w:line="42" w:lineRule="exact"/>
        <w:rPr>
          <w:sz w:val="20"/>
          <w:szCs w:val="20"/>
          <w:color w:val="auto"/>
        </w:rPr>
      </w:pPr>
    </w:p>
    <w:p>
      <w:pPr>
        <w:sectPr>
          <w:pgSz w:w="11900" w:h="16838" w:orient="portrait"/>
          <w:cols w:equalWidth="0" w:num="2">
            <w:col w:w="3800" w:space="720"/>
            <w:col w:w="5740"/>
          </w:cols>
          <w:pgMar w:left="240" w:top="446" w:right="1399" w:bottom="1440" w:gutter="0" w:footer="0" w:header="0"/>
          <w:type w:val="continuous"/>
        </w:sectPr>
      </w:pPr>
    </w:p>
    <w:p>
      <w:pPr>
        <w:ind w:left="1080"/>
        <w:spacing w:after="0"/>
        <w:rPr>
          <w:sz w:val="20"/>
          <w:szCs w:val="20"/>
          <w:color w:val="auto"/>
        </w:rPr>
      </w:pPr>
      <w:r>
        <w:rPr>
          <w:rFonts w:ascii="Arial" w:cs="Arial" w:eastAsia="Arial" w:hAnsi="Arial"/>
          <w:sz w:val="18"/>
          <w:szCs w:val="18"/>
          <w:color w:val="auto"/>
        </w:rPr>
        <w:t>(u)  “</w:t>
      </w:r>
      <w:r>
        <w:rPr>
          <w:rFonts w:ascii="Arial" w:cs="Arial" w:eastAsia="Arial" w:hAnsi="Arial"/>
          <w:sz w:val="18"/>
          <w:szCs w:val="18"/>
          <w:b w:val="1"/>
          <w:bCs w:val="1"/>
          <w:color w:val="auto"/>
        </w:rPr>
        <w:t>NASDAQ</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440" w:hanging="170"/>
        <w:spacing w:after="0" w:line="308" w:lineRule="auto"/>
        <w:rPr>
          <w:sz w:val="20"/>
          <w:szCs w:val="20"/>
          <w:color w:val="auto"/>
        </w:rPr>
      </w:pPr>
      <w:r>
        <w:rPr>
          <w:rFonts w:ascii="Arial" w:cs="Arial" w:eastAsia="Arial" w:hAnsi="Arial"/>
          <w:sz w:val="17"/>
          <w:szCs w:val="17"/>
          <w:color w:val="auto"/>
        </w:rPr>
        <w:t>– The Nasdaq Global Market stock exchange in the United States (National Association of Securities Dealers Automated Quotations);</w:t>
      </w:r>
    </w:p>
    <w:p>
      <w:pPr>
        <w:spacing w:after="0" w:line="34" w:lineRule="exact"/>
        <w:rPr>
          <w:sz w:val="20"/>
          <w:szCs w:val="20"/>
          <w:color w:val="auto"/>
        </w:rPr>
      </w:pPr>
    </w:p>
    <w:p>
      <w:pPr>
        <w:sectPr>
          <w:pgSz w:w="11900" w:h="16838" w:orient="portrait"/>
          <w:cols w:equalWidth="0" w:num="2">
            <w:col w:w="3800" w:space="720"/>
            <w:col w:w="5740"/>
          </w:cols>
          <w:pgMar w:left="240" w:top="446" w:right="1399" w:bottom="1440" w:gutter="0" w:footer="0" w:header="0"/>
          <w:type w:val="continuous"/>
        </w:sectPr>
      </w:pPr>
    </w:p>
    <w:p>
      <w:pPr>
        <w:ind w:left="1080"/>
        <w:spacing w:after="0"/>
        <w:rPr>
          <w:sz w:val="20"/>
          <w:szCs w:val="20"/>
          <w:color w:val="auto"/>
        </w:rPr>
      </w:pPr>
      <w:r>
        <w:rPr>
          <w:rFonts w:ascii="Arial" w:cs="Arial" w:eastAsia="Arial" w:hAnsi="Arial"/>
          <w:sz w:val="17"/>
          <w:szCs w:val="17"/>
          <w:color w:val="auto"/>
        </w:rPr>
        <w:t>(v)  “</w:t>
      </w:r>
      <w:r>
        <w:rPr>
          <w:rFonts w:ascii="Arial" w:cs="Arial" w:eastAsia="Arial" w:hAnsi="Arial"/>
          <w:sz w:val="17"/>
          <w:szCs w:val="17"/>
          <w:b w:val="1"/>
          <w:bCs w:val="1"/>
          <w:color w:val="auto"/>
        </w:rPr>
        <w:t>Free and Clear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0" w:hanging="170"/>
        <w:spacing w:after="0" w:line="276" w:lineRule="auto"/>
        <w:rPr>
          <w:sz w:val="20"/>
          <w:szCs w:val="20"/>
          <w:color w:val="auto"/>
        </w:rPr>
      </w:pPr>
      <w:r>
        <w:rPr>
          <w:rFonts w:ascii="Arial" w:cs="Arial" w:eastAsia="Arial" w:hAnsi="Arial"/>
          <w:sz w:val="17"/>
          <w:szCs w:val="17"/>
          <w:color w:val="auto"/>
        </w:rPr>
        <w:t>– Free and clear of any encumbrance, pledge, attachment, debt, liability, lien, arrangement, blocking, hypothecation, right of first refusal, preferential right, right of offer, tag-along right, purchase option, lawsuit, demand, claim or any third-party right of any kind whatsoever other than any restrictions imposed by applicable United States securities laws and regulations;</w:t>
      </w:r>
    </w:p>
    <w:p>
      <w:pPr>
        <w:spacing w:after="0" w:line="60" w:lineRule="exact"/>
        <w:rPr>
          <w:sz w:val="20"/>
          <w:szCs w:val="20"/>
          <w:color w:val="auto"/>
        </w:rPr>
      </w:pPr>
    </w:p>
    <w:p>
      <w:pPr>
        <w:sectPr>
          <w:pgSz w:w="11900" w:h="16838" w:orient="portrait"/>
          <w:cols w:equalWidth="0" w:num="2">
            <w:col w:w="3800" w:space="720"/>
            <w:col w:w="5740"/>
          </w:cols>
          <w:pgMar w:left="240" w:top="446" w:right="1399" w:bottom="1440" w:gutter="0" w:footer="0" w:header="0"/>
          <w:type w:val="continuous"/>
        </w:sectPr>
      </w:pPr>
    </w:p>
    <w:p>
      <w:pPr>
        <w:ind w:left="1080"/>
        <w:spacing w:after="0"/>
        <w:rPr>
          <w:sz w:val="20"/>
          <w:szCs w:val="20"/>
          <w:color w:val="auto"/>
        </w:rPr>
      </w:pPr>
      <w:r>
        <w:rPr>
          <w:rFonts w:ascii="Arial" w:cs="Arial" w:eastAsia="Arial" w:hAnsi="Arial"/>
          <w:sz w:val="17"/>
          <w:szCs w:val="17"/>
          <w:color w:val="auto"/>
        </w:rPr>
        <w:t xml:space="preserve">(w) </w:t>
      </w:r>
      <w:r>
        <w:rPr>
          <w:rFonts w:ascii="Arial" w:cs="Arial" w:eastAsia="Arial" w:hAnsi="Arial"/>
          <w:sz w:val="17"/>
          <w:szCs w:val="17"/>
          <w:b w:val="1"/>
          <w:bCs w:val="1"/>
          <w:color w:val="auto"/>
        </w:rPr>
        <w:t>the “Interim Period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0" w:hanging="170"/>
        <w:spacing w:after="0" w:line="277" w:lineRule="auto"/>
        <w:rPr>
          <w:sz w:val="20"/>
          <w:szCs w:val="20"/>
          <w:color w:val="auto"/>
        </w:rPr>
      </w:pPr>
      <w:r>
        <w:rPr>
          <w:rFonts w:ascii="Arial" w:cs="Arial" w:eastAsia="Arial" w:hAnsi="Arial"/>
          <w:sz w:val="18"/>
          <w:szCs w:val="18"/>
          <w:color w:val="auto"/>
        </w:rPr>
        <w:t>– The period between the signing date of this Agreement and the Consummation Date;</w:t>
      </w:r>
    </w:p>
    <w:p>
      <w:pPr>
        <w:spacing w:after="0" w:line="58" w:lineRule="exact"/>
        <w:rPr>
          <w:sz w:val="20"/>
          <w:szCs w:val="20"/>
          <w:color w:val="auto"/>
        </w:rPr>
      </w:pPr>
    </w:p>
    <w:p>
      <w:pPr>
        <w:sectPr>
          <w:pgSz w:w="11900" w:h="16838" w:orient="portrait"/>
          <w:cols w:equalWidth="0" w:num="2">
            <w:col w:w="3800" w:space="720"/>
            <w:col w:w="5740"/>
          </w:cols>
          <w:pgMar w:left="240" w:top="446" w:right="1399" w:bottom="1440" w:gutter="0" w:footer="0" w:header="0"/>
          <w:type w:val="continuous"/>
        </w:sectPr>
      </w:pPr>
    </w:p>
    <w:p>
      <w:pPr>
        <w:ind w:left="4340" w:right="980" w:hanging="3252"/>
        <w:spacing w:after="0" w:line="277" w:lineRule="auto"/>
        <w:tabs>
          <w:tab w:leader="none" w:pos="1257"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the “Companies Regulations</w:t>
      </w:r>
      <w:r>
        <w:rPr>
          <w:rFonts w:ascii="Arial" w:cs="Arial" w:eastAsia="Arial" w:hAnsi="Arial"/>
          <w:sz w:val="18"/>
          <w:szCs w:val="18"/>
          <w:color w:val="auto"/>
        </w:rPr>
        <w:t xml:space="preserve">”– The Israeli Companies Regulations (Application for Settlement or Arrangement), </w:t>
      </w:r>
      <w:r>
        <w:rPr>
          <w:rFonts w:ascii="Arial" w:cs="Arial" w:eastAsia="Arial" w:hAnsi="Arial"/>
          <w:sz w:val="18"/>
          <w:szCs w:val="18"/>
          <w:i w:val="1"/>
          <w:iCs w:val="1"/>
          <w:color w:val="auto"/>
        </w:rPr>
        <w:t>5762</w:t>
      </w:r>
      <w:r>
        <w:rPr>
          <w:rFonts w:ascii="Arial" w:cs="Arial" w:eastAsia="Arial" w:hAnsi="Arial"/>
          <w:sz w:val="18"/>
          <w:szCs w:val="18"/>
          <w:color w:val="auto"/>
        </w:rPr>
        <w:t xml:space="preserve"> – 2002;</w:t>
      </w:r>
    </w:p>
    <w:p>
      <w:pPr>
        <w:spacing w:after="0" w:line="6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080"/>
        <w:spacing w:after="0"/>
        <w:tabs>
          <w:tab w:leader="none" w:pos="4500" w:val="left"/>
        </w:tabs>
        <w:rPr>
          <w:sz w:val="20"/>
          <w:szCs w:val="20"/>
          <w:color w:val="auto"/>
        </w:rPr>
      </w:pPr>
      <w:r>
        <w:rPr>
          <w:rFonts w:ascii="Arial" w:cs="Arial" w:eastAsia="Arial" w:hAnsi="Arial"/>
          <w:sz w:val="18"/>
          <w:szCs w:val="18"/>
          <w:color w:val="auto"/>
        </w:rPr>
        <w:t xml:space="preserve">(z)  </w:t>
      </w:r>
      <w:r>
        <w:rPr>
          <w:rFonts w:ascii="Arial" w:cs="Arial" w:eastAsia="Arial" w:hAnsi="Arial"/>
          <w:sz w:val="18"/>
          <w:szCs w:val="18"/>
          <w:b w:val="1"/>
          <w:bCs w:val="1"/>
          <w:color w:val="auto"/>
        </w:rPr>
        <w:t>the “SEC</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United States Securities and Exchange Commission.</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260"/>
          </w:cols>
          <w:pgMar w:left="240" w:top="446" w:right="1399" w:bottom="1440" w:gutter="0" w:footer="0" w:header="0"/>
          <w:type w:val="continuous"/>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The Arrangement</w:t>
      </w:r>
    </w:p>
    <w:p>
      <w:pPr>
        <w:spacing w:after="0" w:line="121" w:lineRule="exact"/>
        <w:rPr>
          <w:rFonts w:ascii="Arial" w:cs="Arial" w:eastAsia="Arial" w:hAnsi="Arial"/>
          <w:sz w:val="18"/>
          <w:szCs w:val="18"/>
          <w:color w:val="auto"/>
        </w:rPr>
      </w:pPr>
    </w:p>
    <w:p>
      <w:pPr>
        <w:ind w:left="640" w:right="280"/>
        <w:spacing w:after="0" w:line="277" w:lineRule="auto"/>
        <w:rPr>
          <w:rFonts w:ascii="Arial" w:cs="Arial" w:eastAsia="Arial" w:hAnsi="Arial"/>
          <w:sz w:val="18"/>
          <w:szCs w:val="18"/>
          <w:color w:val="auto"/>
        </w:rPr>
      </w:pPr>
      <w:r>
        <w:rPr>
          <w:rFonts w:ascii="Arial" w:cs="Arial" w:eastAsia="Arial" w:hAnsi="Arial"/>
          <w:sz w:val="18"/>
          <w:szCs w:val="18"/>
          <w:color w:val="auto"/>
        </w:rPr>
        <w:t>Subject to the provisions of this Agreement and the fulfillment of the Suspending Conditions in their entirety, the following operations shall be carried out simultaneously and together on the Consummation Date:</w:t>
      </w:r>
    </w:p>
    <w:p>
      <w:pPr>
        <w:spacing w:after="0" w:line="75" w:lineRule="exact"/>
        <w:rPr>
          <w:rFonts w:ascii="Arial" w:cs="Arial" w:eastAsia="Arial" w:hAnsi="Arial"/>
          <w:sz w:val="18"/>
          <w:szCs w:val="18"/>
          <w:color w:val="auto"/>
        </w:rPr>
      </w:pPr>
    </w:p>
    <w:p>
      <w:pPr>
        <w:ind w:left="1060" w:right="80" w:hanging="432"/>
        <w:spacing w:after="0" w:line="264" w:lineRule="auto"/>
        <w:rPr>
          <w:rFonts w:ascii="Arial" w:cs="Arial" w:eastAsia="Arial" w:hAnsi="Arial"/>
          <w:sz w:val="18"/>
          <w:szCs w:val="18"/>
          <w:color w:val="auto"/>
        </w:rPr>
      </w:pPr>
      <w:r>
        <w:rPr>
          <w:rFonts w:ascii="Arial" w:cs="Arial" w:eastAsia="Arial" w:hAnsi="Arial"/>
          <w:sz w:val="18"/>
          <w:szCs w:val="18"/>
          <w:color w:val="auto"/>
        </w:rPr>
        <w:t>2.1 All of the Shares Being Purchased and the Israeli Company Options shall be transferred to the New Company, so that all of the Israeli Company’s issued and paid-up share capital shall be held by the New Company and, as a result, the Israeli Company shall become a private subsidiary of the New Company.</w:t>
      </w:r>
    </w:p>
    <w:p>
      <w:pPr>
        <w:spacing w:after="0" w:line="86" w:lineRule="exact"/>
        <w:rPr>
          <w:rFonts w:ascii="Arial" w:cs="Arial" w:eastAsia="Arial" w:hAnsi="Arial"/>
          <w:sz w:val="18"/>
          <w:szCs w:val="18"/>
          <w:color w:val="auto"/>
        </w:rPr>
      </w:pPr>
    </w:p>
    <w:p>
      <w:pPr>
        <w:ind w:left="1060" w:hanging="432"/>
        <w:spacing w:after="0" w:line="255" w:lineRule="auto"/>
        <w:rPr>
          <w:rFonts w:ascii="Arial" w:cs="Arial" w:eastAsia="Arial" w:hAnsi="Arial"/>
          <w:sz w:val="18"/>
          <w:szCs w:val="18"/>
          <w:color w:val="auto"/>
        </w:rPr>
      </w:pPr>
      <w:r>
        <w:rPr>
          <w:rFonts w:ascii="Arial" w:cs="Arial" w:eastAsia="Arial" w:hAnsi="Arial"/>
          <w:sz w:val="18"/>
          <w:szCs w:val="18"/>
          <w:color w:val="auto"/>
        </w:rPr>
        <w:t>2.2 The New Company shall issue the Consideration Shares and the Consideration Options to the Shareholders of the Israeli Company and to the Option-holders, according to their holdings of Israeli Company Options and Shares on the Record Date, such that one share out of the Consideration Shares shall be issued against every one share out of the Shares Being Purchased that shall be transferred to the New Company (exchange on a one-for-one basis) and one option out of the Consideration Options shall be issued against every one options out of the Israeli Company Options. Consequently, all of the New Company’s issued and outstanding share capital shall be held by the Shareholders of the Israeli Company.</w:t>
      </w:r>
    </w:p>
    <w:p>
      <w:pPr>
        <w:spacing w:after="0" w:line="9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2.3  The Consideration Shares shall be listed for trading on the NASDAQ.</w:t>
      </w:r>
    </w:p>
    <w:p>
      <w:pPr>
        <w:spacing w:after="0" w:line="13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2.4  The Israeli Company shall void all options existing at that time in its equity.</w:t>
      </w:r>
    </w:p>
    <w:p>
      <w:pPr>
        <w:spacing w:after="0" w:line="13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2.5  The New Company shall issue the Consideration Options to the Option-holders.</w:t>
      </w:r>
    </w:p>
    <w:p>
      <w:pPr>
        <w:spacing w:after="0" w:line="130" w:lineRule="exact"/>
        <w:rPr>
          <w:rFonts w:ascii="Arial" w:cs="Arial" w:eastAsia="Arial" w:hAnsi="Arial"/>
          <w:sz w:val="18"/>
          <w:szCs w:val="18"/>
          <w:color w:val="auto"/>
        </w:rPr>
      </w:pPr>
    </w:p>
    <w:p>
      <w:pPr>
        <w:ind w:left="1060" w:hanging="432"/>
        <w:spacing w:after="0" w:line="259" w:lineRule="auto"/>
        <w:rPr>
          <w:rFonts w:ascii="Arial" w:cs="Arial" w:eastAsia="Arial" w:hAnsi="Arial"/>
          <w:sz w:val="18"/>
          <w:szCs w:val="18"/>
          <w:color w:val="auto"/>
        </w:rPr>
      </w:pPr>
      <w:r>
        <w:rPr>
          <w:rFonts w:ascii="Arial" w:cs="Arial" w:eastAsia="Arial" w:hAnsi="Arial"/>
          <w:sz w:val="18"/>
          <w:szCs w:val="18"/>
          <w:color w:val="auto"/>
        </w:rPr>
        <w:t>2.6 The Israeli Company shall transfer to the New Company by way of a dividend distribution in kind, all of its holdings of shares of the American Company, so that the American Company shall become a wholly-owned subsidiary of the New Company. The distribution may be executed, at any time close to or after the execution date of the transaction but no later than December 31, 2019, subject to Arcturus-Israel discretion, which can also elect not to execute such distribution.</w:t>
      </w:r>
    </w:p>
    <w:p>
      <w:pPr>
        <w:spacing w:after="0" w:line="92" w:lineRule="exact"/>
        <w:rPr>
          <w:rFonts w:ascii="Arial" w:cs="Arial" w:eastAsia="Arial" w:hAnsi="Arial"/>
          <w:sz w:val="18"/>
          <w:szCs w:val="18"/>
          <w:color w:val="auto"/>
        </w:rPr>
      </w:pPr>
    </w:p>
    <w:p>
      <w:pPr>
        <w:ind w:left="1060" w:right="240" w:hanging="432"/>
        <w:spacing w:after="0" w:line="264" w:lineRule="auto"/>
        <w:rPr>
          <w:rFonts w:ascii="Arial" w:cs="Arial" w:eastAsia="Arial" w:hAnsi="Arial"/>
          <w:sz w:val="18"/>
          <w:szCs w:val="18"/>
          <w:color w:val="auto"/>
        </w:rPr>
      </w:pPr>
      <w:r>
        <w:rPr>
          <w:rFonts w:ascii="Arial" w:cs="Arial" w:eastAsia="Arial" w:hAnsi="Arial"/>
          <w:sz w:val="18"/>
          <w:szCs w:val="18"/>
          <w:color w:val="auto"/>
        </w:rPr>
        <w:t>2.7 In any instance whereby, subsequent to the Consummation Date, the performance of any additional action is required in order to carry out the provisions of this Agreement, each of the parties to this Agreement shall do everything reasonably necessary to that end, including by signing any document that might be required for that purpose.</w:t>
      </w:r>
    </w:p>
    <w:p>
      <w:pPr>
        <w:spacing w:after="0" w:line="325" w:lineRule="exact"/>
        <w:rPr>
          <w:rFonts w:ascii="Arial" w:cs="Arial" w:eastAsia="Arial" w:hAnsi="Arial"/>
          <w:sz w:val="18"/>
          <w:szCs w:val="18"/>
          <w:color w:val="auto"/>
        </w:rPr>
      </w:pPr>
    </w:p>
    <w:p>
      <w:pPr>
        <w:ind w:left="640" w:hanging="436"/>
        <w:spacing w:after="0"/>
        <w:tabs>
          <w:tab w:leader="none" w:pos="640"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The Consideration</w:t>
      </w:r>
    </w:p>
    <w:p>
      <w:pPr>
        <w:spacing w:after="0" w:line="121" w:lineRule="exact"/>
        <w:rPr>
          <w:rFonts w:ascii="Arial" w:cs="Arial" w:eastAsia="Arial" w:hAnsi="Arial"/>
          <w:sz w:val="18"/>
          <w:szCs w:val="18"/>
          <w:color w:val="auto"/>
        </w:rPr>
      </w:pPr>
    </w:p>
    <w:p>
      <w:pPr>
        <w:ind w:left="640"/>
        <w:spacing w:after="0" w:line="279" w:lineRule="auto"/>
        <w:rPr>
          <w:rFonts w:ascii="Arial" w:cs="Arial" w:eastAsia="Arial" w:hAnsi="Arial"/>
          <w:sz w:val="18"/>
          <w:szCs w:val="18"/>
          <w:color w:val="auto"/>
        </w:rPr>
      </w:pPr>
      <w:r>
        <w:rPr>
          <w:rFonts w:ascii="Arial" w:cs="Arial" w:eastAsia="Arial" w:hAnsi="Arial"/>
          <w:sz w:val="17"/>
          <w:szCs w:val="17"/>
          <w:color w:val="auto"/>
        </w:rPr>
        <w:t>On the Consummation Date, the New Company shall issue one share out of the Consideration Shares, as stated above in clause 2.2, against every one share out of the Shares Being Purchased that is held by the Shareholders of the Israeli Company on the Record Date; on the Consummation Date, the New Company shall issue one options out of the Consideration Options, as stated above in clause 2.5, against every one option out of the Israeli Company’s Options that is held by the Option-holders (jointly: “</w:t>
      </w:r>
      <w:r>
        <w:rPr>
          <w:rFonts w:ascii="Arial" w:cs="Arial" w:eastAsia="Arial" w:hAnsi="Arial"/>
          <w:sz w:val="17"/>
          <w:szCs w:val="17"/>
          <w:b w:val="1"/>
          <w:bCs w:val="1"/>
          <w:color w:val="auto"/>
        </w:rPr>
        <w:t>the Consideration</w:t>
      </w:r>
      <w:r>
        <w:rPr>
          <w:rFonts w:ascii="Arial" w:cs="Arial" w:eastAsia="Arial" w:hAnsi="Arial"/>
          <w:sz w:val="17"/>
          <w:szCs w:val="17"/>
          <w:color w:val="auto"/>
        </w:rPr>
        <w:t>”).</w:t>
      </w:r>
    </w:p>
    <w:p>
      <w:pPr>
        <w:spacing w:after="0" w:line="171" w:lineRule="exact"/>
        <w:rPr>
          <w:rFonts w:ascii="Arial" w:cs="Arial" w:eastAsia="Arial" w:hAnsi="Arial"/>
          <w:sz w:val="18"/>
          <w:szCs w:val="18"/>
          <w:color w:val="auto"/>
        </w:rPr>
      </w:pPr>
    </w:p>
    <w:p>
      <w:pPr>
        <w:ind w:left="640" w:right="22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The New Company covenants that the Considerations Shares shall be issued to the Shareholders of the Israeli Company as fully paid-up shares, being Free and Clear, without any other restriction whatsoever on their tradability (including blocking), having equal rights for all intents and purposes, but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Shares Being Purchased.</w:t>
      </w:r>
    </w:p>
    <w:p>
      <w:pPr>
        <w:spacing w:after="0" w:line="325" w:lineRule="exact"/>
        <w:rPr>
          <w:rFonts w:ascii="Arial" w:cs="Arial" w:eastAsia="Arial" w:hAnsi="Arial"/>
          <w:sz w:val="18"/>
          <w:szCs w:val="18"/>
          <w:color w:val="auto"/>
        </w:rPr>
      </w:pPr>
    </w:p>
    <w:p>
      <w:pPr>
        <w:ind w:left="640" w:hanging="436"/>
        <w:spacing w:after="0"/>
        <w:tabs>
          <w:tab w:leader="none" w:pos="640"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The parties’ warrants and covenants</w:t>
      </w:r>
    </w:p>
    <w:p>
      <w:pPr>
        <w:spacing w:after="0" w:line="13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6"/>
          <w:szCs w:val="16"/>
          <w:color w:val="auto"/>
        </w:rPr>
        <w:t>4.1  The parties agree that, immediately following the completion of the Arrangement, the validity of all representations specified in this clause 4</w:t>
      </w:r>
    </w:p>
    <w:p>
      <w:pPr>
        <w:spacing w:after="0" w:line="46" w:lineRule="exact"/>
        <w:rPr>
          <w:rFonts w:ascii="Arial" w:cs="Arial" w:eastAsia="Arial" w:hAnsi="Arial"/>
          <w:sz w:val="18"/>
          <w:szCs w:val="18"/>
          <w:color w:val="auto"/>
        </w:rPr>
      </w:pPr>
    </w:p>
    <w:p>
      <w:pPr>
        <w:ind w:left="1060" w:right="460"/>
        <w:spacing w:after="0" w:line="261" w:lineRule="auto"/>
        <w:rPr>
          <w:rFonts w:ascii="Arial" w:cs="Arial" w:eastAsia="Arial" w:hAnsi="Arial"/>
          <w:sz w:val="18"/>
          <w:szCs w:val="18"/>
          <w:color w:val="auto"/>
        </w:rPr>
      </w:pPr>
      <w:r>
        <w:rPr>
          <w:rFonts w:ascii="Arial" w:cs="Arial" w:eastAsia="Arial" w:hAnsi="Arial"/>
          <w:sz w:val="18"/>
          <w:szCs w:val="18"/>
          <w:color w:val="auto"/>
        </w:rPr>
        <w:t>shall expire and that no party shall have any claim or allegation against the other party and/or against officers therein and/or against its consultants in respect of the inaccuracy of all or a portion of the representations.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20"/>
          </w:cols>
          <w:pgMar w:left="240" w:top="460"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The Israeli Company warrants and covenants to the New Company that:</w:t>
      </w:r>
    </w:p>
    <w:p>
      <w:pPr>
        <w:spacing w:after="0" w:line="131" w:lineRule="exact"/>
        <w:rPr>
          <w:sz w:val="20"/>
          <w:szCs w:val="20"/>
          <w:color w:val="auto"/>
        </w:rPr>
      </w:pPr>
    </w:p>
    <w:p>
      <w:pPr>
        <w:ind w:left="1620" w:right="220" w:hanging="538"/>
        <w:spacing w:after="0" w:line="308" w:lineRule="auto"/>
        <w:tabs>
          <w:tab w:leader="none" w:pos="16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It was duly incorporated according to the laws of the State of Israel, it is duly registered with the Israeli Companies Registrar, and there is no pending proceeding for its liquidation or striking from the records of the Companies Registrar.</w:t>
      </w:r>
    </w:p>
    <w:p>
      <w:pPr>
        <w:spacing w:after="0" w:line="51" w:lineRule="exact"/>
        <w:rPr>
          <w:rFonts w:ascii="Arial" w:cs="Arial" w:eastAsia="Arial" w:hAnsi="Arial"/>
          <w:sz w:val="17"/>
          <w:szCs w:val="17"/>
          <w:color w:val="auto"/>
        </w:rPr>
      </w:pPr>
    </w:p>
    <w:p>
      <w:pPr>
        <w:ind w:left="1620" w:hanging="538"/>
        <w:spacing w:after="0"/>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It is a public company pursuant to the Companies Law.</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Its shares are listed for trading on the NASDAQ.</w:t>
      </w:r>
    </w:p>
    <w:p>
      <w:pPr>
        <w:spacing w:after="0" w:line="130" w:lineRule="exact"/>
        <w:rPr>
          <w:rFonts w:ascii="Arial" w:cs="Arial" w:eastAsia="Arial" w:hAnsi="Arial"/>
          <w:sz w:val="18"/>
          <w:szCs w:val="18"/>
          <w:color w:val="auto"/>
        </w:rPr>
      </w:pPr>
    </w:p>
    <w:p>
      <w:pPr>
        <w:ind w:left="1620" w:right="540" w:hanging="538"/>
        <w:spacing w:after="0" w:line="277"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Its registered capital is NIS 2,100,000, divided into 30,000,000 ordinary shares of NIS 0.07 par value each, and its issued and paid-up share capital is 10,761,523 ordinary shares of NIS 0.07 par value each.</w:t>
      </w:r>
    </w:p>
    <w:p>
      <w:pPr>
        <w:spacing w:after="0" w:line="75" w:lineRule="exact"/>
        <w:rPr>
          <w:rFonts w:ascii="Arial" w:cs="Arial" w:eastAsia="Arial" w:hAnsi="Arial"/>
          <w:sz w:val="18"/>
          <w:szCs w:val="18"/>
          <w:color w:val="auto"/>
        </w:rPr>
      </w:pPr>
    </w:p>
    <w:p>
      <w:pPr>
        <w:ind w:left="1620" w:right="100" w:hanging="538"/>
        <w:spacing w:after="0" w:line="277"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There are 1,188,183 options in its equity, which were issued to officers, employees, consultants and service-providers currently and in the company’s past, with each of them being exercisable for one share of the Israeli Company.</w:t>
      </w:r>
    </w:p>
    <w:p>
      <w:pPr>
        <w:spacing w:after="0" w:line="75" w:lineRule="exact"/>
        <w:rPr>
          <w:rFonts w:ascii="Arial" w:cs="Arial" w:eastAsia="Arial" w:hAnsi="Arial"/>
          <w:sz w:val="18"/>
          <w:szCs w:val="18"/>
          <w:color w:val="auto"/>
        </w:rPr>
      </w:pPr>
    </w:p>
    <w:p>
      <w:pPr>
        <w:ind w:left="1620" w:right="120" w:hanging="538"/>
        <w:spacing w:after="0" w:line="259"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Subject to the receipt of the approvals and the fulfillment of the Suspending Conditions, there is no prohibition, restriction or other obstacle, whether by law or by virtue of an agreement or commitment, to the Israeli Company’s engagement in this Agreement and to the fulfillment of all of its covenants pursuant thereto in their entirety, and the transaction pursuant to this Agreement shall not contradict its incorporation documents.</w:t>
      </w:r>
    </w:p>
    <w:p>
      <w:pPr>
        <w:spacing w:after="0" w:line="92" w:lineRule="exact"/>
        <w:rPr>
          <w:rFonts w:ascii="Arial" w:cs="Arial" w:eastAsia="Arial" w:hAnsi="Arial"/>
          <w:sz w:val="18"/>
          <w:szCs w:val="18"/>
          <w:color w:val="auto"/>
        </w:rPr>
      </w:pPr>
    </w:p>
    <w:p>
      <w:pPr>
        <w:jc w:val="both"/>
        <w:ind w:left="1620" w:hanging="538"/>
        <w:spacing w:after="0" w:line="342" w:lineRule="auto"/>
        <w:tabs>
          <w:tab w:leader="none" w:pos="16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Apart from the Suspending Conditions, no third-party approval or consent is required for the fulfillment of its covenants pursuant to this Agreement, and the fulfillment of its covenants pursuant to this Agreement shall not constitute a breach of any of its obligations.</w:t>
      </w:r>
    </w:p>
    <w:p>
      <w:pPr>
        <w:spacing w:after="0" w:line="29" w:lineRule="exact"/>
        <w:rPr>
          <w:rFonts w:ascii="Arial" w:cs="Arial" w:eastAsia="Arial" w:hAnsi="Arial"/>
          <w:sz w:val="16"/>
          <w:szCs w:val="16"/>
          <w:color w:val="auto"/>
        </w:rPr>
      </w:pPr>
    </w:p>
    <w:p>
      <w:pPr>
        <w:ind w:left="1620" w:right="620" w:hanging="538"/>
        <w:spacing w:after="0" w:line="277"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It shall not perform any changes in its incorporation documents during the Interim Period, unless required for the purpose of executing this Agreement.</w:t>
      </w:r>
    </w:p>
    <w:p>
      <w:pPr>
        <w:spacing w:after="0" w:line="75" w:lineRule="exact"/>
        <w:rPr>
          <w:rFonts w:ascii="Arial" w:cs="Arial" w:eastAsia="Arial" w:hAnsi="Arial"/>
          <w:sz w:val="18"/>
          <w:szCs w:val="18"/>
          <w:color w:val="auto"/>
        </w:rPr>
      </w:pPr>
    </w:p>
    <w:p>
      <w:pPr>
        <w:ind w:left="1620" w:right="520" w:hanging="538"/>
        <w:spacing w:after="0" w:line="277"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It shall not perform any changes in its capital structure on the Record date and following it, unless required for the purpose of executing this Agreement.</w:t>
      </w:r>
    </w:p>
    <w:p>
      <w:pPr>
        <w:spacing w:after="0" w:line="75" w:lineRule="exact"/>
        <w:rPr>
          <w:rFonts w:ascii="Arial" w:cs="Arial" w:eastAsia="Arial" w:hAnsi="Arial"/>
          <w:sz w:val="18"/>
          <w:szCs w:val="18"/>
          <w:color w:val="auto"/>
        </w:rPr>
      </w:pPr>
    </w:p>
    <w:p>
      <w:pPr>
        <w:ind w:left="1620" w:right="740" w:hanging="538"/>
        <w:spacing w:after="0" w:line="308" w:lineRule="auto"/>
        <w:tabs>
          <w:tab w:leader="none" w:pos="16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It shall not take action to perform any change of the capital structure of the American Company or any of its incorporation documents during the Interim Period, unless required for the purpose of executing this Agreement.</w:t>
      </w:r>
    </w:p>
    <w:p>
      <w:pPr>
        <w:spacing w:after="0" w:line="51" w:lineRule="exact"/>
        <w:rPr>
          <w:rFonts w:ascii="Arial" w:cs="Arial" w:eastAsia="Arial" w:hAnsi="Arial"/>
          <w:sz w:val="17"/>
          <w:szCs w:val="17"/>
          <w:color w:val="auto"/>
        </w:rPr>
      </w:pPr>
    </w:p>
    <w:p>
      <w:pPr>
        <w:ind w:left="1620" w:right="60" w:hanging="538"/>
        <w:spacing w:after="0" w:line="264"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signatories of this Agreement on its behalf are authorized to legally obligate it by their signatures, and all resolutions have been passed that are required by law for the purposes of its engagement in this Agreement and the fulfillment of its covenants pursuant thereto, subject to the fulfillment of the Suspending Conditions.</w:t>
      </w:r>
    </w:p>
    <w:p>
      <w:pPr>
        <w:spacing w:after="0" w:line="87"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The New Company warrants and covenants to the Israeli Company that:</w:t>
      </w:r>
    </w:p>
    <w:p>
      <w:pPr>
        <w:spacing w:after="0" w:line="131" w:lineRule="exact"/>
        <w:rPr>
          <w:sz w:val="20"/>
          <w:szCs w:val="20"/>
          <w:color w:val="auto"/>
        </w:rPr>
      </w:pPr>
    </w:p>
    <w:p>
      <w:pPr>
        <w:ind w:left="1620" w:right="260" w:hanging="538"/>
        <w:spacing w:after="0" w:line="342" w:lineRule="auto"/>
        <w:tabs>
          <w:tab w:leader="none" w:pos="16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It was duly incorporated prior to the signing of this Agreement according to the laws of the State of Delaware, United States, it is duly registered and there is no pending proceeding for its liquidation or dissolution in the State of Delaware, United States.</w:t>
      </w:r>
    </w:p>
    <w:p>
      <w:pPr>
        <w:spacing w:after="0" w:line="29" w:lineRule="exact"/>
        <w:rPr>
          <w:rFonts w:ascii="Arial" w:cs="Arial" w:eastAsia="Arial" w:hAnsi="Arial"/>
          <w:sz w:val="16"/>
          <w:szCs w:val="16"/>
          <w:color w:val="auto"/>
        </w:rPr>
      </w:pPr>
    </w:p>
    <w:p>
      <w:pPr>
        <w:ind w:left="1620" w:right="160" w:hanging="538"/>
        <w:spacing w:after="0" w:line="277" w:lineRule="auto"/>
        <w:tabs>
          <w:tab w:leader="none" w:pos="1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Its registered capital includes 40,000,000 shares, divided into 30,000,000 shares of common stock, USD 0.001 par value per share, and 10,000,000 shares of preferred stock, USD 0.001 par value per share.</w:t>
      </w:r>
    </w:p>
    <w:p>
      <w:pPr>
        <w:spacing w:after="0" w:line="75" w:lineRule="exact"/>
        <w:rPr>
          <w:rFonts w:ascii="Arial" w:cs="Arial" w:eastAsia="Arial" w:hAnsi="Arial"/>
          <w:sz w:val="18"/>
          <w:szCs w:val="18"/>
          <w:color w:val="auto"/>
        </w:rPr>
      </w:pPr>
    </w:p>
    <w:p>
      <w:pPr>
        <w:ind w:left="1620" w:right="320" w:hanging="538"/>
        <w:spacing w:after="0" w:line="264" w:lineRule="auto"/>
        <w:tabs>
          <w:tab w:leader="none" w:pos="1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As at the signing date of this Agreement, it has not yet issued any shares and shall not issue any securities that are convertible or nonconvertible and/or exercisable for its shares during the Interim Period, unless required for the purpose of executing this Agreement.</w:t>
      </w:r>
    </w:p>
    <w:p>
      <w:pPr>
        <w:spacing w:after="0" w:line="86" w:lineRule="exact"/>
        <w:rPr>
          <w:rFonts w:ascii="Arial" w:cs="Arial" w:eastAsia="Arial" w:hAnsi="Arial"/>
          <w:sz w:val="18"/>
          <w:szCs w:val="18"/>
          <w:color w:val="auto"/>
        </w:rPr>
      </w:pPr>
    </w:p>
    <w:p>
      <w:pPr>
        <w:jc w:val="both"/>
        <w:ind w:left="1620" w:hanging="538"/>
        <w:spacing w:after="0" w:line="264" w:lineRule="auto"/>
        <w:tabs>
          <w:tab w:leader="none" w:pos="1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New Company shall not conduct any activity whatsoever throughout the entire Interim Period unless required for the purpose of executing this Agreement, it shall not be a party to any agreements (apart from this Agreement) and it shall not have any obligations, apart from those deriving from this Agreement.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80"/>
          </w:cols>
          <w:pgMar w:left="240" w:top="459"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80" w:hanging="538"/>
        <w:spacing w:after="0" w:line="259" w:lineRule="auto"/>
        <w:tabs>
          <w:tab w:leader="none" w:pos="16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Subject to the receipt of the approvals and the fulfillment of the Suspending Conditions, there is no prohibition, restriction or other obstacle, whether by law or by virtue of an agreement or commitment, to the New Company’s engagement in this Agreement and to the fulfillment of all of its covenants pursuant hereto in their entirety, and the transaction pursuant to this Agreement shall not contradict its governing documents.</w:t>
      </w:r>
    </w:p>
    <w:p>
      <w:pPr>
        <w:spacing w:after="0" w:line="92" w:lineRule="exact"/>
        <w:rPr>
          <w:rFonts w:ascii="Arial" w:cs="Arial" w:eastAsia="Arial" w:hAnsi="Arial"/>
          <w:sz w:val="18"/>
          <w:szCs w:val="18"/>
          <w:color w:val="auto"/>
        </w:rPr>
      </w:pPr>
    </w:p>
    <w:p>
      <w:pPr>
        <w:ind w:left="1620" w:right="360" w:hanging="538"/>
        <w:spacing w:after="0" w:line="277" w:lineRule="auto"/>
        <w:tabs>
          <w:tab w:leader="none" w:pos="16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It shall not perform any operation to change its capital structure or its incorporation documents during the Interim Period, unless required for the purpose of executing this Agreement.</w:t>
      </w:r>
    </w:p>
    <w:p>
      <w:pPr>
        <w:spacing w:after="0" w:line="75" w:lineRule="exact"/>
        <w:rPr>
          <w:rFonts w:ascii="Arial" w:cs="Arial" w:eastAsia="Arial" w:hAnsi="Arial"/>
          <w:sz w:val="18"/>
          <w:szCs w:val="18"/>
          <w:color w:val="auto"/>
        </w:rPr>
      </w:pPr>
    </w:p>
    <w:p>
      <w:pPr>
        <w:ind w:left="1620" w:right="100" w:hanging="538"/>
        <w:spacing w:after="0" w:line="264" w:lineRule="auto"/>
        <w:tabs>
          <w:tab w:leader="none" w:pos="16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signatories of this Agreement on its behalf are authorized to legally obligate it by their signatures, and all resolutions have been passed that are required by law for the purposes of its engagement in this Agreement and the fulfillment of its covenants pursuant thereto.</w:t>
      </w:r>
    </w:p>
    <w:p>
      <w:pPr>
        <w:spacing w:after="0" w:line="325" w:lineRule="exact"/>
        <w:rPr>
          <w:rFonts w:ascii="Arial" w:cs="Arial" w:eastAsia="Arial" w:hAnsi="Arial"/>
          <w:sz w:val="18"/>
          <w:szCs w:val="18"/>
          <w:color w:val="auto"/>
        </w:rPr>
      </w:pPr>
    </w:p>
    <w:p>
      <w:pPr>
        <w:ind w:left="640" w:hanging="436"/>
        <w:spacing w:after="0"/>
        <w:tabs>
          <w:tab w:leader="none" w:pos="640" w:val="left"/>
        </w:tabs>
        <w:numPr>
          <w:ilvl w:val="0"/>
          <w:numId w:val="152"/>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Proceedings to execute the Arrangement</w:t>
      </w:r>
    </w:p>
    <w:p>
      <w:pPr>
        <w:spacing w:after="0" w:line="134" w:lineRule="exact"/>
        <w:rPr>
          <w:rFonts w:ascii="Arial" w:cs="Arial" w:eastAsia="Arial" w:hAnsi="Arial"/>
          <w:sz w:val="18"/>
          <w:szCs w:val="18"/>
          <w:color w:val="auto"/>
        </w:rPr>
      </w:pPr>
    </w:p>
    <w:p>
      <w:pPr>
        <w:ind w:left="1060" w:right="160" w:hanging="432"/>
        <w:spacing w:after="0" w:line="277" w:lineRule="auto"/>
        <w:rPr>
          <w:rFonts w:ascii="Arial" w:cs="Arial" w:eastAsia="Arial" w:hAnsi="Arial"/>
          <w:sz w:val="18"/>
          <w:szCs w:val="18"/>
          <w:color w:val="auto"/>
        </w:rPr>
      </w:pPr>
      <w:r>
        <w:rPr>
          <w:rFonts w:ascii="Arial" w:cs="Arial" w:eastAsia="Arial" w:hAnsi="Arial"/>
          <w:sz w:val="18"/>
          <w:szCs w:val="18"/>
          <w:color w:val="auto"/>
        </w:rPr>
        <w:t>5.1 Shortly after the signing date of this Agreement, the Israeli Company shall file an appropriate application with the Court for the purpose of obtaining its approval of the Arrangement.</w:t>
      </w:r>
    </w:p>
    <w:p>
      <w:pPr>
        <w:spacing w:after="0" w:line="75" w:lineRule="exact"/>
        <w:rPr>
          <w:rFonts w:ascii="Arial" w:cs="Arial" w:eastAsia="Arial" w:hAnsi="Arial"/>
          <w:sz w:val="18"/>
          <w:szCs w:val="18"/>
          <w:color w:val="auto"/>
        </w:rPr>
      </w:pPr>
    </w:p>
    <w:p>
      <w:pPr>
        <w:ind w:left="1060" w:right="520" w:hanging="432"/>
        <w:spacing w:after="0" w:line="277" w:lineRule="auto"/>
        <w:rPr>
          <w:rFonts w:ascii="Arial" w:cs="Arial" w:eastAsia="Arial" w:hAnsi="Arial"/>
          <w:sz w:val="18"/>
          <w:szCs w:val="18"/>
          <w:color w:val="auto"/>
        </w:rPr>
      </w:pPr>
      <w:r>
        <w:rPr>
          <w:rFonts w:ascii="Arial" w:cs="Arial" w:eastAsia="Arial" w:hAnsi="Arial"/>
          <w:sz w:val="18"/>
          <w:szCs w:val="18"/>
          <w:color w:val="auto"/>
        </w:rPr>
        <w:t>5.2 Shortly after the signing date of this Agreement, the Israeli Company shall file an application with the Israel Tax Authority in order to receive the Tax Ruling.</w:t>
      </w:r>
    </w:p>
    <w:p>
      <w:pPr>
        <w:spacing w:after="0" w:line="75" w:lineRule="exact"/>
        <w:rPr>
          <w:rFonts w:ascii="Arial" w:cs="Arial" w:eastAsia="Arial" w:hAnsi="Arial"/>
          <w:sz w:val="18"/>
          <w:szCs w:val="18"/>
          <w:color w:val="auto"/>
        </w:rPr>
      </w:pPr>
    </w:p>
    <w:p>
      <w:pPr>
        <w:jc w:val="both"/>
        <w:ind w:left="1060" w:right="320" w:hanging="432"/>
        <w:spacing w:after="0" w:line="312" w:lineRule="auto"/>
        <w:rPr>
          <w:rFonts w:ascii="Arial" w:cs="Arial" w:eastAsia="Arial" w:hAnsi="Arial"/>
          <w:sz w:val="18"/>
          <w:szCs w:val="18"/>
          <w:color w:val="auto"/>
        </w:rPr>
      </w:pPr>
      <w:r>
        <w:rPr>
          <w:rFonts w:ascii="Arial" w:cs="Arial" w:eastAsia="Arial" w:hAnsi="Arial"/>
          <w:sz w:val="16"/>
          <w:szCs w:val="16"/>
          <w:color w:val="auto"/>
        </w:rPr>
        <w:t>5.3 Shortly after the signing date of this Agreement, the New Company shall file the Form S-4 Registration Statement with the SEC, and complete any related filings, and shall publish or disseminate any document that it shall be so required for the purpose of registering and listing the Consideration Shares under applicable United States securities law, for trading on the NASDAQ on the Consummation Date.</w:t>
      </w:r>
    </w:p>
    <w:p>
      <w:pPr>
        <w:spacing w:after="0" w:line="52" w:lineRule="exact"/>
        <w:rPr>
          <w:rFonts w:ascii="Arial" w:cs="Arial" w:eastAsia="Arial" w:hAnsi="Arial"/>
          <w:sz w:val="18"/>
          <w:szCs w:val="18"/>
          <w:color w:val="auto"/>
        </w:rPr>
      </w:pPr>
    </w:p>
    <w:p>
      <w:pPr>
        <w:ind w:left="1060" w:right="20" w:hanging="432"/>
        <w:spacing w:after="0" w:line="276" w:lineRule="auto"/>
        <w:rPr>
          <w:rFonts w:ascii="Arial" w:cs="Arial" w:eastAsia="Arial" w:hAnsi="Arial"/>
          <w:sz w:val="18"/>
          <w:szCs w:val="18"/>
          <w:color w:val="auto"/>
        </w:rPr>
      </w:pPr>
      <w:r>
        <w:rPr>
          <w:rFonts w:ascii="Arial" w:cs="Arial" w:eastAsia="Arial" w:hAnsi="Arial"/>
          <w:sz w:val="17"/>
          <w:szCs w:val="17"/>
          <w:color w:val="auto"/>
        </w:rPr>
        <w:t>5.4 Throughout the entire Interim Period, the parties shall take all actions to fulfill all provisions of the law relating to the Arrangement, including the publishing of immediate reports as is required by, and in conformity with, the reporting obligations applying to the Israeli Company, the publishing of announcements in newspapers as required according to the Companies Regulations, the summoning of meetings of shareholders, option holders and/or creditors, the sending of notices etc., all in compliance with the instructions of the Court, the Companies Law and the Companies Regulations and applicable United States securities laws.</w:t>
      </w:r>
    </w:p>
    <w:p>
      <w:pPr>
        <w:spacing w:after="0" w:line="77"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7"/>
          <w:szCs w:val="17"/>
          <w:color w:val="auto"/>
        </w:rPr>
        <w:t>5.5  The parties shall act in cooperation and each shall exert its best efforts to bring about the approval of the Arrangement by the Court.</w:t>
      </w:r>
    </w:p>
    <w:p>
      <w:pPr>
        <w:spacing w:after="0" w:line="142" w:lineRule="exact"/>
        <w:rPr>
          <w:rFonts w:ascii="Arial" w:cs="Arial" w:eastAsia="Arial" w:hAnsi="Arial"/>
          <w:sz w:val="18"/>
          <w:szCs w:val="18"/>
          <w:color w:val="auto"/>
        </w:rPr>
      </w:pPr>
    </w:p>
    <w:p>
      <w:pPr>
        <w:ind w:left="1060" w:right="160" w:hanging="432"/>
        <w:spacing w:after="0" w:line="277" w:lineRule="auto"/>
        <w:rPr>
          <w:rFonts w:ascii="Arial" w:cs="Arial" w:eastAsia="Arial" w:hAnsi="Arial"/>
          <w:sz w:val="18"/>
          <w:szCs w:val="18"/>
          <w:color w:val="auto"/>
        </w:rPr>
      </w:pPr>
      <w:r>
        <w:rPr>
          <w:rFonts w:ascii="Arial" w:cs="Arial" w:eastAsia="Arial" w:hAnsi="Arial"/>
          <w:sz w:val="18"/>
          <w:szCs w:val="18"/>
          <w:color w:val="auto"/>
        </w:rPr>
        <w:t>5.6 Trading of the Israeli Company’s shares shall be discontinued on the Record Date and, as of the discontinuance of trading as stated, it shall not be possible to execute transactions and transfers of shares of Israeli Company the on the NASDAQ.</w:t>
      </w:r>
    </w:p>
    <w:p>
      <w:pPr>
        <w:spacing w:after="0" w:line="315" w:lineRule="exact"/>
        <w:rPr>
          <w:rFonts w:ascii="Arial" w:cs="Arial" w:eastAsia="Arial" w:hAnsi="Arial"/>
          <w:sz w:val="18"/>
          <w:szCs w:val="18"/>
          <w:color w:val="auto"/>
        </w:rPr>
      </w:pPr>
    </w:p>
    <w:p>
      <w:pPr>
        <w:ind w:left="640" w:hanging="436"/>
        <w:spacing w:after="0"/>
        <w:tabs>
          <w:tab w:leader="none" w:pos="640" w:val="left"/>
        </w:tabs>
        <w:numPr>
          <w:ilvl w:val="0"/>
          <w:numId w:val="152"/>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Covenants during the Interim Period</w:t>
      </w:r>
    </w:p>
    <w:p>
      <w:pPr>
        <w:spacing w:after="0" w:line="13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6.1  The parties shall act as follows during the Interim Period:</w:t>
      </w:r>
    </w:p>
    <w:p>
      <w:pPr>
        <w:spacing w:after="0" w:line="130" w:lineRule="exact"/>
        <w:rPr>
          <w:rFonts w:ascii="Arial" w:cs="Arial" w:eastAsia="Arial" w:hAnsi="Arial"/>
          <w:sz w:val="18"/>
          <w:szCs w:val="18"/>
          <w:color w:val="auto"/>
        </w:rPr>
      </w:pPr>
    </w:p>
    <w:p>
      <w:pPr>
        <w:ind w:left="1620" w:hanging="538"/>
        <w:spacing w:after="0" w:line="254" w:lineRule="auto"/>
        <w:tabs>
          <w:tab w:leader="none" w:pos="16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parties to this Agreement covenant to perform all actions and to sign all documents to the extent required for the purposes of carrying out the provisions of this Agreement and on time, and to exert maximum efforts to obtain any approval required to complete the Arrangement pursuant to, and in conformity with, the provisions of this Agreement, inclusive of all parts thereof (it is clarified that stated does not constitute any covenant with regard to the manner of voting by the Shareholders of the Israeli Company during a meeting of the Shareholders of the Israeli Company and/or by the Option-holders and/or by the creditors of the Israeli Company, insofar as their votes shall be required for the purpose of approving the Arrangement). Without derogating from the general purport of that stated, none of the parties shall perform any action that contradicts the covenants given by them and/or by any thereof in this Agreement.</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20"/>
          </w:cols>
          <w:pgMar w:left="240" w:top="460"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620" w:right="140" w:hanging="538"/>
        <w:spacing w:after="0" w:line="264" w:lineRule="auto"/>
        <w:tabs>
          <w:tab w:leader="none" w:pos="16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Israeli Company covenants to not conduct any activities whatsoever in the New Company in a manner that might cause any of the New Company’s representations and warranties in this Agreement to no longer be true and accurate, also on the Consummation Date.</w:t>
      </w:r>
    </w:p>
    <w:p>
      <w:pPr>
        <w:spacing w:after="0" w:line="325" w:lineRule="exact"/>
        <w:rPr>
          <w:rFonts w:ascii="Arial" w:cs="Arial" w:eastAsia="Arial" w:hAnsi="Arial"/>
          <w:sz w:val="18"/>
          <w:szCs w:val="18"/>
          <w:color w:val="auto"/>
        </w:rPr>
      </w:pPr>
    </w:p>
    <w:p>
      <w:pPr>
        <w:ind w:left="640" w:hanging="436"/>
        <w:spacing w:after="0"/>
        <w:tabs>
          <w:tab w:leader="none" w:pos="640" w:val="left"/>
        </w:tabs>
        <w:numPr>
          <w:ilvl w:val="0"/>
          <w:numId w:val="154"/>
        </w:numPr>
        <w:rPr>
          <w:rFonts w:ascii="Arial" w:cs="Arial" w:eastAsia="Arial" w:hAnsi="Arial"/>
          <w:sz w:val="18"/>
          <w:szCs w:val="18"/>
          <w:color w:val="auto"/>
        </w:rPr>
      </w:pPr>
      <w:r>
        <w:rPr>
          <w:rFonts w:ascii="Arial" w:cs="Arial" w:eastAsia="Arial" w:hAnsi="Arial"/>
          <w:sz w:val="18"/>
          <w:szCs w:val="18"/>
          <w:b w:val="1"/>
          <w:bCs w:val="1"/>
          <w:u w:val="single" w:color="auto"/>
          <w:color w:val="auto"/>
        </w:rPr>
        <w:t>The Suspending Conditions</w:t>
      </w:r>
    </w:p>
    <w:p>
      <w:pPr>
        <w:spacing w:after="0" w:line="134" w:lineRule="exact"/>
        <w:rPr>
          <w:rFonts w:ascii="Arial" w:cs="Arial" w:eastAsia="Arial" w:hAnsi="Arial"/>
          <w:sz w:val="18"/>
          <w:szCs w:val="18"/>
          <w:color w:val="auto"/>
        </w:rPr>
      </w:pPr>
    </w:p>
    <w:p>
      <w:pPr>
        <w:ind w:left="1060" w:right="80" w:hanging="432"/>
        <w:spacing w:after="0" w:line="254" w:lineRule="auto"/>
        <w:rPr>
          <w:rFonts w:ascii="Arial" w:cs="Arial" w:eastAsia="Arial" w:hAnsi="Arial"/>
          <w:sz w:val="18"/>
          <w:szCs w:val="18"/>
          <w:color w:val="auto"/>
        </w:rPr>
      </w:pPr>
      <w:r>
        <w:rPr>
          <w:rFonts w:ascii="Arial" w:cs="Arial" w:eastAsia="Arial" w:hAnsi="Arial"/>
          <w:sz w:val="18"/>
          <w:szCs w:val="18"/>
          <w:color w:val="auto"/>
        </w:rPr>
        <w:t>7.1 The conditions specified hereunder are suspending conditions to the validation of this Agreement and/or to the completion of the Arrangement pursuant thereto, and they must be fulfilled by the Deadline for the Fulfillment of the Suspending Conditions. If all of the said Suspending Conditions are not fulfilled by the Deadline as stated, and the Deadline is not expressly extended by all of the parties in writing (and it is clarified that the parties may do so by mutual consent), then this Agreement shall be null and void, and none of the parties nor any third party shall have any cause deriving from this Agreement, including a cause and/or allegation and/or right to sue any of the parties to this Agreement, officers thereof, directors serving therein, their managers, their employees, their shareholders, their consultants, service-providers to them and/or any party on their behalf, apart from allegations in respect of a breach of covenants included in this Agreement, if any are breached:</w:t>
      </w:r>
    </w:p>
    <w:p>
      <w:pPr>
        <w:spacing w:after="0" w:line="97" w:lineRule="exact"/>
        <w:rPr>
          <w:rFonts w:ascii="Arial" w:cs="Arial" w:eastAsia="Arial" w:hAnsi="Arial"/>
          <w:sz w:val="18"/>
          <w:szCs w:val="18"/>
          <w:color w:val="auto"/>
        </w:rPr>
      </w:pPr>
    </w:p>
    <w:p>
      <w:pPr>
        <w:jc w:val="both"/>
        <w:ind w:left="1620" w:right="280" w:hanging="538"/>
        <w:spacing w:after="0" w:line="264" w:lineRule="auto"/>
        <w:tabs>
          <w:tab w:leader="none" w:pos="1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Receipt of the Court’s approval for the Arrangement, including the approval that the issuance of the Consideration Shares and the Consideration Options is not a public offering and is exempt from publishing a prospectus in Israel, pursuant to the provisions of section 15.A(a)(3) of the Securities Law.;</w:t>
      </w:r>
    </w:p>
    <w:p>
      <w:pPr>
        <w:spacing w:after="0" w:line="86" w:lineRule="exact"/>
        <w:rPr>
          <w:rFonts w:ascii="Arial" w:cs="Arial" w:eastAsia="Arial" w:hAnsi="Arial"/>
          <w:sz w:val="18"/>
          <w:szCs w:val="18"/>
          <w:color w:val="auto"/>
        </w:rPr>
      </w:pPr>
    </w:p>
    <w:p>
      <w:pPr>
        <w:ind w:left="1620" w:right="100" w:hanging="538"/>
        <w:spacing w:after="0" w:line="277" w:lineRule="auto"/>
        <w:tabs>
          <w:tab w:leader="none" w:pos="1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Receipt of Nasdaq’s approval to list the Consideration Shares for trading on the NASDAQ and the Form S-4 Registration Statement has been declared effective by the SEC;</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Receipt of the Tax Ruling;</w:t>
      </w:r>
    </w:p>
    <w:p>
      <w:pPr>
        <w:spacing w:after="0" w:line="130" w:lineRule="exact"/>
        <w:rPr>
          <w:rFonts w:ascii="Arial" w:cs="Arial" w:eastAsia="Arial" w:hAnsi="Arial"/>
          <w:sz w:val="18"/>
          <w:szCs w:val="18"/>
          <w:color w:val="auto"/>
        </w:rPr>
      </w:pPr>
    </w:p>
    <w:p>
      <w:pPr>
        <w:ind w:left="1620" w:right="140" w:hanging="538"/>
        <w:spacing w:after="0" w:line="277" w:lineRule="auto"/>
        <w:tabs>
          <w:tab w:leader="none" w:pos="1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Receipt of approvals from additional parties, insofar as might be required by law (in Israel and in the United States) for the purpose of carrying out the Arrangement pursuant to its conditions.</w:t>
      </w:r>
    </w:p>
    <w:p>
      <w:pPr>
        <w:spacing w:after="0" w:line="76" w:lineRule="exact"/>
        <w:rPr>
          <w:sz w:val="20"/>
          <w:szCs w:val="20"/>
          <w:color w:val="auto"/>
        </w:rPr>
      </w:pPr>
    </w:p>
    <w:p>
      <w:pPr>
        <w:ind w:left="1060" w:right="60" w:hanging="431"/>
        <w:spacing w:after="0" w:line="277" w:lineRule="auto"/>
        <w:tabs>
          <w:tab w:leader="none" w:pos="1040" w:val="left"/>
        </w:tabs>
        <w:rPr>
          <w:sz w:val="20"/>
          <w:szCs w:val="20"/>
          <w:color w:val="auto"/>
        </w:rPr>
      </w:pPr>
      <w:r>
        <w:rPr>
          <w:rFonts w:ascii="Arial" w:cs="Arial" w:eastAsia="Arial" w:hAnsi="Arial"/>
          <w:sz w:val="18"/>
          <w:szCs w:val="18"/>
          <w:color w:val="auto"/>
        </w:rPr>
        <w:t>7.2</w:t>
        <w:tab/>
        <w:t>Subject to the provisions of the law, the parties are allowed to agree, each at its independent and absolute discretion, to waive the fulfillment of any of the Suspending Conditions.</w:t>
      </w:r>
    </w:p>
    <w:p>
      <w:pPr>
        <w:spacing w:after="0" w:line="76" w:lineRule="exact"/>
        <w:rPr>
          <w:sz w:val="20"/>
          <w:szCs w:val="20"/>
          <w:color w:val="auto"/>
        </w:rPr>
      </w:pPr>
    </w:p>
    <w:p>
      <w:pPr>
        <w:ind w:left="1060" w:right="360" w:hanging="431"/>
        <w:spacing w:after="0" w:line="342" w:lineRule="auto"/>
        <w:tabs>
          <w:tab w:leader="none" w:pos="10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If any of the approvals required within the scope of one of the Suspending Conditions is received while being made contingent upon the fulfillment of conditions, then the said Suspending Condition shall be deemed as if fulfilled only if both parties agree thereto.</w:t>
      </w:r>
    </w:p>
    <w:p>
      <w:pPr>
        <w:spacing w:after="0" w:line="29" w:lineRule="exact"/>
        <w:rPr>
          <w:sz w:val="20"/>
          <w:szCs w:val="20"/>
          <w:color w:val="auto"/>
        </w:rPr>
      </w:pPr>
    </w:p>
    <w:p>
      <w:pPr>
        <w:ind w:left="1060" w:hanging="431"/>
        <w:spacing w:after="0" w:line="259" w:lineRule="auto"/>
        <w:tabs>
          <w:tab w:leader="none" w:pos="1040" w:val="left"/>
        </w:tabs>
        <w:rPr>
          <w:sz w:val="20"/>
          <w:szCs w:val="20"/>
          <w:color w:val="auto"/>
        </w:rPr>
      </w:pPr>
      <w:r>
        <w:rPr>
          <w:rFonts w:ascii="Arial" w:cs="Arial" w:eastAsia="Arial" w:hAnsi="Arial"/>
          <w:sz w:val="18"/>
          <w:szCs w:val="18"/>
          <w:color w:val="auto"/>
        </w:rPr>
        <w:t>7.4</w:t>
        <w:tab/>
        <w:t>If the Suspending Conditions are not fulfilled by May 31, 2019, or by a later date that might be mutually agreed upon between the parties, then, as of that date and thereafter, each of the parties shall be entitled to terminate this Agreement by issuing written notice to the other party. If a notice as stated is issued, then the validity of this Agreement shall be terminated on that date and none of the parties shall have any claim or allegation against the other party.</w:t>
      </w:r>
    </w:p>
    <w:p>
      <w:pPr>
        <w:spacing w:after="0" w:line="331" w:lineRule="exact"/>
        <w:rPr>
          <w:sz w:val="20"/>
          <w:szCs w:val="20"/>
          <w:color w:val="auto"/>
        </w:rPr>
      </w:pPr>
    </w:p>
    <w:p>
      <w:pPr>
        <w:ind w:left="640" w:hanging="436"/>
        <w:spacing w:after="0"/>
        <w:tabs>
          <w:tab w:leader="none" w:pos="640" w:val="left"/>
        </w:tabs>
        <w:numPr>
          <w:ilvl w:val="0"/>
          <w:numId w:val="155"/>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134" w:lineRule="exact"/>
        <w:rPr>
          <w:rFonts w:ascii="Arial" w:cs="Arial" w:eastAsia="Arial" w:hAnsi="Arial"/>
          <w:sz w:val="18"/>
          <w:szCs w:val="18"/>
          <w:color w:val="auto"/>
        </w:rPr>
      </w:pPr>
    </w:p>
    <w:p>
      <w:pPr>
        <w:jc w:val="both"/>
        <w:ind w:left="1060" w:right="100" w:hanging="432"/>
        <w:spacing w:after="0" w:line="279" w:lineRule="auto"/>
        <w:rPr>
          <w:rFonts w:ascii="Arial" w:cs="Arial" w:eastAsia="Arial" w:hAnsi="Arial"/>
          <w:sz w:val="18"/>
          <w:szCs w:val="18"/>
          <w:color w:val="auto"/>
        </w:rPr>
      </w:pPr>
      <w:r>
        <w:rPr>
          <w:rFonts w:ascii="Arial" w:cs="Arial" w:eastAsia="Arial" w:hAnsi="Arial"/>
          <w:sz w:val="17"/>
          <w:szCs w:val="17"/>
          <w:color w:val="auto"/>
        </w:rPr>
        <w:t>8.1 If any party delays or refrains from exercising or enforcing any of its rights pursuant to this Agreement, they shall not be construed as that party waiving or refraining from exercising its rights in the future, and it shall be allowed to use all or a portion of its rights at any time that it shall deem fit. No waiver, discount, extension, situation, amendment, addition to or elimination from this Agreement, or pursuant thereto, shall have any validity unless set forth in writing and signed by all parties to this Agreement.</w:t>
      </w:r>
    </w:p>
    <w:p>
      <w:pPr>
        <w:spacing w:after="0" w:line="76" w:lineRule="exact"/>
        <w:rPr>
          <w:rFonts w:ascii="Arial" w:cs="Arial" w:eastAsia="Arial" w:hAnsi="Arial"/>
          <w:sz w:val="18"/>
          <w:szCs w:val="18"/>
          <w:color w:val="auto"/>
        </w:rPr>
      </w:pPr>
    </w:p>
    <w:p>
      <w:pPr>
        <w:ind w:left="1060" w:right="360" w:hanging="432"/>
        <w:spacing w:after="0" w:line="277" w:lineRule="auto"/>
        <w:rPr>
          <w:rFonts w:ascii="Arial" w:cs="Arial" w:eastAsia="Arial" w:hAnsi="Arial"/>
          <w:sz w:val="18"/>
          <w:szCs w:val="18"/>
          <w:color w:val="auto"/>
        </w:rPr>
      </w:pPr>
      <w:r>
        <w:rPr>
          <w:rFonts w:ascii="Arial" w:cs="Arial" w:eastAsia="Arial" w:hAnsi="Arial"/>
          <w:sz w:val="18"/>
          <w:szCs w:val="18"/>
          <w:color w:val="auto"/>
        </w:rPr>
        <w:t>8.2 Any amendment, correction and/or addition to this Agreement shall not have any validity and shall be deemed as if not made, unless set forth in writing and signed by all of the parties.</w:t>
      </w:r>
    </w:p>
    <w:p>
      <w:pPr>
        <w:spacing w:after="0" w:line="75" w:lineRule="exact"/>
        <w:rPr>
          <w:rFonts w:ascii="Arial" w:cs="Arial" w:eastAsia="Arial" w:hAnsi="Arial"/>
          <w:sz w:val="18"/>
          <w:szCs w:val="18"/>
          <w:color w:val="auto"/>
        </w:rPr>
      </w:pPr>
    </w:p>
    <w:p>
      <w:pPr>
        <w:ind w:left="1060" w:right="260" w:hanging="432"/>
        <w:spacing w:after="0" w:line="277" w:lineRule="auto"/>
        <w:rPr>
          <w:rFonts w:ascii="Arial" w:cs="Arial" w:eastAsia="Arial" w:hAnsi="Arial"/>
          <w:sz w:val="18"/>
          <w:szCs w:val="18"/>
          <w:color w:val="auto"/>
        </w:rPr>
      </w:pPr>
      <w:r>
        <w:rPr>
          <w:rFonts w:ascii="Arial" w:cs="Arial" w:eastAsia="Arial" w:hAnsi="Arial"/>
          <w:sz w:val="18"/>
          <w:szCs w:val="18"/>
          <w:color w:val="auto"/>
        </w:rPr>
        <w:t>8.3 this Agreement may be signed in a number of copies, including by way of signing via fax or another electronic method , and each thereof shall be deemed an original copy, but together, they shall be deemed a single copy of that document.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20"/>
          </w:cols>
          <w:pgMar w:left="240" w:top="460"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Each party to this Agreement shall bear the tax liabilities applying to it by law.</w:t>
      </w:r>
    </w:p>
    <w:p>
      <w:pPr>
        <w:spacing w:after="0" w:line="131" w:lineRule="exact"/>
        <w:rPr>
          <w:sz w:val="20"/>
          <w:szCs w:val="20"/>
          <w:color w:val="auto"/>
        </w:rPr>
      </w:pPr>
    </w:p>
    <w:p>
      <w:pPr>
        <w:ind w:left="1060" w:right="220" w:hanging="431"/>
        <w:spacing w:after="0" w:line="277" w:lineRule="auto"/>
        <w:tabs>
          <w:tab w:leader="none" w:pos="1040" w:val="left"/>
        </w:tabs>
        <w:rPr>
          <w:sz w:val="20"/>
          <w:szCs w:val="20"/>
          <w:color w:val="auto"/>
        </w:rPr>
      </w:pPr>
      <w:r>
        <w:rPr>
          <w:rFonts w:ascii="Arial" w:cs="Arial" w:eastAsia="Arial" w:hAnsi="Arial"/>
          <w:sz w:val="18"/>
          <w:szCs w:val="18"/>
          <w:color w:val="auto"/>
        </w:rPr>
        <w:t>8.5</w:t>
        <w:tab/>
        <w:t>The provisions of Israeli law shall apply to this Agreement. The competent courts in the District of Tel-Aviv – Jaffa, Israel, shall have sole jurisdiction in relation to any matter pertaining to this Agreement.</w:t>
      </w:r>
    </w:p>
    <w:p>
      <w:pPr>
        <w:spacing w:after="0" w:line="76" w:lineRule="exact"/>
        <w:rPr>
          <w:sz w:val="20"/>
          <w:szCs w:val="20"/>
          <w:color w:val="auto"/>
        </w:rPr>
      </w:pPr>
    </w:p>
    <w:p>
      <w:pPr>
        <w:jc w:val="both"/>
        <w:ind w:left="1060" w:right="280" w:hanging="431"/>
        <w:spacing w:after="0" w:line="279" w:lineRule="auto"/>
        <w:tabs>
          <w:tab w:leader="none" w:pos="10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color w:val="auto"/>
        </w:rPr>
        <w:t>Any notice by any of the parties relating to this Agreement must be sent to the addressee via personal delivery or by registered mail to its address or via facsimile or via e-mail, as stated above, and shall be deemed delivered to the addressee on the date of delivery via personal delivery, or three days after its dispatch by registered mail, as stated above, or on the first business day after receiving confirmation of its transmission by facsimile or of delivery via e-mail, all as the case may be.</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700" w:type="dxa"/>
            <w:vAlign w:val="bottom"/>
            <w:gridSpan w:val="6"/>
          </w:tcPr>
          <w:p>
            <w:pPr>
              <w:jc w:val="center"/>
              <w:ind w:right="2360"/>
              <w:spacing w:after="0"/>
              <w:rPr>
                <w:sz w:val="20"/>
                <w:szCs w:val="20"/>
                <w:color w:val="auto"/>
              </w:rPr>
            </w:pPr>
            <w:r>
              <w:rPr>
                <w:rFonts w:ascii="Arial" w:cs="Arial" w:eastAsia="Arial" w:hAnsi="Arial"/>
                <w:sz w:val="18"/>
                <w:szCs w:val="18"/>
                <w:b w:val="1"/>
                <w:bCs w:val="1"/>
                <w:color w:val="auto"/>
                <w:w w:val="88"/>
              </w:rPr>
              <w:t>And in witness whereof the parties have hereunto signed:</w:t>
            </w:r>
          </w:p>
        </w:tc>
      </w:tr>
      <w:tr>
        <w:trPr>
          <w:trHeight w:val="459"/>
        </w:trPr>
        <w:tc>
          <w:tcPr>
            <w:tcW w:w="2340" w:type="dxa"/>
            <w:vAlign w:val="bottom"/>
            <w:gridSpan w:val="3"/>
          </w:tcPr>
          <w:p>
            <w:pPr>
              <w:spacing w:after="0"/>
              <w:rPr>
                <w:sz w:val="20"/>
                <w:szCs w:val="20"/>
                <w:color w:val="auto"/>
              </w:rPr>
            </w:pPr>
            <w:r>
              <w:rPr>
                <w:rFonts w:ascii="Arial" w:cs="Arial" w:eastAsia="Arial" w:hAnsi="Arial"/>
                <w:sz w:val="18"/>
                <w:szCs w:val="18"/>
                <w:color w:val="auto"/>
              </w:rPr>
              <w:t>/s/ Joseph E. Payne</w:t>
            </w:r>
          </w:p>
        </w:tc>
        <w:tc>
          <w:tcPr>
            <w:tcW w:w="2720" w:type="dxa"/>
            <w:vAlign w:val="bottom"/>
          </w:tcPr>
          <w:p>
            <w:pPr>
              <w:spacing w:after="0"/>
              <w:rPr>
                <w:sz w:val="24"/>
                <w:szCs w:val="24"/>
                <w:color w:val="auto"/>
              </w:rPr>
            </w:pPr>
          </w:p>
        </w:tc>
        <w:tc>
          <w:tcPr>
            <w:tcW w:w="5980" w:type="dxa"/>
            <w:vAlign w:val="bottom"/>
            <w:gridSpan w:val="5"/>
          </w:tcPr>
          <w:p>
            <w:pPr>
              <w:ind w:left="800"/>
              <w:spacing w:after="0"/>
              <w:rPr>
                <w:sz w:val="20"/>
                <w:szCs w:val="20"/>
                <w:color w:val="auto"/>
              </w:rPr>
            </w:pPr>
            <w:r>
              <w:rPr>
                <w:rFonts w:ascii="Arial" w:cs="Arial" w:eastAsia="Arial" w:hAnsi="Arial"/>
                <w:sz w:val="18"/>
                <w:szCs w:val="18"/>
                <w:color w:val="auto"/>
              </w:rPr>
              <w:t>/s/ Joseph E. Payne</w:t>
            </w:r>
          </w:p>
        </w:tc>
      </w:tr>
      <w:tr>
        <w:trPr>
          <w:trHeight w:val="228"/>
        </w:trPr>
        <w:tc>
          <w:tcPr>
            <w:tcW w:w="2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Arcturus Therapeutics Ltd.</w:t>
            </w:r>
          </w:p>
        </w:tc>
        <w:tc>
          <w:tcPr>
            <w:tcW w:w="272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516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rPr>
              <w:t>Arcturus Therapeutics Holdings Inc.</w:t>
            </w:r>
          </w:p>
        </w:tc>
      </w:tr>
      <w:tr>
        <w:trPr>
          <w:trHeight w:val="387"/>
        </w:trPr>
        <w:tc>
          <w:tcPr>
            <w:tcW w:w="2340" w:type="dxa"/>
            <w:vAlign w:val="bottom"/>
            <w:gridSpan w:val="3"/>
          </w:tcPr>
          <w:p>
            <w:pPr>
              <w:spacing w:after="0"/>
              <w:rPr>
                <w:sz w:val="20"/>
                <w:szCs w:val="20"/>
                <w:color w:val="auto"/>
              </w:rPr>
            </w:pPr>
            <w:r>
              <w:rPr>
                <w:rFonts w:ascii="Arial" w:cs="Arial" w:eastAsia="Arial" w:hAnsi="Arial"/>
                <w:sz w:val="18"/>
                <w:szCs w:val="18"/>
                <w:color w:val="auto"/>
              </w:rPr>
              <w:t>By:  Joseph E. Payne</w:t>
            </w:r>
          </w:p>
        </w:tc>
        <w:tc>
          <w:tcPr>
            <w:tcW w:w="2720" w:type="dxa"/>
            <w:vAlign w:val="bottom"/>
          </w:tcPr>
          <w:p>
            <w:pPr>
              <w:spacing w:after="0"/>
              <w:rPr>
                <w:sz w:val="24"/>
                <w:szCs w:val="24"/>
                <w:color w:val="auto"/>
              </w:rPr>
            </w:pPr>
          </w:p>
        </w:tc>
        <w:tc>
          <w:tcPr>
            <w:tcW w:w="5980" w:type="dxa"/>
            <w:vAlign w:val="bottom"/>
            <w:gridSpan w:val="5"/>
          </w:tcPr>
          <w:p>
            <w:pPr>
              <w:ind w:left="800"/>
              <w:spacing w:after="0"/>
              <w:rPr>
                <w:sz w:val="20"/>
                <w:szCs w:val="20"/>
                <w:color w:val="auto"/>
              </w:rPr>
            </w:pPr>
            <w:r>
              <w:rPr>
                <w:rFonts w:ascii="Arial" w:cs="Arial" w:eastAsia="Arial" w:hAnsi="Arial"/>
                <w:sz w:val="18"/>
                <w:szCs w:val="18"/>
                <w:color w:val="auto"/>
              </w:rPr>
              <w:t>By:  Joseph E. Payne</w:t>
            </w:r>
          </w:p>
        </w:tc>
      </w:tr>
      <w:tr>
        <w:trPr>
          <w:trHeight w:val="20"/>
        </w:trPr>
        <w:tc>
          <w:tcPr>
            <w:tcW w:w="4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2340" w:type="dxa"/>
            <w:vAlign w:val="bottom"/>
            <w:gridSpan w:val="3"/>
          </w:tcPr>
          <w:p>
            <w:pPr>
              <w:spacing w:after="0" w:line="196" w:lineRule="exact"/>
              <w:rPr>
                <w:sz w:val="20"/>
                <w:szCs w:val="20"/>
                <w:color w:val="auto"/>
              </w:rPr>
            </w:pPr>
            <w:r>
              <w:rPr>
                <w:rFonts w:ascii="Arial" w:cs="Arial" w:eastAsia="Arial" w:hAnsi="Arial"/>
                <w:sz w:val="18"/>
                <w:szCs w:val="18"/>
                <w:color w:val="auto"/>
              </w:rPr>
              <w:t>Title: President and CEO</w:t>
            </w:r>
          </w:p>
        </w:tc>
        <w:tc>
          <w:tcPr>
            <w:tcW w:w="2720" w:type="dxa"/>
            <w:vAlign w:val="bottom"/>
          </w:tcPr>
          <w:p>
            <w:pPr>
              <w:spacing w:after="0"/>
              <w:rPr>
                <w:sz w:val="17"/>
                <w:szCs w:val="17"/>
                <w:color w:val="auto"/>
              </w:rPr>
            </w:pPr>
          </w:p>
        </w:tc>
        <w:tc>
          <w:tcPr>
            <w:tcW w:w="5980" w:type="dxa"/>
            <w:vAlign w:val="bottom"/>
            <w:gridSpan w:val="5"/>
          </w:tcPr>
          <w:p>
            <w:pPr>
              <w:ind w:left="800"/>
              <w:spacing w:after="0" w:line="196" w:lineRule="exact"/>
              <w:rPr>
                <w:sz w:val="20"/>
                <w:szCs w:val="20"/>
                <w:color w:val="auto"/>
              </w:rPr>
            </w:pPr>
            <w:r>
              <w:rPr>
                <w:rFonts w:ascii="Arial" w:cs="Arial" w:eastAsia="Arial" w:hAnsi="Arial"/>
                <w:sz w:val="18"/>
                <w:szCs w:val="18"/>
                <w:color w:val="auto"/>
              </w:rPr>
              <w:t>Title: President and CEO</w:t>
            </w:r>
          </w:p>
        </w:tc>
      </w:tr>
      <w:tr>
        <w:trPr>
          <w:trHeight w:val="385"/>
        </w:trPr>
        <w:tc>
          <w:tcPr>
            <w:tcW w:w="44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40" w:type="dxa"/>
            <w:vAlign w:val="bottom"/>
            <w:gridSpan w:val="2"/>
          </w:tcPr>
          <w:p>
            <w:pPr>
              <w:jc w:val="center"/>
              <w:ind w:right="230"/>
              <w:spacing w:after="0"/>
              <w:rPr>
                <w:sz w:val="20"/>
                <w:szCs w:val="20"/>
                <w:color w:val="auto"/>
              </w:rPr>
            </w:pPr>
            <w:r>
              <w:rPr>
                <w:rFonts w:ascii="Arial" w:cs="Arial" w:eastAsia="Arial" w:hAnsi="Arial"/>
                <w:sz w:val="18"/>
                <w:szCs w:val="18"/>
                <w:color w:val="auto"/>
                <w:w w:val="99"/>
              </w:rPr>
              <w:t>A-8</w:t>
            </w:r>
          </w:p>
        </w:tc>
        <w:tc>
          <w:tcPr>
            <w:tcW w:w="1380" w:type="dxa"/>
            <w:vAlign w:val="bottom"/>
            <w:tcBorders>
              <w:top w:val="single" w:sz="8" w:color="auto"/>
            </w:tcBorders>
          </w:tcPr>
          <w:p>
            <w:pPr>
              <w:spacing w:after="0"/>
              <w:rPr>
                <w:sz w:val="24"/>
                <w:szCs w:val="24"/>
                <w:color w:val="auto"/>
              </w:rPr>
            </w:pPr>
          </w:p>
        </w:tc>
        <w:tc>
          <w:tcPr>
            <w:tcW w:w="3360" w:type="dxa"/>
            <w:vAlign w:val="bottom"/>
            <w:gridSpan w:val="2"/>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HOLDINGS INC.</w:t>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NAME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name of the Corporation is “ARCTURUS THERAPEUTICS HOLDINGS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REGISTERED OFFICE AND AGENT</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address of the registered office of the Corporation in the State of Delaware is 251 Little Falls Drive, New Castle County, Delaware 19808.</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name of its registered agent at such address is Corporation Service Company.</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PURPOSE</w:t>
      </w:r>
    </w:p>
    <w:p>
      <w:pPr>
        <w:spacing w:after="0" w:line="21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General Corporation Law of the State of Delaware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CAPITAL STOCK</w:t>
      </w:r>
    </w:p>
    <w:p>
      <w:pPr>
        <w:spacing w:after="0" w:line="21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Authorized Capital Stock</w:t>
      </w:r>
      <w:r>
        <w:rPr>
          <w:rFonts w:ascii="Arial" w:cs="Arial" w:eastAsia="Arial" w:hAnsi="Arial"/>
          <w:sz w:val="18"/>
          <w:szCs w:val="18"/>
          <w:color w:val="auto"/>
        </w:rPr>
        <w:t>. The Corporation is authorized to issue two classes of capital stock to be designated, respectively,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total number of shares of capital stock which the Corporation is authorized to issue is Forty Million (40,000,000) shares. Thirty Million (30,000,000) shares shall be Common Stock, each having a par value of one-tenth of one cent ($0.001). Ten Million (10,000,000) shares shall be Preferred Stock, each having a par value of one-tenth of one cent ($0.001).</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Preferred Stock may be issued from time to time in one or more series. The Board of Directors of the Corporation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is hereby expressly authorized to provide for the issue of all or any of the shares of the Preferred Stock in one or more series,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 fix the number of shares and to determine or alter for each such series, such voting powers, if any, and such designation, preferences, and relative,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participating, optional, or other rights and such qualifications, limitations, or restrictions thereof, as shall be stated and expressed in the resolution 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resolutions adopted by the Board of Directors providing for the issuance of such shares and as may be permitted by the DGCL. The Board of Directors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is also expressly authorized to increase or decrease the number of shares of any series subsequent to the issuance of shares of that series, but not below</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number of shares of such series then outstanding. In case the number of shares of any series shall be decreased in accordance with the foregoing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sentence, the shares constituting such decrease shall resume the status that they had prior to the adoption of the resolution originally fixing the number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shares of such series. The number of authorized shares of Preferred Stock may be increased or decreased (but not below the number of shares thereof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then outstanding) by the affirmative vote of the holders of a majority of the voting power of the capital stock of the Corporation entitled to vote thereon,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without a separate vote of the holders of the Preferred Stock, or of any series thereof, unless a vote of any such holders is required pursuant to the terms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any certificate of designation filed with respect to any series of Preferred Stock.</w:t>
      </w: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20"/>
          </w:cols>
          <w:pgMar w:left="240" w:top="460"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left="200" w:right="260" w:firstLine="885"/>
        <w:spacing w:after="0" w:line="293" w:lineRule="auto"/>
        <w:tabs>
          <w:tab w:leader="none" w:pos="1261"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Each outstanding share of Common Stock shall entitle the holder thereof to one vote on each matter properly submitted to the stockholders of the Corporation for their vote; provided, however, that, except as otherwise required by law,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Certificate of Incorporation (including any certificate of designation filed with respect to any series of Preferred Stock). There shall be no cumulative voting.</w:t>
      </w:r>
    </w:p>
    <w:p>
      <w:pPr>
        <w:spacing w:after="0" w:line="164" w:lineRule="exact"/>
        <w:rPr>
          <w:rFonts w:ascii="Arial" w:cs="Arial" w:eastAsia="Arial" w:hAnsi="Arial"/>
          <w:sz w:val="16"/>
          <w:szCs w:val="16"/>
          <w:color w:val="auto"/>
        </w:rPr>
      </w:pPr>
    </w:p>
    <w:p>
      <w:pPr>
        <w:ind w:left="200" w:right="60" w:firstLine="885"/>
        <w:spacing w:after="0" w:line="277" w:lineRule="auto"/>
        <w:tabs>
          <w:tab w:leader="none" w:pos="1261"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the preferential rights of the Preferred Stock, the holders of the Common Stock are entitled to receive, to the extent permitted by law, such dividends as may be declared from time to time by the Board of Directors.</w:t>
      </w:r>
    </w:p>
    <w:p>
      <w:pPr>
        <w:spacing w:after="0" w:line="170" w:lineRule="exact"/>
        <w:rPr>
          <w:rFonts w:ascii="Arial" w:cs="Arial" w:eastAsia="Arial" w:hAnsi="Arial"/>
          <w:sz w:val="18"/>
          <w:szCs w:val="18"/>
          <w:color w:val="auto"/>
        </w:rPr>
      </w:pPr>
    </w:p>
    <w:p>
      <w:pPr>
        <w:ind w:left="200" w:right="140" w:firstLine="885"/>
        <w:spacing w:after="0" w:line="277" w:lineRule="auto"/>
        <w:tabs>
          <w:tab w:leader="none" w:pos="1261"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No Preemptive Rights</w:t>
      </w:r>
      <w:r>
        <w:rPr>
          <w:rFonts w:ascii="Arial" w:cs="Arial" w:eastAsia="Arial" w:hAnsi="Arial"/>
          <w:sz w:val="18"/>
          <w:szCs w:val="18"/>
          <w:color w:val="auto"/>
        </w:rPr>
        <w:t>. The holders of Common Stock shall have no preemptive rights to subscribe for any shares of any class of capital stock of the Corporation whether now or hereafter authorized.</w:t>
      </w:r>
    </w:p>
    <w:p>
      <w:pPr>
        <w:spacing w:after="0" w:line="170" w:lineRule="exact"/>
        <w:rPr>
          <w:rFonts w:ascii="Arial" w:cs="Arial" w:eastAsia="Arial" w:hAnsi="Arial"/>
          <w:sz w:val="18"/>
          <w:szCs w:val="18"/>
          <w:color w:val="auto"/>
        </w:rPr>
      </w:pPr>
    </w:p>
    <w:p>
      <w:pPr>
        <w:ind w:left="200" w:right="260" w:firstLine="885"/>
        <w:spacing w:after="0" w:line="277" w:lineRule="auto"/>
        <w:tabs>
          <w:tab w:leader="none" w:pos="1261"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No Conversion Rights</w:t>
      </w:r>
      <w:r>
        <w:rPr>
          <w:rFonts w:ascii="Arial" w:cs="Arial" w:eastAsia="Arial" w:hAnsi="Arial"/>
          <w:sz w:val="18"/>
          <w:szCs w:val="18"/>
          <w:color w:val="auto"/>
        </w:rPr>
        <w:t>. Common Stock shall not be convertible into, or exchangeable for, shares of any other class or classes or of any other series of the same class of the Corporation’s capital stock.</w:t>
      </w:r>
    </w:p>
    <w:p>
      <w:pPr>
        <w:spacing w:after="0" w:line="170" w:lineRule="exact"/>
        <w:rPr>
          <w:rFonts w:ascii="Arial" w:cs="Arial" w:eastAsia="Arial" w:hAnsi="Arial"/>
          <w:sz w:val="18"/>
          <w:szCs w:val="18"/>
          <w:color w:val="auto"/>
        </w:rPr>
      </w:pPr>
    </w:p>
    <w:p>
      <w:pPr>
        <w:ind w:left="200" w:firstLine="885"/>
        <w:spacing w:after="0" w:line="270" w:lineRule="auto"/>
        <w:tabs>
          <w:tab w:leader="none" w:pos="1261"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Liquidation Rights</w:t>
      </w:r>
      <w:r>
        <w:rPr>
          <w:rFonts w:ascii="Arial" w:cs="Arial" w:eastAsia="Arial" w:hAnsi="Arial"/>
          <w:sz w:val="17"/>
          <w:szCs w:val="17"/>
          <w:color w:val="auto"/>
        </w:rPr>
        <w:t>. In the event of the voluntary or involuntary liquidation, dissolution, distribution of assets or winding up of the Corporation, after distribution in full of the preferential amounts, if any, to be distributed to the holders of shares of Preferred Stock, holders of Common Stock shall be entitled to receive all of the remaining assets of the Corporation of whatever kind available for distribution to stockholders ratably in proportion to the number of shares of Common Stock held by them respectively. The Board of Directors may distribute in kind to the holders of Common Stock such remaining assets of the Corporation or may sell, transfer or otherwise dispose of all or any part of such remaining assets to any other corporation, trust or other entity and receive payment therefor in cash, stock or obligations of such other corporation, trust or other entity, or any combination thereof, and may sell all or any part of the consideration so received and distribute any balance thereof in kind to holders of Common Stock. The merger or consolidation of the Corporation into or with any other corporation, or the merger of any other corporation into it, or any purchase or redemption of shares of capital stock of the Corporation of any class, shall not be deemed to be a dissolution, liquidation or winding up of the Corporation for the purposes of this paragraph.</w:t>
      </w:r>
    </w:p>
    <w:p>
      <w:pPr>
        <w:spacing w:after="0" w:line="1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BOARD OF DIRECTORS</w:t>
      </w:r>
    </w:p>
    <w:p>
      <w:pPr>
        <w:spacing w:after="0" w:line="211"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For the management of the business and for the conduct of the affairs of the Corporation, and in further definition, limitation and regulation of the powers of the Corporation, of its directors and of its stockholders or any class thereof, as the case may be, it is further provided that:</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General Powers</w:t>
      </w:r>
      <w:r>
        <w:rPr>
          <w:rFonts w:ascii="Arial" w:cs="Arial" w:eastAsia="Arial" w:hAnsi="Arial"/>
          <w:sz w:val="16"/>
          <w:szCs w:val="16"/>
          <w:color w:val="auto"/>
        </w:rPr>
        <w:t>. The management of the business and the conduct of the affairs of the Corporation shall be vested in its Board of Directors.</w:t>
      </w:r>
    </w:p>
    <w:p>
      <w:pPr>
        <w:spacing w:after="0" w:line="24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Number of Directors; Vacancies and Newly Created Directorships</w:t>
      </w:r>
      <w:r>
        <w:rPr>
          <w:rFonts w:ascii="Arial" w:cs="Arial" w:eastAsia="Arial" w:hAnsi="Arial"/>
          <w:sz w:val="16"/>
          <w:szCs w:val="16"/>
          <w:color w:val="auto"/>
        </w:rPr>
        <w:t>. The number of directors constituting the board of directors shall be not fewer than one and not more than nine. The number of directors initially shall be one. Subject to the previous sentence and to the special rights of the holders of any class or series of stock to elect directors, the precise number of directors shall be fixed exclusively pursuant to a resolution adopted by the board of directors. Vacancies and newly-created directorships shall be filled exclusively pursuant to a resolution adopted by the board of directors.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200"/>
          </w:cols>
          <w:pgMar w:left="24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AMENDMENT OF CERTIFICATE OF INCORPORATION AND BYLAWS</w:t>
      </w:r>
    </w:p>
    <w:p>
      <w:pPr>
        <w:spacing w:after="0" w:line="211"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Amendments to the Certificate of Incorporation</w:t>
      </w:r>
      <w:r>
        <w:rPr>
          <w:rFonts w:ascii="Arial" w:cs="Arial" w:eastAsia="Arial" w:hAnsi="Arial"/>
          <w:sz w:val="17"/>
          <w:szCs w:val="17"/>
          <w:color w:val="auto"/>
        </w:rPr>
        <w:t xml:space="preserve">. Notwithstanding any other provisions of this Certificate of Incorporation, and notwithstanding that a lesser percentage may be permitted from time to time by applicable law, no provision of Articles VI or VIII may he altered, amended or repealed in any respect (including by merger, consolidation or otherwise), nor may any provision inconsistent therewith be adopted, unless such alteration, amendment, repeal or adoption is approved by the affirmative vote of the holders of at least sixty-six and two-thirds percent (66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capital stock of the corporation entitled to vote generally in an election of directors, voting together as a single class.</w:t>
      </w:r>
    </w:p>
    <w:p>
      <w:pPr>
        <w:spacing w:after="0" w:line="20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Adoption, Amendment and Repeal of the Bylaws</w:t>
      </w:r>
      <w:r>
        <w:rPr>
          <w:rFonts w:ascii="Arial" w:cs="Arial" w:eastAsia="Arial" w:hAnsi="Arial"/>
          <w:sz w:val="16"/>
          <w:szCs w:val="16"/>
          <w:color w:val="auto"/>
        </w:rPr>
        <w:t xml:space="preserve">. In furtherance, and not in limitation of the powers conferred by law, the board of directors is expressly authorized to make, alter, amend and repeal the bylaws of the corporation subject to the power of the stockholders of the corporation to alter, amend or repeal the bylaws; provided, however, that with respect to the powers of stockholders to make, alter, amend or repeal the bylaws, the affirmative vote of the holders of at least sixty-six and two-thirds percent (66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capital stock of the corporation entitled to vote generally in an election of directors, voting together as a single class, shall be required to make, alter amend or repeal the bylaws of the corporation.</w:t>
      </w:r>
    </w:p>
    <w:p>
      <w:pPr>
        <w:spacing w:after="0" w:line="1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STOCKHOLDER ACTIONS</w:t>
      </w:r>
    </w:p>
    <w:p>
      <w:pPr>
        <w:spacing w:after="0" w:line="21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No Stockholder Action without Meeting</w:t>
      </w:r>
      <w:r>
        <w:rPr>
          <w:rFonts w:ascii="Arial" w:cs="Arial" w:eastAsia="Arial" w:hAnsi="Arial"/>
          <w:sz w:val="18"/>
          <w:szCs w:val="18"/>
          <w:color w:val="auto"/>
        </w:rPr>
        <w:t>. No action shall be taken by the stockholders of the Corporation except at an annual or special meeting of stockholders called in accordance with the Bylaws of the Corporation, and no action shall be taken by the stockholders by written consent or electronic transmission.</w:t>
      </w:r>
    </w:p>
    <w:p>
      <w:pPr>
        <w:spacing w:after="0" w:line="181" w:lineRule="exact"/>
        <w:rPr>
          <w:sz w:val="20"/>
          <w:szCs w:val="20"/>
          <w:color w:val="auto"/>
        </w:rPr>
      </w:pPr>
    </w:p>
    <w:p>
      <w:pPr>
        <w:jc w:val="both"/>
        <w:ind w:left="200" w:right="340" w:firstLine="441"/>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Stockholder Nominations and Introduction of Business, Etc.</w:t>
      </w:r>
      <w:r>
        <w:rPr>
          <w:rFonts w:ascii="Arial" w:cs="Arial" w:eastAsia="Arial" w:hAnsi="Arial"/>
          <w:sz w:val="18"/>
          <w:szCs w:val="18"/>
          <w:color w:val="auto"/>
        </w:rPr>
        <w:t xml:space="preserve"> Advance notice of stockholder nominations for the election of directors and of other business to be brought by stockholders before any meeting of the stockholders of the Corporation shall be given in the manner provided in the Bylaws of the Corporation. Only those matters set forth in the notice of the special meeting may be considered or acted upon at a special meeting of stockholders of the Corporation.</w:t>
      </w:r>
    </w:p>
    <w:p>
      <w:pPr>
        <w:spacing w:after="0" w:line="18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Special Meetings</w:t>
      </w:r>
      <w:r>
        <w:rPr>
          <w:rFonts w:ascii="Arial" w:cs="Arial" w:eastAsia="Arial" w:hAnsi="Arial"/>
          <w:sz w:val="17"/>
          <w:szCs w:val="17"/>
          <w:color w:val="auto"/>
        </w:rPr>
        <w:t>. Except as otherwise required by statute and subject to the rights, if any, of the holders of any series of Preferred Stock, special meetings of the stockholders of the Corporation may be called only by the Board of Directors acting pursuant to a resolution approved by the affirmative vote of a majority of the directors then in office, the Chief Executive Officer (of if there is no Chief Executive Officer, the President) or the Chairperson of the Board of Directors, and may not be called by any other person or persons.</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LIMITATION ON DIRECTOR LIABILITY; INDEMNIFICATION</w:t>
      </w:r>
    </w:p>
    <w:p>
      <w:pPr>
        <w:spacing w:after="0" w:line="21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 The liability of the directors for monetary damages shall be eliminated to the fullest extent under applicable law. If the DGCL is amended to authorize corporate action further eliminating or limiting the personal liability of directors, then the liability of a director of the Corporation shall be eliminated to the fullest extent permitted by the DGCL, as so amended.</w:t>
      </w:r>
    </w:p>
    <w:p>
      <w:pPr>
        <w:spacing w:after="0" w:line="18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B. In furtherance and not in limitation of the rights, powers, privileges, and discretionary authority granted or conferred by Title 8 of the DGCL or other statutes or laws of the State of Delaware, the Board of Directors is expressly authorized to provide indemnification of (and advancement of expenses to) directors, officers, employees, and agents of the Corporation (and any other persons to which applicable law permits the Corporation to provide indemnification) to the fullest extent permitted by law through bylaw provisions, agreements with indemnitees, vote of stockholders or disinterested directors or otherwise.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220"/>
          </w:cols>
          <w:pgMar w:left="240" w:top="460"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C. Any repeal, amendment or modification of this Article VIII shall be prospective and shall not affect the rights under this Article VIII in effect at the time of the alleged occurrence of any act or omission to act giving rise to liability or indemnification.</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INCORPORATOR</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The name and mailing address of the incorporator is Ilan Katz, Esq., c/o Dentons US LLP, 1221 Avenue of the Americas, New York, NY 10020.</w:t>
      </w:r>
    </w:p>
    <w:p>
      <w:pPr>
        <w:spacing w:after="0" w:line="2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This Certificate of Incorporation has been executed as of January 28, 2019 by the undersigned who affirms that the statements made herein are true and correct.</w:t>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Ilan Katz</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Ilan Katz, 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-130810</wp:posOffset>
            </wp:positionV>
            <wp:extent cx="279590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220"/>
          </w:cols>
          <w:pgMar w:left="240" w:top="460"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BYLAWS</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HOLDINGS INC</w:t>
      </w:r>
      <w:r>
        <w:rPr>
          <w:rFonts w:ascii="Arial" w:cs="Arial" w:eastAsia="Arial" w:hAnsi="Arial"/>
          <w:sz w:val="18"/>
          <w:szCs w:val="18"/>
          <w:color w:val="auto"/>
        </w:rPr>
        <w: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STOCKHOLDERS</w:t>
      </w:r>
    </w:p>
    <w:p>
      <w:pPr>
        <w:spacing w:after="0" w:line="207" w:lineRule="exact"/>
        <w:rPr>
          <w:sz w:val="20"/>
          <w:szCs w:val="20"/>
          <w:color w:val="auto"/>
        </w:rPr>
      </w:pPr>
    </w:p>
    <w:p>
      <w:pPr>
        <w:ind w:left="200" w:firstLine="441"/>
        <w:spacing w:after="0" w:line="28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b w:val="1"/>
          <w:bCs w:val="1"/>
          <w:color w:val="auto"/>
        </w:rPr>
        <w:t>Annual Meeting</w:t>
      </w:r>
      <w:r>
        <w:rPr>
          <w:rFonts w:ascii="Arial" w:cs="Arial" w:eastAsia="Arial" w:hAnsi="Arial"/>
          <w:sz w:val="17"/>
          <w:szCs w:val="17"/>
          <w:color w:val="auto"/>
        </w:rPr>
        <w:t>. An annual meeting of the stockholders for the election of directors to succeed those whose terms expire and for the transaction of such other business as may properly come before the meeting shall be held at the place, if any, on the date, and at the time as the Board of Directors shall each year fix, which date shall be within thirteen (13) months of the last annual meeting of stockholders.</w:t>
      </w:r>
    </w:p>
    <w:p>
      <w:pPr>
        <w:spacing w:after="0" w:line="158"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5"/>
          <w:szCs w:val="15"/>
          <w:b w:val="1"/>
          <w:bCs w:val="1"/>
          <w:color w:val="auto"/>
        </w:rPr>
        <w:t>Advance Notice of Nominations and Proposals of Business.</w:t>
      </w:r>
    </w:p>
    <w:p>
      <w:pPr>
        <w:spacing w:after="0" w:line="229" w:lineRule="exact"/>
        <w:rPr>
          <w:sz w:val="20"/>
          <w:szCs w:val="20"/>
          <w:color w:val="auto"/>
        </w:rPr>
      </w:pPr>
    </w:p>
    <w:p>
      <w:pPr>
        <w:ind w:left="200" w:firstLine="885"/>
        <w:spacing w:after="0" w:line="285" w:lineRule="auto"/>
        <w:tabs>
          <w:tab w:leader="none" w:pos="1461" w:val="left"/>
        </w:tabs>
        <w:numPr>
          <w:ilvl w:val="1"/>
          <w:numId w:val="157"/>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and the proposal of business to be transacted by the stockholders may be made at an annual meeting of stockholders (i) pursuant to the Corporation’s proxy materials with respect to such meeting, (ii) by or at the direction of the Board of Directors, or (iii) by any stockholder (or stockholders acting jointly) of record of the Corporation (the “</w:t>
      </w:r>
      <w:r>
        <w:rPr>
          <w:rFonts w:ascii="Arial" w:cs="Arial" w:eastAsia="Arial" w:hAnsi="Arial"/>
          <w:sz w:val="16"/>
          <w:szCs w:val="16"/>
          <w:i w:val="1"/>
          <w:iCs w:val="1"/>
          <w:color w:val="auto"/>
        </w:rPr>
        <w:t>Record Stockholder</w:t>
      </w:r>
      <w:r>
        <w:rPr>
          <w:rFonts w:ascii="Arial" w:cs="Arial" w:eastAsia="Arial" w:hAnsi="Arial"/>
          <w:sz w:val="16"/>
          <w:szCs w:val="16"/>
          <w:color w:val="auto"/>
        </w:rPr>
        <w:t>”) at the time of the giving of the notice required in the following paragraph, who is entitled to vote at the meeting, who has complied with the notice procedures set forth in this section, and who owns more than 5% of the outstanding common stock of the Corporation. For the avoidance of doubt, the foregoing clause</w:t>
      </w:r>
    </w:p>
    <w:p>
      <w:pPr>
        <w:spacing w:after="0" w:line="2" w:lineRule="exact"/>
        <w:rPr>
          <w:rFonts w:ascii="Arial" w:cs="Arial" w:eastAsia="Arial" w:hAnsi="Arial"/>
          <w:sz w:val="16"/>
          <w:szCs w:val="16"/>
          <w:color w:val="auto"/>
        </w:rPr>
      </w:pPr>
    </w:p>
    <w:p>
      <w:pPr>
        <w:ind w:left="200" w:right="260" w:firstLine="4"/>
        <w:spacing w:after="0" w:line="255" w:lineRule="auto"/>
        <w:tabs>
          <w:tab w:leader="none" w:pos="51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8"/>
          <w:szCs w:val="18"/>
          <w:i w:val="1"/>
          <w:iCs w:val="1"/>
          <w:color w:val="auto"/>
        </w:rPr>
        <w:t>Exchange Act</w:t>
      </w:r>
      <w:r>
        <w:rPr>
          <w:rFonts w:ascii="Arial" w:cs="Arial" w:eastAsia="Arial" w:hAnsi="Arial"/>
          <w:sz w:val="18"/>
          <w:szCs w:val="18"/>
          <w:color w:val="auto"/>
        </w:rPr>
        <w:t>”)) at an annual meeting of stockholders.</w:t>
      </w:r>
    </w:p>
    <w:p>
      <w:pPr>
        <w:spacing w:after="0" w:line="190" w:lineRule="exact"/>
        <w:rPr>
          <w:rFonts w:ascii="Arial" w:cs="Arial" w:eastAsia="Arial" w:hAnsi="Arial"/>
          <w:sz w:val="18"/>
          <w:szCs w:val="18"/>
          <w:color w:val="auto"/>
        </w:rPr>
      </w:pPr>
    </w:p>
    <w:p>
      <w:pPr>
        <w:ind w:left="200" w:right="20" w:firstLine="885"/>
        <w:spacing w:after="0" w:line="283" w:lineRule="auto"/>
        <w:tabs>
          <w:tab w:leader="none" w:pos="1471" w:val="left"/>
        </w:tabs>
        <w:numPr>
          <w:ilvl w:val="1"/>
          <w:numId w:val="158"/>
        </w:numPr>
        <w:rPr>
          <w:rFonts w:ascii="Arial" w:cs="Arial" w:eastAsia="Arial" w:hAnsi="Arial"/>
          <w:sz w:val="16"/>
          <w:szCs w:val="16"/>
          <w:color w:val="auto"/>
        </w:rPr>
      </w:pPr>
      <w:r>
        <w:rPr>
          <w:rFonts w:ascii="Arial" w:cs="Arial" w:eastAsia="Arial" w:hAnsi="Arial"/>
          <w:sz w:val="16"/>
          <w:szCs w:val="16"/>
          <w:color w:val="auto"/>
        </w:rPr>
        <w:t>For nominations or business to be properly brought before an annual meeting by a Record Stockholder pursuant to clause (iii) of the foregoing paragraph, (i) the Record Stockholder must have given timely notice thereof in writing to the Secretary of the Corporation, and (ii) any such business must be a proper matter for stockholder action under Delaware law. To be timely, a Record Stockholder’s notice shall be received by the Secretary at the principal executive offices of the Corporation not less than forty-five (45) or more than seventy-five (75) days prior to the one-year anniversary of the date on which the Corporation first mailed its proxy materials for the preceding year’s annual meeting of stockholders; provided, however, that, subject to the last sentence of this paragraph (b), if the meeting is convened more than thirty (30) days prior to or delayed by more than thirty (30) days after the anniversary of the preceding year’s annual meeting, or if no annual meeting was held in the preceding year, notice by the Record Stockholder to be timely must be so received not later than the close of business on the later of (i) the ninetieth (90</w:t>
      </w:r>
      <w:r>
        <w:rPr>
          <w:rFonts w:ascii="Arial" w:cs="Arial" w:eastAsia="Arial" w:hAnsi="Arial"/>
          <w:sz w:val="13"/>
          <w:szCs w:val="13"/>
          <w:color w:val="auto"/>
        </w:rPr>
        <w:t>th</w:t>
      </w:r>
      <w:r>
        <w:rPr>
          <w:rFonts w:ascii="Arial" w:cs="Arial" w:eastAsia="Arial" w:hAnsi="Arial"/>
          <w:sz w:val="16"/>
          <w:szCs w:val="16"/>
          <w:color w:val="auto"/>
        </w:rPr>
        <w:t>) day before such annual meeting or (ii)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announcement of the date of such meeting is first made. Notwithstanding anything in the preceding sentence to the contrary, in the event that the number of directors to be elected to the Board of Directors is increased and there has been no public announcement naming all of the nominees for director or indicating the increase in the size of the Board of Directors made by the Corporation at least ten (10) days before the last day a Record Stockholder may deliver a notice of nomination in accordance with the preceding sentence, a Record Stockholder’s notice required by this bylaw shall also be considered timely, but only with respect to nominees for any new positions created by such increase, if it shall be received by the Secretary at the principal executive offices of the Corporation not later than the close of business on the tenth</w:t>
      </w:r>
    </w:p>
    <w:p>
      <w:pPr>
        <w:spacing w:after="0" w:line="2" w:lineRule="exact"/>
        <w:rPr>
          <w:rFonts w:ascii="Arial" w:cs="Arial" w:eastAsia="Arial" w:hAnsi="Arial"/>
          <w:sz w:val="16"/>
          <w:szCs w:val="16"/>
          <w:color w:val="auto"/>
        </w:rPr>
      </w:pPr>
    </w:p>
    <w:p>
      <w:pPr>
        <w:ind w:left="200" w:right="20"/>
        <w:spacing w:after="0" w:line="323" w:lineRule="auto"/>
        <w:rPr>
          <w:rFonts w:ascii="Arial" w:cs="Arial" w:eastAsia="Arial" w:hAnsi="Arial"/>
          <w:sz w:val="16"/>
          <w:szCs w:val="16"/>
          <w:color w:val="auto"/>
        </w:rPr>
      </w:pPr>
      <w:r>
        <w:rPr>
          <w:rFonts w:ascii="Arial" w:cs="Arial" w:eastAsia="Arial" w:hAnsi="Arial"/>
          <w:sz w:val="16"/>
          <w:szCs w:val="16"/>
          <w:color w:val="auto"/>
        </w:rPr>
        <w:t>(10</w:t>
      </w:r>
      <w:r>
        <w:rPr>
          <w:rFonts w:ascii="Arial" w:cs="Arial" w:eastAsia="Arial" w:hAnsi="Arial"/>
          <w:sz w:val="13"/>
          <w:szCs w:val="13"/>
          <w:color w:val="auto"/>
        </w:rPr>
        <w:t>th</w:t>
      </w:r>
      <w:r>
        <w:rPr>
          <w:rFonts w:ascii="Arial" w:cs="Arial" w:eastAsia="Arial" w:hAnsi="Arial"/>
          <w:sz w:val="16"/>
          <w:szCs w:val="16"/>
          <w:color w:val="auto"/>
        </w:rPr>
        <w:t>) day following the day on which such public announcement is first made by the Corporation. In no event shall an adjournment, or postponement of an annual meeting for which notice has been given, commence a new time period for the giving of a Record Stockholder’s notice.</w:t>
      </w:r>
    </w:p>
    <w:p>
      <w:pPr>
        <w:spacing w:after="0" w:line="7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220"/>
          </w:cols>
          <w:pgMar w:left="240" w:top="460"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375"/>
        <w:spacing w:after="0"/>
        <w:tabs>
          <w:tab w:leader="none" w:pos="1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Such Record Stockholder’s notice shall set forth:</w:t>
      </w:r>
    </w:p>
    <w:p>
      <w:pPr>
        <w:spacing w:after="0" w:line="117" w:lineRule="exact"/>
        <w:rPr>
          <w:rFonts w:ascii="Arial" w:cs="Arial" w:eastAsia="Arial" w:hAnsi="Arial"/>
          <w:sz w:val="18"/>
          <w:szCs w:val="18"/>
          <w:color w:val="auto"/>
        </w:rPr>
      </w:pPr>
    </w:p>
    <w:p>
      <w:pPr>
        <w:jc w:val="both"/>
        <w:ind w:left="200" w:right="20" w:firstLine="1436"/>
        <w:spacing w:after="0" w:line="312" w:lineRule="auto"/>
        <w:tabs>
          <w:tab w:leader="none" w:pos="1983" w:val="left"/>
        </w:tabs>
        <w:numPr>
          <w:ilvl w:val="1"/>
          <w:numId w:val="159"/>
        </w:numPr>
        <w:rPr>
          <w:rFonts w:ascii="Arial" w:cs="Arial" w:eastAsia="Arial" w:hAnsi="Arial"/>
          <w:sz w:val="16"/>
          <w:szCs w:val="16"/>
          <w:color w:val="auto"/>
        </w:rPr>
      </w:pPr>
      <w:r>
        <w:rPr>
          <w:rFonts w:ascii="Arial" w:cs="Arial" w:eastAsia="Arial" w:hAnsi="Arial"/>
          <w:sz w:val="16"/>
          <w:szCs w:val="16"/>
          <w:color w:val="auto"/>
        </w:rPr>
        <w:t>if such notice pertains to the nomination of directors, as to each person whom the Record Stockholder proposes to nominate for election or reelection as a director all information relating to such person as would be required to be disclosed in solicitations of proxies for the election of such nominees as directors pursuant to Regulation 14A under the Exchange Act, and such person’s written consent to serve as a director if elected;</w:t>
      </w:r>
    </w:p>
    <w:p>
      <w:pPr>
        <w:spacing w:after="0" w:line="38" w:lineRule="exact"/>
        <w:rPr>
          <w:rFonts w:ascii="Arial" w:cs="Arial" w:eastAsia="Arial" w:hAnsi="Arial"/>
          <w:sz w:val="16"/>
          <w:szCs w:val="16"/>
          <w:color w:val="auto"/>
        </w:rPr>
      </w:pPr>
    </w:p>
    <w:p>
      <w:pPr>
        <w:jc w:val="both"/>
        <w:ind w:left="200" w:right="140" w:firstLine="1436"/>
        <w:spacing w:after="0" w:line="264" w:lineRule="auto"/>
        <w:tabs>
          <w:tab w:leader="none" w:pos="203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as to any business that the Record Stockholder proposes to bring before the meeting, a brief description of such business, the reasons for conducting such business at the meeting and any material interest in such business of such Record Stockholder and the beneficial owner, if any, on whose behalf the proposal is made;</w:t>
      </w:r>
    </w:p>
    <w:p>
      <w:pPr>
        <w:spacing w:after="0" w:line="73" w:lineRule="exact"/>
        <w:rPr>
          <w:rFonts w:ascii="Arial" w:cs="Arial" w:eastAsia="Arial" w:hAnsi="Arial"/>
          <w:sz w:val="18"/>
          <w:szCs w:val="18"/>
          <w:color w:val="auto"/>
        </w:rPr>
      </w:pPr>
    </w:p>
    <w:p>
      <w:pPr>
        <w:ind w:left="200" w:firstLine="1436"/>
        <w:spacing w:after="0" w:line="285" w:lineRule="auto"/>
        <w:tabs>
          <w:tab w:leader="none" w:pos="2083" w:val="left"/>
        </w:tabs>
        <w:numPr>
          <w:ilvl w:val="1"/>
          <w:numId w:val="159"/>
        </w:numPr>
        <w:rPr>
          <w:rFonts w:ascii="Arial" w:cs="Arial" w:eastAsia="Arial" w:hAnsi="Arial"/>
          <w:sz w:val="16"/>
          <w:szCs w:val="16"/>
          <w:color w:val="auto"/>
        </w:rPr>
      </w:pPr>
      <w:r>
        <w:rPr>
          <w:rFonts w:ascii="Arial" w:cs="Arial" w:eastAsia="Arial" w:hAnsi="Arial"/>
          <w:sz w:val="16"/>
          <w:szCs w:val="16"/>
          <w:color w:val="auto"/>
        </w:rPr>
        <w:t>as to (1) the Record Stockholder giving the notice and (2) the beneficial owner, if any, on whose behalf the nomination or proposal is made each, (a “</w:t>
      </w:r>
      <w:r>
        <w:rPr>
          <w:rFonts w:ascii="Arial" w:cs="Arial" w:eastAsia="Arial" w:hAnsi="Arial"/>
          <w:sz w:val="16"/>
          <w:szCs w:val="16"/>
          <w:i w:val="1"/>
          <w:iCs w:val="1"/>
          <w:color w:val="auto"/>
        </w:rPr>
        <w:t>party</w:t>
      </w:r>
      <w:r>
        <w:rPr>
          <w:rFonts w:ascii="Arial" w:cs="Arial" w:eastAsia="Arial" w:hAnsi="Arial"/>
          <w:sz w:val="16"/>
          <w:szCs w:val="16"/>
          <w:color w:val="auto"/>
        </w:rPr>
        <w:t>”): (A) the name and address of each such party; (B) the class, series, and number of shares of the Corporation that are owned, directly or indirectly, beneficially and of record by each such party, (C)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w:t>
      </w:r>
      <w:r>
        <w:rPr>
          <w:rFonts w:ascii="Arial" w:cs="Arial" w:eastAsia="Arial" w:hAnsi="Arial"/>
          <w:sz w:val="16"/>
          <w:szCs w:val="16"/>
          <w:i w:val="1"/>
          <w:iCs w:val="1"/>
          <w:color w:val="auto"/>
        </w:rPr>
        <w:t>Derivative Instrument</w:t>
      </w:r>
      <w:r>
        <w:rPr>
          <w:rFonts w:ascii="Arial" w:cs="Arial" w:eastAsia="Arial" w:hAnsi="Arial"/>
          <w:sz w:val="16"/>
          <w:szCs w:val="16"/>
          <w:color w:val="auto"/>
        </w:rPr>
        <w:t xml:space="preserve">”) directly or indirectly owned beneficially by each such party, and any other direct or indirect opportunity to profit or share in any profit derived from any increase or decrease in the value of shares of the Corporation, (D) any proxy, contract, arrangement, understanding, or relationship pursuant to which either party has a right to vote, directly or indirectly, any shares of any security of the Corporation, (E) any short interest in any security of the Corporation held by each such party (for purposes of this </w:t>
      </w:r>
      <w:r>
        <w:rPr>
          <w:rFonts w:ascii="Arial" w:cs="Arial" w:eastAsia="Arial" w:hAnsi="Arial"/>
          <w:sz w:val="16"/>
          <w:szCs w:val="16"/>
          <w:u w:val="single" w:color="auto"/>
          <w:color w:val="auto"/>
        </w:rPr>
        <w:t>Section 1.2(c)</w:t>
      </w:r>
      <w:r>
        <w:rPr>
          <w:rFonts w:ascii="Arial" w:cs="Arial" w:eastAsia="Arial" w:hAnsi="Arial"/>
          <w:sz w:val="16"/>
          <w:szCs w:val="16"/>
          <w:color w:val="auto"/>
        </w:rPr>
        <w:t>,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(F) any rights to dividends on the shares of the Corporation owned beneficially directly or indirectly by each such party that are separated or separable from the underlying shares of the Corporation, (G) any proportionate interest in shares of the Corporation or Derivative Instruments held, directly or indirectly, by a general or limited partnership in which either party is a general partner or, directly or indirectly, beneficially owns an interest in a general partner and (H) any performance-related fees (other than an asset-based fee) that each such party is directly or indirectly entitled to, based on any increase or decrease in the value of shares of the Corporation or Derivative Instruments, if any, as of the date of such notice, including without limitation any such interests held by members of each such party’s immediate family sharing the same household (which information set forth in this paragraph shall be supplemented by such stockholder or such beneficial owner, as the case may be, not later than ten (10) days after the record date for the meeting to disclose such ownership as of the record date); and</w:t>
      </w:r>
    </w:p>
    <w:p>
      <w:pPr>
        <w:spacing w:after="0" w:line="62" w:lineRule="exact"/>
        <w:rPr>
          <w:rFonts w:ascii="Arial" w:cs="Arial" w:eastAsia="Arial" w:hAnsi="Arial"/>
          <w:sz w:val="16"/>
          <w:szCs w:val="16"/>
          <w:color w:val="auto"/>
        </w:rPr>
      </w:pPr>
    </w:p>
    <w:p>
      <w:pPr>
        <w:ind w:left="200" w:right="60" w:firstLine="1436"/>
        <w:spacing w:after="0" w:line="264" w:lineRule="auto"/>
        <w:tabs>
          <w:tab w:leader="none" w:pos="207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other information relating to each such party that would be required to be disclosed in a proxy statement or other filings required to be made in connection with solicitations of proxies for, as applicable, the proposal and/or for the election of directors in a contested election pursuant to Section 14 of the Exchange Act.</w:t>
      </w:r>
    </w:p>
    <w:p>
      <w:pPr>
        <w:spacing w:after="0" w:line="181" w:lineRule="exact"/>
        <w:rPr>
          <w:rFonts w:ascii="Arial" w:cs="Arial" w:eastAsia="Arial" w:hAnsi="Arial"/>
          <w:sz w:val="18"/>
          <w:szCs w:val="18"/>
          <w:color w:val="auto"/>
        </w:rPr>
      </w:pPr>
    </w:p>
    <w:p>
      <w:pPr>
        <w:ind w:left="200" w:firstLine="885"/>
        <w:spacing w:after="0" w:line="255" w:lineRule="auto"/>
        <w:tabs>
          <w:tab w:leader="none" w:pos="146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A person shall not be eligible for election or re-election as a director at an annual meeting unless (i) the person is nominated by a Record Stockholder in accordance with clause (iii) of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or (ii) the person is nominated by or at the direction of the Board of Directors. Only such business shall be conducted at an annual meeting of stockholders as shall have been brought before the meeting in accordance with the procedures set forth in this section. The chair of the meeting shall have the power and the duty to determine whether a nomination or any business proposed to be brought before the meeting has been made in accordance with the procedures set forth in these Bylaws and, if any proposed nomination or business is not in compliance with these Bylaws, to declare that such defectively proposed business or nomination shall not be presented for stockholder action at the meeting and shall be disregarded.</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180"/>
          </w:cols>
          <w:pgMar w:left="240" w:top="460"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5"/>
        <w:spacing w:after="0" w:line="268" w:lineRule="auto"/>
        <w:tabs>
          <w:tab w:leader="none" w:pos="1461"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Only such business shall be conducted at a special meeting of stockholders as shall have been brought before the meeting by or at the direction of the Board of Directors. The notice of such special meeting shall include the purpose for which the meeting is called. Nominations of persons for election to the Board of Directors may be made at a special meeting of stockholders at which directors are to be elected (i) by or at the direction of the Board of Directors or (ii) by any stockholder of record at the time of giving of notice provided for in this paragraph, who shall be entitled to vote at the meeting and who delivers a written notice to the Secretary setting forth the information set forth in </w:t>
      </w:r>
      <w:r>
        <w:rPr>
          <w:rFonts w:ascii="Arial" w:cs="Arial" w:eastAsia="Arial" w:hAnsi="Arial"/>
          <w:sz w:val="17"/>
          <w:szCs w:val="17"/>
          <w:u w:val="single" w:color="auto"/>
          <w:color w:val="auto"/>
        </w:rPr>
        <w:t>Section 1.2(c)(i)</w:t>
      </w:r>
      <w:r>
        <w:rPr>
          <w:rFonts w:ascii="Arial" w:cs="Arial" w:eastAsia="Arial" w:hAnsi="Arial"/>
          <w:sz w:val="17"/>
          <w:szCs w:val="17"/>
          <w:color w:val="auto"/>
        </w:rPr>
        <w:t xml:space="preserve"> and (iii) of this </w:t>
      </w:r>
      <w:r>
        <w:rPr>
          <w:rFonts w:ascii="Arial" w:cs="Arial" w:eastAsia="Arial" w:hAnsi="Arial"/>
          <w:sz w:val="17"/>
          <w:szCs w:val="17"/>
          <w:u w:val="single" w:color="auto"/>
          <w:color w:val="auto"/>
        </w:rPr>
        <w:t>Article 1</w:t>
      </w:r>
      <w:r>
        <w:rPr>
          <w:rFonts w:ascii="Arial" w:cs="Arial" w:eastAsia="Arial" w:hAnsi="Arial"/>
          <w:sz w:val="17"/>
          <w:szCs w:val="17"/>
          <w:color w:val="auto"/>
        </w:rPr>
        <w:t>. Nominations by stockholders of persons for election to the Board of Directors may be made at such a special meeting of stockholders only if such stockholder of record’s notice required by the preceding sentence shall be received by the Secretary at the principal executive offices of the Corporation not later than the close of business on the later of the ninetieth (90th) day prior to such special meeting or the tenth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is first made of the date of the special meeting and of the nominees proposed by the Board of Directors to be elected at such meeting. In no event shall an adjournment, or postponement of a special meeting for which notice has been given, commence a new time period for the giving of a stockholder of record’s notice. A person shall not be eligible for election or reelection as a director at a special meeting unless the person is nominated (x) by or at the direction of the Board of Directors or (y) by a stockholder of record in accordance with the notice procedures set forth in this </w:t>
      </w:r>
      <w:r>
        <w:rPr>
          <w:rFonts w:ascii="Arial" w:cs="Arial" w:eastAsia="Arial" w:hAnsi="Arial"/>
          <w:sz w:val="17"/>
          <w:szCs w:val="17"/>
          <w:u w:val="single" w:color="auto"/>
          <w:color w:val="auto"/>
        </w:rPr>
        <w:t>Article 1</w:t>
      </w:r>
      <w:r>
        <w:rPr>
          <w:rFonts w:ascii="Arial" w:cs="Arial" w:eastAsia="Arial" w:hAnsi="Arial"/>
          <w:sz w:val="17"/>
          <w:szCs w:val="17"/>
          <w:color w:val="auto"/>
        </w:rPr>
        <w:t>.</w:t>
      </w:r>
    </w:p>
    <w:p>
      <w:pPr>
        <w:spacing w:after="0" w:line="187" w:lineRule="exact"/>
        <w:rPr>
          <w:rFonts w:ascii="Arial" w:cs="Arial" w:eastAsia="Arial" w:hAnsi="Arial"/>
          <w:sz w:val="17"/>
          <w:szCs w:val="17"/>
          <w:color w:val="auto"/>
        </w:rPr>
      </w:pPr>
    </w:p>
    <w:p>
      <w:pPr>
        <w:ind w:left="200" w:right="260" w:firstLine="885"/>
        <w:spacing w:after="0" w:line="264" w:lineRule="auto"/>
        <w:tabs>
          <w:tab w:leader="none" w:pos="144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For purposes of these Bylaws, “public announcement” shall mean disclosure in a press release reported by the Dow Jones News Service, Associated Press or a comparable national news service or in a document publicly filed by the Corporation with the Securities and Exchange Commission pursuant to Section 13, 14 or 15(d) of the Exchange Act.</w:t>
      </w:r>
    </w:p>
    <w:p>
      <w:pPr>
        <w:spacing w:after="0" w:line="181" w:lineRule="exact"/>
        <w:rPr>
          <w:rFonts w:ascii="Arial" w:cs="Arial" w:eastAsia="Arial" w:hAnsi="Arial"/>
          <w:sz w:val="18"/>
          <w:szCs w:val="18"/>
          <w:color w:val="auto"/>
        </w:rPr>
      </w:pPr>
    </w:p>
    <w:p>
      <w:pPr>
        <w:jc w:val="both"/>
        <w:ind w:left="200" w:right="180" w:firstLine="885"/>
        <w:spacing w:after="0" w:line="259" w:lineRule="auto"/>
        <w:tabs>
          <w:tab w:leader="none" w:pos="147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 stockholder shall also comply with all applicable requirements of the Exchange Act and the rules and regulations thereunder with respect to matters set forth in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shall be deemed to affect any rights of stockholders to request inclusion of proposals in the Corporation’s proxy statement pursuant to Rule 14a-8 under the Exchange Act.</w:t>
      </w:r>
    </w:p>
    <w:p>
      <w:pPr>
        <w:spacing w:after="0" w:line="183"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b w:val="1"/>
          <w:bCs w:val="1"/>
          <w:color w:val="auto"/>
        </w:rPr>
        <w:t>Special Meetings; Notice</w:t>
      </w:r>
      <w:r>
        <w:rPr>
          <w:rFonts w:ascii="Arial" w:cs="Arial" w:eastAsia="Arial" w:hAnsi="Arial"/>
          <w:sz w:val="17"/>
          <w:szCs w:val="17"/>
          <w:color w:val="auto"/>
        </w:rPr>
        <w:t xml:space="preserve">. Special meetings of stockholders shall be called as provided in the Certificate of Incorporation. Upon request in writing sent by registered or certified mail to the Chairman of the Board, the President, or Chief Executive Officer by any stockholder or stockholders entitled to call a special meeting of stockholders, the Board of Directors shall determine a place and time for such meeting, which time shall be not less than ninety (90) nor more than one hundred (100) days after the receipt and determination of the validity of such request, and a record date for the determination of stockholders entitled to vote at such meeting in the manner set forth in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hereof. Following such receipt and determination, it shall be the duty of the Secretary to cause notice to be given to the stockholders entitled to vote at such meeting, in the manner set forth in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hereof, that a meeting will be held at the time and place so determined. Notice of every special meeting shall state the purpose of the meeting and the business conducted at a special meeting of stockholders shall be limited to the business set forth in the notice of meeting. The Board of Directors may postpone or reschedule any previously called special meeting.</w:t>
      </w:r>
    </w:p>
    <w:p>
      <w:pPr>
        <w:spacing w:after="0" w:line="174"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b w:val="1"/>
          <w:bCs w:val="1"/>
          <w:color w:val="auto"/>
        </w:rPr>
        <w:t>Notice of Meetings</w:t>
      </w:r>
      <w:r>
        <w:rPr>
          <w:rFonts w:ascii="Arial" w:cs="Arial" w:eastAsia="Arial" w:hAnsi="Arial"/>
          <w:sz w:val="16"/>
          <w:szCs w:val="16"/>
          <w:color w:val="auto"/>
        </w:rPr>
        <w:t>.</w:t>
      </w:r>
    </w:p>
    <w:p>
      <w:pPr>
        <w:spacing w:after="0" w:line="229" w:lineRule="exact"/>
        <w:rPr>
          <w:sz w:val="20"/>
          <w:szCs w:val="20"/>
          <w:color w:val="auto"/>
        </w:rPr>
      </w:pPr>
    </w:p>
    <w:p>
      <w:pPr>
        <w:ind w:left="200" w:right="180" w:firstLine="885"/>
        <w:spacing w:after="0" w:line="297" w:lineRule="auto"/>
        <w:tabs>
          <w:tab w:leader="none" w:pos="1461" w:val="left"/>
        </w:tabs>
        <w:numPr>
          <w:ilvl w:val="0"/>
          <w:numId w:val="161"/>
        </w:numPr>
        <w:rPr>
          <w:rFonts w:ascii="Arial" w:cs="Arial" w:eastAsia="Arial" w:hAnsi="Arial"/>
          <w:sz w:val="16"/>
          <w:szCs w:val="16"/>
          <w:color w:val="auto"/>
        </w:rPr>
      </w:pPr>
      <w:r>
        <w:rPr>
          <w:rFonts w:ascii="Arial" w:cs="Arial" w:eastAsia="Arial" w:hAnsi="Arial"/>
          <w:sz w:val="16"/>
          <w:szCs w:val="16"/>
          <w:color w:val="auto"/>
        </w:rPr>
        <w:t>Notice of the place, if any, date and time of all meetings of the stockholders, and the means of remote communications, if any, by which stockholders and proxyholders may be deemed present in person and vote at such meeting, and, in the case of all special meetings of stockholders, the purpose of the meeting, shall be given, not less than ten (10) nor more than sixty (60) days before the date on which the meeting is to be held, to each stockholder entitled to vote at the meeting, except as otherwise provided in these bylaws or required by law (meaning in these bylaws, as required from time to time by the Delaware General Corporation Law (the “</w:t>
      </w:r>
      <w:r>
        <w:rPr>
          <w:rFonts w:ascii="Arial" w:cs="Arial" w:eastAsia="Arial" w:hAnsi="Arial"/>
          <w:sz w:val="16"/>
          <w:szCs w:val="16"/>
          <w:i w:val="1"/>
          <w:iCs w:val="1"/>
          <w:color w:val="auto"/>
        </w:rPr>
        <w:t>DGCL</w:t>
      </w:r>
      <w:r>
        <w:rPr>
          <w:rFonts w:ascii="Arial" w:cs="Arial" w:eastAsia="Arial" w:hAnsi="Arial"/>
          <w:sz w:val="16"/>
          <w:szCs w:val="16"/>
          <w:color w:val="auto"/>
        </w:rPr>
        <w:t>”) or the Corporation’s Certificate of Incorporation).</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220"/>
          </w:cols>
          <w:pgMar w:left="24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885"/>
        <w:spacing w:after="0" w:line="272" w:lineRule="auto"/>
        <w:tabs>
          <w:tab w:leader="none" w:pos="1468"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When a meeting is adjourned to another time or place, notice need not be given of the adjourned meeting if the time and place, if any, thereof and the means of remote communication, if any, by which stockholder and proxyholders may be deemed to be present in person of such adjourned meeting are announced at the meeting at which the adjournment is taken;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date of any adjourned meeting is more than thirty (30) days after the date for which the meeting was originally noticed, or if a new record date is fixed for the adjourned meeting, notice of the place, if any, date and time of the adjourned meeting and the means of remote communications, if any, by which stockholders and proxyholders may be deemed to be present in person and vote at such adjourned meeting, shall be given in conformity herewith. At any adjourned meeting, any business may be transacted that might have been transacted at the original meeting.</w:t>
      </w:r>
    </w:p>
    <w:p>
      <w:pPr>
        <w:spacing w:after="0" w:line="174"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6"/>
          <w:szCs w:val="16"/>
          <w:b w:val="1"/>
          <w:bCs w:val="1"/>
          <w:color w:val="auto"/>
        </w:rPr>
        <w:t>Quorum</w:t>
      </w:r>
      <w:r>
        <w:rPr>
          <w:rFonts w:ascii="Arial" w:cs="Arial" w:eastAsia="Arial" w:hAnsi="Arial"/>
          <w:sz w:val="16"/>
          <w:szCs w:val="16"/>
          <w:color w:val="auto"/>
        </w:rPr>
        <w:t>.</w:t>
      </w:r>
    </w:p>
    <w:p>
      <w:pPr>
        <w:spacing w:after="0" w:line="86" w:lineRule="exact"/>
        <w:rPr>
          <w:sz w:val="20"/>
          <w:szCs w:val="20"/>
          <w:color w:val="auto"/>
        </w:rPr>
      </w:pPr>
    </w:p>
    <w:p>
      <w:pPr>
        <w:ind w:left="200" w:right="140" w:firstLine="885"/>
        <w:spacing w:after="0" w:line="229" w:lineRule="auto"/>
        <w:tabs>
          <w:tab w:leader="none" w:pos="145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At any meeting of the stockholders, the holders of shares of stock of the Corporation entitled to cast at least 33</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percent (33.33%) of the total votes entitled to be cast by the holders of all outstanding capital stock of the Corporation, present in person or by proxy, shall constitute a quorum for all purposes, unless or except to the extent that the presence of a larger number is required by law. Where a separate vote by one or more classes or series is required, the holder of shares entitled to cast 33</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percent (33.33%) of the total votes entitled to be cast by the holders of the shares of the class or classes or series, present in person or represented by proxy, shall constitute a quorum entitled to take action with respect to that vote on that matter.</w:t>
      </w:r>
    </w:p>
    <w:p>
      <w:pPr>
        <w:spacing w:after="0" w:line="207" w:lineRule="exact"/>
        <w:rPr>
          <w:rFonts w:ascii="Arial" w:cs="Arial" w:eastAsia="Arial" w:hAnsi="Arial"/>
          <w:sz w:val="18"/>
          <w:szCs w:val="18"/>
          <w:color w:val="auto"/>
        </w:rPr>
      </w:pPr>
    </w:p>
    <w:p>
      <w:pPr>
        <w:ind w:left="1480" w:hanging="395"/>
        <w:spacing w:after="0"/>
        <w:tabs>
          <w:tab w:leader="none" w:pos="14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If a quorum shall fail to attend any meeting, the chair of the meeting may adjourn the meeting to another place, if any, date and time.</w:t>
      </w:r>
    </w:p>
    <w:p>
      <w:pPr>
        <w:spacing w:after="0" w:line="244" w:lineRule="exact"/>
        <w:rPr>
          <w:sz w:val="20"/>
          <w:szCs w:val="20"/>
          <w:color w:val="auto"/>
        </w:rPr>
      </w:pPr>
    </w:p>
    <w:p>
      <w:pPr>
        <w:ind w:left="200" w:right="140" w:firstLine="441"/>
        <w:spacing w:after="0" w:line="258"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b w:val="1"/>
          <w:bCs w:val="1"/>
          <w:color w:val="auto"/>
        </w:rPr>
        <w:t>Organization</w:t>
      </w:r>
      <w:r>
        <w:rPr>
          <w:rFonts w:ascii="Arial" w:cs="Arial" w:eastAsia="Arial" w:hAnsi="Arial"/>
          <w:sz w:val="18"/>
          <w:szCs w:val="18"/>
          <w:color w:val="auto"/>
        </w:rPr>
        <w:t>. The Chairman of the Board or, in his or her absence, the person whom the Board of Directors designates or, in the absence of that person or the failure of the Board of Directors to designate a person, the Chief Executive Officer of the Corporation or, in his or her absence, the person chosen by the holders of a majority of the shares entitled to vote who are present, in person or by proxy, shall call to order any meeting of the stockholders and act as chair of the meeting. In the absence of the Secretary of the Corporation, the secretary of the meeting shall be the person the chair appoints.</w:t>
      </w:r>
    </w:p>
    <w:p>
      <w:pPr>
        <w:spacing w:after="0" w:line="184" w:lineRule="exact"/>
        <w:rPr>
          <w:sz w:val="20"/>
          <w:szCs w:val="20"/>
          <w:color w:val="auto"/>
        </w:rPr>
      </w:pPr>
    </w:p>
    <w:p>
      <w:pPr>
        <w:ind w:left="200" w:right="60" w:firstLine="441"/>
        <w:spacing w:after="0" w:line="261"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b w:val="1"/>
          <w:bCs w:val="1"/>
          <w:color w:val="auto"/>
        </w:rPr>
        <w:t>Conduct of Business</w:t>
      </w:r>
      <w:r>
        <w:rPr>
          <w:rFonts w:ascii="Arial" w:cs="Arial" w:eastAsia="Arial" w:hAnsi="Arial"/>
          <w:sz w:val="18"/>
          <w:szCs w:val="18"/>
          <w:color w:val="auto"/>
        </w:rPr>
        <w:t>. The chair of any meeting of stockholders shall determine the order of business and the rules of procedure for the conduct of the meeting, including the manner of voting and the conduct of discussion as the chair determines to be in order. The chair shall have the power to adjourn the meeting to another place, if any, date and time. The date and time of the opening and closing of the polls for each matter upon which the stockholders will vote at the meeting shall be announced at the meeting.</w:t>
      </w:r>
    </w:p>
    <w:p>
      <w:pPr>
        <w:spacing w:after="0" w:line="180"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5"/>
          <w:szCs w:val="15"/>
          <w:b w:val="1"/>
          <w:bCs w:val="1"/>
          <w:color w:val="auto"/>
        </w:rPr>
        <w:t>Proxies; Inspectors.</w:t>
      </w:r>
    </w:p>
    <w:p>
      <w:pPr>
        <w:spacing w:after="0" w:line="229" w:lineRule="exact"/>
        <w:rPr>
          <w:sz w:val="20"/>
          <w:szCs w:val="20"/>
          <w:color w:val="auto"/>
        </w:rPr>
      </w:pPr>
    </w:p>
    <w:p>
      <w:pPr>
        <w:ind w:left="200" w:right="60" w:firstLine="885"/>
        <w:spacing w:after="0" w:line="257" w:lineRule="auto"/>
        <w:tabs>
          <w:tab w:leader="none" w:pos="145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At any meeting of the stockholders, every stockholder entitled to vote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 to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may be substituted or used in lieu of the original writing or transmission that could be used, provided that the copy, facsimile telecommunication or other reproduction shall be a complete reproduction of the entire original writing or transmission.</w:t>
      </w:r>
    </w:p>
    <w:p>
      <w:pPr>
        <w:spacing w:after="0" w:line="188" w:lineRule="exact"/>
        <w:rPr>
          <w:rFonts w:ascii="Arial" w:cs="Arial" w:eastAsia="Arial" w:hAnsi="Arial"/>
          <w:sz w:val="18"/>
          <w:szCs w:val="18"/>
          <w:color w:val="auto"/>
        </w:rPr>
      </w:pPr>
    </w:p>
    <w:p>
      <w:pPr>
        <w:ind w:left="200" w:firstLine="885"/>
        <w:spacing w:after="0" w:line="273" w:lineRule="auto"/>
        <w:tabs>
          <w:tab w:leader="none" w:pos="146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Board of Directors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duties, shall take and sign an oath faithfully to execute the duties of inspector with strict impartiality and according to the best of his or her ability. The inspectors may appoint or retain other persons or entities to assist the inspectors in the performance of the duties of inspectors.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220"/>
          </w:cols>
          <w:pgMar w:left="24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320" w:firstLine="441"/>
        <w:spacing w:after="0" w:line="313" w:lineRule="auto"/>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b w:val="1"/>
          <w:bCs w:val="1"/>
          <w:color w:val="auto"/>
        </w:rPr>
        <w:t>Voting</w:t>
      </w:r>
      <w:r>
        <w:rPr>
          <w:rFonts w:ascii="Arial" w:cs="Arial" w:eastAsia="Arial" w:hAnsi="Arial"/>
          <w:sz w:val="17"/>
          <w:szCs w:val="17"/>
          <w:color w:val="auto"/>
        </w:rPr>
        <w:t>. All elections of directors shall be determined by a plurality of the votes cast, and except as otherwise required by law or these bylaws, all other matters shall be determined by a majority of the votes cast on the matter affirmatively or negatively.</w:t>
      </w:r>
    </w:p>
    <w:p>
      <w:pPr>
        <w:spacing w:after="0" w:line="138"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6"/>
          <w:szCs w:val="16"/>
          <w:b w:val="1"/>
          <w:bCs w:val="1"/>
          <w:color w:val="auto"/>
        </w:rPr>
        <w:t>Stock List</w:t>
      </w:r>
      <w:r>
        <w:rPr>
          <w:rFonts w:ascii="Arial" w:cs="Arial" w:eastAsia="Arial" w:hAnsi="Arial"/>
          <w:sz w:val="16"/>
          <w:szCs w:val="16"/>
          <w:color w:val="auto"/>
        </w:rPr>
        <w:t>.</w:t>
      </w:r>
    </w:p>
    <w:p>
      <w:pPr>
        <w:spacing w:after="0" w:line="229" w:lineRule="exact"/>
        <w:rPr>
          <w:sz w:val="20"/>
          <w:szCs w:val="20"/>
          <w:color w:val="auto"/>
        </w:rPr>
      </w:pPr>
    </w:p>
    <w:p>
      <w:pPr>
        <w:ind w:left="200" w:right="160" w:firstLine="885"/>
        <w:spacing w:after="0" w:line="259" w:lineRule="auto"/>
        <w:tabs>
          <w:tab w:leader="none" w:pos="145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complete list of stockholders entitled to vote at any meeting of stockholders, arranged in alphabetical order for each class of stock and showing the address of each such stockholder and the number of shares registered in his or her name, shall be open to the examination of any such stockholder, for any purpose germane to the meeting, during ordinary business hours for a period of at least ten (10) days prior to the meeting as required by law.</w:t>
      </w:r>
    </w:p>
    <w:p>
      <w:pPr>
        <w:spacing w:after="0" w:line="186" w:lineRule="exact"/>
        <w:rPr>
          <w:rFonts w:ascii="Arial" w:cs="Arial" w:eastAsia="Arial" w:hAnsi="Arial"/>
          <w:sz w:val="18"/>
          <w:szCs w:val="18"/>
          <w:color w:val="auto"/>
        </w:rPr>
      </w:pPr>
    </w:p>
    <w:p>
      <w:pPr>
        <w:ind w:left="200" w:firstLine="885"/>
        <w:spacing w:after="0" w:line="264" w:lineRule="auto"/>
        <w:tabs>
          <w:tab w:leader="none" w:pos="146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stock list shall also be open to the examination of any such stockholder during the whole time of the meeting as provided by law. The Corporation may look to this list as the sole evidence of the identity of the stockholders entitled to vote at the meeting and the number of shares held by each of them.</w:t>
      </w:r>
    </w:p>
    <w:p>
      <w:pPr>
        <w:spacing w:after="0" w:line="177" w:lineRule="exact"/>
        <w:rPr>
          <w:sz w:val="20"/>
          <w:szCs w:val="20"/>
          <w:color w:val="auto"/>
        </w:rPr>
      </w:pPr>
    </w:p>
    <w:p>
      <w:pPr>
        <w:ind w:left="200" w:right="420" w:firstLine="441"/>
        <w:spacing w:after="0" w:line="347"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b w:val="1"/>
          <w:bCs w:val="1"/>
          <w:color w:val="auto"/>
        </w:rPr>
        <w:t>Action without Meeting</w:t>
      </w:r>
      <w:r>
        <w:rPr>
          <w:rFonts w:ascii="Arial" w:cs="Arial" w:eastAsia="Arial" w:hAnsi="Arial"/>
          <w:sz w:val="16"/>
          <w:szCs w:val="16"/>
          <w:color w:val="auto"/>
        </w:rPr>
        <w:t>. No action shall be taken by the stockholders except at an annual or special meeting of stockholders called in accordance with these Bylaws, and no action shall be taken by the stockholders by written consent or by electronic transmission.</w:t>
      </w: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BOARD OF DIRECTORS</w:t>
      </w:r>
    </w:p>
    <w:p>
      <w:pPr>
        <w:spacing w:after="0" w:line="99"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b w:val="1"/>
          <w:bCs w:val="1"/>
          <w:color w:val="auto"/>
        </w:rPr>
        <w:t>Number, Election, Term and Qualifications of Directors</w:t>
      </w:r>
      <w:r>
        <w:rPr>
          <w:rFonts w:ascii="Arial" w:cs="Arial" w:eastAsia="Arial" w:hAnsi="Arial"/>
          <w:sz w:val="16"/>
          <w:szCs w:val="16"/>
          <w:color w:val="auto"/>
        </w:rPr>
        <w:t>.</w:t>
      </w:r>
    </w:p>
    <w:p>
      <w:pPr>
        <w:spacing w:after="0" w:line="229" w:lineRule="exact"/>
        <w:rPr>
          <w:sz w:val="20"/>
          <w:szCs w:val="20"/>
          <w:color w:val="auto"/>
        </w:rPr>
      </w:pPr>
    </w:p>
    <w:p>
      <w:pPr>
        <w:ind w:left="200" w:right="80" w:firstLine="885"/>
        <w:spacing w:after="0" w:line="264" w:lineRule="auto"/>
        <w:tabs>
          <w:tab w:leader="none" w:pos="146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Subject to the special right of the holders of any class or series of stock to elect directors, the number of directors shall be fixed from time to time exclusively by the Board of Directors pursuant to a resolution adopted by a majority of the total number of directors which the Corporation would have if there were no vacancies.</w:t>
      </w:r>
    </w:p>
    <w:p>
      <w:pPr>
        <w:spacing w:after="0" w:line="181" w:lineRule="exact"/>
        <w:rPr>
          <w:rFonts w:ascii="Arial" w:cs="Arial" w:eastAsia="Arial" w:hAnsi="Arial"/>
          <w:sz w:val="18"/>
          <w:szCs w:val="18"/>
          <w:color w:val="auto"/>
        </w:rPr>
      </w:pPr>
    </w:p>
    <w:p>
      <w:pPr>
        <w:ind w:left="1480" w:hanging="395"/>
        <w:spacing w:after="0"/>
        <w:tabs>
          <w:tab w:leader="none" w:pos="14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Directors need not be stockholders to be qualified for election or service as a director of the Corporation.</w:t>
      </w:r>
    </w:p>
    <w:p>
      <w:pPr>
        <w:spacing w:after="0" w:line="221" w:lineRule="exact"/>
        <w:rPr>
          <w:sz w:val="20"/>
          <w:szCs w:val="20"/>
          <w:color w:val="auto"/>
        </w:rPr>
      </w:pPr>
    </w:p>
    <w:p>
      <w:pPr>
        <w:ind w:left="200" w:right="40" w:firstLine="441"/>
        <w:spacing w:after="0" w:line="258"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b w:val="1"/>
          <w:bCs w:val="1"/>
          <w:color w:val="auto"/>
        </w:rPr>
        <w:t>Removal; Resignation</w:t>
      </w:r>
      <w:r>
        <w:rPr>
          <w:rFonts w:ascii="Arial" w:cs="Arial" w:eastAsia="Arial" w:hAnsi="Arial"/>
          <w:sz w:val="18"/>
          <w:szCs w:val="18"/>
          <w:color w:val="auto"/>
        </w:rPr>
        <w:t>. Any director or the entire Board of Directors may be removed, with or without cause, by the holders of a majority of the shares then entitled to vote at an election of directors. Any director may resign at any time upon notice given in writing to the Corporation. A resignation is effective when the resignation is delivered unless the resignation specifies a later effective date or an effective date determined upon the happening of an event or events. A resignation that is conditioned upon the director failing to receive a specified vote for reelection as a director may provide that it is irrevocable.</w:t>
      </w:r>
    </w:p>
    <w:p>
      <w:pPr>
        <w:spacing w:after="0" w:line="184" w:lineRule="exact"/>
        <w:rPr>
          <w:sz w:val="20"/>
          <w:szCs w:val="20"/>
          <w:color w:val="auto"/>
        </w:rPr>
      </w:pPr>
    </w:p>
    <w:p>
      <w:pPr>
        <w:jc w:val="both"/>
        <w:ind w:left="200" w:right="40" w:firstLine="441"/>
        <w:spacing w:after="0" w:line="287"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b w:val="1"/>
          <w:bCs w:val="1"/>
          <w:color w:val="auto"/>
        </w:rPr>
        <w:t>Newly Created Directorships and Vacancies</w:t>
      </w:r>
      <w:r>
        <w:rPr>
          <w:rFonts w:ascii="Arial" w:cs="Arial" w:eastAsia="Arial" w:hAnsi="Arial"/>
          <w:sz w:val="16"/>
          <w:szCs w:val="16"/>
          <w:color w:val="auto"/>
        </w:rPr>
        <w:t>. Except as otherwise required by law and subject to the rights of the holders of any series of preferred stock with respect to such series of preferred stock, newly created directorships resulting from any increase in the authorized number of directors or any vacancies on the Board of Directors resulting from death, resignation, retirement, disqualification, removal from office or other cause may be filled by a majority vote of the directors then in office, though less than a quorum, or by a sole remaining director, or by the stockholders.</w:t>
      </w:r>
    </w:p>
    <w:p>
      <w:pPr>
        <w:spacing w:after="0" w:line="3"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Directors so chosen shall hold office for a term expiring at the annual meeting of stockholders at which the term of office of the class to which they have been elected expires and until the director’s successor shall have been duly elected and qualified. No decrease in the number of authorized directors constituting the entire Board of Directors shall shorten the term of any incumbent director.</w:t>
      </w:r>
    </w:p>
    <w:p>
      <w:pPr>
        <w:spacing w:after="0" w:line="186" w:lineRule="exact"/>
        <w:rPr>
          <w:sz w:val="20"/>
          <w:szCs w:val="20"/>
          <w:color w:val="auto"/>
        </w:rPr>
      </w:pPr>
    </w:p>
    <w:p>
      <w:pPr>
        <w:jc w:val="both"/>
        <w:ind w:left="200" w:right="200" w:firstLine="441"/>
        <w:spacing w:after="0" w:line="266"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b w:val="1"/>
          <w:bCs w:val="1"/>
          <w:color w:val="auto"/>
        </w:rPr>
        <w:t>Regular Meetings</w:t>
      </w:r>
      <w:r>
        <w:rPr>
          <w:rFonts w:ascii="Arial" w:cs="Arial" w:eastAsia="Arial" w:hAnsi="Arial"/>
          <w:sz w:val="18"/>
          <w:szCs w:val="18"/>
          <w:color w:val="auto"/>
        </w:rPr>
        <w:t>. Regular meetings of the Board of Directors shall be held at the place, on the date and at the time as shall have been established by the Board of Directors and publicized among all directors. A notice of a regular meeting the date of which has been so publicized shall not be required.</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220"/>
          </w:cols>
          <w:pgMar w:left="240" w:top="460"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firstLine="441"/>
        <w:spacing w:after="0" w:line="277"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b w:val="1"/>
          <w:bCs w:val="1"/>
          <w:color w:val="auto"/>
        </w:rPr>
        <w:t>Special Meetings</w:t>
      </w:r>
      <w:r>
        <w:rPr>
          <w:rFonts w:ascii="Arial" w:cs="Arial" w:eastAsia="Arial" w:hAnsi="Arial"/>
          <w:sz w:val="17"/>
          <w:szCs w:val="17"/>
          <w:color w:val="auto"/>
        </w:rPr>
        <w:t>. Special meetings of the Board of Directors may be called by the Chairman, the Chief Executive Officer, the President, or by two or more directors then in office and shall be held at the place, on the date, and at the time as they or he or she shall fix. Notice of the place, date, and time of each special meeting shall be given each director either (a) by mailing written notice not less than five (5) days before the meeting, or (b) by telephone or by telegraphing or telexing or by facsimile or electronic transmission of the same not less than 24 hours before the meeting. Unless otherwise stated in the notice thereof, any and all business may be transacted at a special meeting.</w:t>
      </w:r>
    </w:p>
    <w:p>
      <w:pPr>
        <w:spacing w:after="0" w:line="168" w:lineRule="exact"/>
        <w:rPr>
          <w:sz w:val="20"/>
          <w:szCs w:val="20"/>
          <w:color w:val="auto"/>
        </w:rPr>
      </w:pPr>
    </w:p>
    <w:p>
      <w:pPr>
        <w:ind w:left="200" w:right="100" w:firstLine="441"/>
        <w:spacing w:after="0" w:line="266"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b w:val="1"/>
          <w:bCs w:val="1"/>
          <w:color w:val="auto"/>
        </w:rPr>
        <w:t>Quorum</w:t>
      </w:r>
      <w:r>
        <w:rPr>
          <w:rFonts w:ascii="Arial" w:cs="Arial" w:eastAsia="Arial" w:hAnsi="Arial"/>
          <w:sz w:val="18"/>
          <w:szCs w:val="18"/>
          <w:color w:val="auto"/>
        </w:rPr>
        <w:t>. At any meeting of the Board of Directors, a majority of the total number of the whole Board of Directors shall constitute a quorum for all purposes. If a quorum shall fail to attend any meeting, a majority of those present may adjourn the meeting to another place, date or time, without further notice or waiver thereof.</w:t>
      </w:r>
    </w:p>
    <w:p>
      <w:pPr>
        <w:spacing w:after="0" w:line="176" w:lineRule="exact"/>
        <w:rPr>
          <w:sz w:val="20"/>
          <w:szCs w:val="20"/>
          <w:color w:val="auto"/>
        </w:rPr>
      </w:pPr>
    </w:p>
    <w:p>
      <w:pPr>
        <w:ind w:left="200" w:right="540" w:firstLine="441"/>
        <w:spacing w:after="0" w:line="261"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b w:val="1"/>
          <w:bCs w:val="1"/>
          <w:color w:val="auto"/>
        </w:rPr>
        <w:t>Participation in Meetings by Conference Telephone or Other Communications Equipment</w:t>
      </w:r>
      <w:r>
        <w:rPr>
          <w:rFonts w:ascii="Arial" w:cs="Arial" w:eastAsia="Arial" w:hAnsi="Arial"/>
          <w:sz w:val="18"/>
          <w:szCs w:val="18"/>
          <w:color w:val="auto"/>
        </w:rPr>
        <w:t>. Members of the Board of Directors, or of any committee thereof, may participate in a meeting of the Board or committee by means of conference telephone or other communications equipment by means of which all persons participating in the meeting can hear each other and such participation shall constitute presence in person at the meeting.</w:t>
      </w:r>
    </w:p>
    <w:p>
      <w:pPr>
        <w:spacing w:after="0" w:line="18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b w:val="1"/>
          <w:bCs w:val="1"/>
          <w:color w:val="auto"/>
        </w:rPr>
        <w:t>Conduct of Business</w:t>
      </w:r>
      <w:r>
        <w:rPr>
          <w:rFonts w:ascii="Arial" w:cs="Arial" w:eastAsia="Arial" w:hAnsi="Arial"/>
          <w:sz w:val="18"/>
          <w:szCs w:val="18"/>
          <w:color w:val="auto"/>
        </w:rPr>
        <w:t>. At any meeting of the Board of Directors, business shall be transacted in the order and manner as the Board may from time to time determine, and all matters shall be determined by the vote of a majority of the directors present, except as otherwise provided in these bylaws or required by law. If the Corporation has an even number of directors in office, all of whom are in attendance at the meeting, who are equally divided, the Chairman of the Board shall have the deciding vote. The Board of Directors may take action without a meeting if all members thereof consent thereto in writing or by electronic transmission, and the writing or writings or transmission or transmissions are filed with the minutes of proceedings of the Board of Directors. Such filing shall be in paper form if the minutes are maintained in paper form and shall be in electronic form if the minutes are maintained in electronic form.</w:t>
      </w:r>
    </w:p>
    <w:p>
      <w:pPr>
        <w:spacing w:after="0" w:line="18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b w:val="1"/>
          <w:bCs w:val="1"/>
          <w:color w:val="auto"/>
        </w:rPr>
        <w:t>Compensation of Directors</w:t>
      </w:r>
      <w:r>
        <w:rPr>
          <w:rFonts w:ascii="Arial" w:cs="Arial" w:eastAsia="Arial" w:hAnsi="Arial"/>
          <w:sz w:val="17"/>
          <w:szCs w:val="17"/>
          <w:color w:val="auto"/>
        </w:rPr>
        <w:t>. Unless otherwise restricted by the Certificate of Incorporation, the Board of Directors shall have the authority to fix the compensation of the directors. The directors may be paid their expenses, if any, of attendance at each meeting of the Board of Directors and may be paid a fixed sum for attendance at each meeting of the Board of Directors or paid a stated salary or paid other compensation as directors. No such payment shall preclude any director from serving the Corporation in any other capacity and receiving compensation therefor. Members of standing or special committees may be allowed compensation for attending committee meetings.</w:t>
      </w: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COMMITTEES</w:t>
      </w:r>
    </w:p>
    <w:p>
      <w:pPr>
        <w:spacing w:after="0" w:line="20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b w:val="1"/>
          <w:bCs w:val="1"/>
          <w:color w:val="auto"/>
        </w:rPr>
        <w:t>Committees of the Board of Directors</w:t>
      </w:r>
      <w:r>
        <w:rPr>
          <w:rFonts w:ascii="Arial" w:cs="Arial" w:eastAsia="Arial" w:hAnsi="Arial"/>
          <w:sz w:val="17"/>
          <w:szCs w:val="17"/>
          <w:color w:val="auto"/>
        </w:rPr>
        <w:t>. The Board of Directors may from time to time designate standing and special committees of the Board,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 The responsibilities of each standing committee shall be stated in the committee’s charter, as approved by the Board of Directors. Each special committee shall perform such duties and exercise such powers as may be delegated to it expressly by the Board of Directors.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200"/>
          </w:cols>
          <w:pgMar w:left="240" w:top="460"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00" w:firstLine="441"/>
        <w:spacing w:after="0" w:line="282"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b w:val="1"/>
          <w:bCs w:val="1"/>
          <w:color w:val="auto"/>
        </w:rPr>
        <w:t>Conduct of Business</w:t>
      </w:r>
      <w:r>
        <w:rPr>
          <w:rFonts w:ascii="Arial" w:cs="Arial" w:eastAsia="Arial" w:hAnsi="Arial"/>
          <w:sz w:val="18"/>
          <w:szCs w:val="18"/>
          <w:color w:val="auto"/>
        </w:rPr>
        <w:t>. Each committee may determine the procedural rules for meeting and conducting its business and shall act in accordance therewith, except as otherwise provided herein or required by law.</w:t>
      </w:r>
    </w:p>
    <w:p>
      <w:pPr>
        <w:spacing w:after="0" w:line="37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b w:val="1"/>
          <w:bCs w:val="1"/>
          <w:color w:val="auto"/>
        </w:rPr>
        <w:t>Generally</w:t>
      </w:r>
      <w:r>
        <w:rPr>
          <w:rFonts w:ascii="Arial" w:cs="Arial" w:eastAsia="Arial" w:hAnsi="Arial"/>
          <w:sz w:val="18"/>
          <w:szCs w:val="18"/>
          <w:color w:val="auto"/>
        </w:rPr>
        <w:t>. The officers of the Corporation shall consist of a Chairman of the Board, a Chief Executive Officer or a President, a Secretary, and a Treasurer. The officers of the Corporation may consist of a Chief Financial Officer, one or more Vice Presidents, a Principal Accounting Officer, and the other officers as may from time to time be appointed by the Board of Directors. Officers shall be elected by the Board of Directors, which shall consider that subject at its first meeting after every annual meeting of stockholders. Each officer shall hold office until his or her successor is elected and qualified or until his or her earlier resignation or removal. Any number of offices may be held by the same person. The salaries of officers elected by the Board of Directors shall be fixed from time to time by the Board of Directors or by the officers as may be designated by resolution of the Board.</w:t>
      </w:r>
    </w:p>
    <w:p>
      <w:pPr>
        <w:spacing w:after="0" w:line="189" w:lineRule="exact"/>
        <w:rPr>
          <w:sz w:val="20"/>
          <w:szCs w:val="20"/>
          <w:color w:val="auto"/>
        </w:rPr>
      </w:pPr>
    </w:p>
    <w:p>
      <w:pPr>
        <w:ind w:left="200" w:right="140" w:firstLine="441"/>
        <w:spacing w:after="0" w:line="282"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b w:val="1"/>
          <w:bCs w:val="1"/>
          <w:color w:val="auto"/>
        </w:rPr>
        <w:t>Chairman of the Board</w:t>
      </w:r>
      <w:r>
        <w:rPr>
          <w:rFonts w:ascii="Arial" w:cs="Arial" w:eastAsia="Arial" w:hAnsi="Arial"/>
          <w:sz w:val="18"/>
          <w:szCs w:val="18"/>
          <w:color w:val="auto"/>
        </w:rPr>
        <w:t>. The Chairman of the Board shall preside at all meetings of stockholders and the Board of Directors. The Chairman shall have the other powers and duties as may be delegated from time to time by the Board of Directors.</w:t>
      </w:r>
    </w:p>
    <w:p>
      <w:pPr>
        <w:spacing w:after="0" w:line="162" w:lineRule="exact"/>
        <w:rPr>
          <w:sz w:val="20"/>
          <w:szCs w:val="20"/>
          <w:color w:val="auto"/>
        </w:rPr>
      </w:pPr>
    </w:p>
    <w:p>
      <w:pPr>
        <w:ind w:left="200" w:firstLine="441"/>
        <w:spacing w:after="0" w:line="258"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b w:val="1"/>
          <w:bCs w:val="1"/>
          <w:color w:val="auto"/>
        </w:rPr>
        <w:t>Chief Executive Officer</w:t>
      </w:r>
      <w:r>
        <w:rPr>
          <w:rFonts w:ascii="Arial" w:cs="Arial" w:eastAsia="Arial" w:hAnsi="Arial"/>
          <w:sz w:val="18"/>
          <w:szCs w:val="18"/>
          <w:color w:val="auto"/>
        </w:rPr>
        <w:t>. The Chief Executive Officer shall, subject to the oversight of the Board of Directors, have general supervision, direction and control of the business and the officers, employees and agents of the Corporation. In the absence of the Chairman of the Board of Directors, the Chief Executive Officer, if such officer is a director, shall preside at all meetings of the Board of Directors, unless the Board of Directors determines otherwise. The Chief Executive Officer shall perform such other duties and have such other powers as the Board of Directors shall designate from time to time.</w:t>
      </w:r>
    </w:p>
    <w:p>
      <w:pPr>
        <w:spacing w:after="0" w:line="184" w:lineRule="exact"/>
        <w:rPr>
          <w:sz w:val="20"/>
          <w:szCs w:val="20"/>
          <w:color w:val="auto"/>
        </w:rPr>
      </w:pPr>
    </w:p>
    <w:p>
      <w:pPr>
        <w:ind w:left="200" w:right="120" w:firstLine="441"/>
        <w:spacing w:after="0" w:line="303"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b w:val="1"/>
          <w:bCs w:val="1"/>
          <w:color w:val="auto"/>
        </w:rPr>
        <w:t>President</w:t>
      </w:r>
      <w:r>
        <w:rPr>
          <w:rFonts w:ascii="Arial" w:cs="Arial" w:eastAsia="Arial" w:hAnsi="Arial"/>
          <w:sz w:val="16"/>
          <w:szCs w:val="16"/>
          <w:color w:val="auto"/>
        </w:rPr>
        <w:t>. Subject to the oversight of the Board of Directors and the supervision, control and authority of the Chief Executive Officer, the President shall have general supervision, direction and control of the business and the officers, employees and agents of the Corporation. In the absence of a Chief Executive Officer appointed by the Board, the President shall be the chief executive officer of the Corporation. The President shall perform such other duties and have such other powers as the Board of Directors shall designate from time to time.</w:t>
      </w:r>
    </w:p>
    <w:p>
      <w:pPr>
        <w:spacing w:after="0" w:line="151" w:lineRule="exact"/>
        <w:rPr>
          <w:sz w:val="20"/>
          <w:szCs w:val="20"/>
          <w:color w:val="auto"/>
        </w:rPr>
      </w:pPr>
    </w:p>
    <w:p>
      <w:pPr>
        <w:jc w:val="both"/>
        <w:ind w:left="200" w:right="100" w:firstLine="441"/>
        <w:spacing w:after="0" w:line="266"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b w:val="1"/>
          <w:bCs w:val="1"/>
          <w:color w:val="auto"/>
        </w:rPr>
        <w:t>Vice President</w:t>
      </w:r>
      <w:r>
        <w:rPr>
          <w:rFonts w:ascii="Arial" w:cs="Arial" w:eastAsia="Arial" w:hAnsi="Arial"/>
          <w:sz w:val="18"/>
          <w:szCs w:val="18"/>
          <w:color w:val="auto"/>
        </w:rPr>
        <w:t>. Each Vice President shall have the powers and duties as may be delegated to him or her by the Board of Directors. One (1) Vice President may be designated by the Board to perform the duties and exercise the powers of the chief executive officer in the event of that officer’s absence or disability.</w:t>
      </w:r>
    </w:p>
    <w:p>
      <w:pPr>
        <w:spacing w:after="0" w:line="176"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b w:val="1"/>
          <w:bCs w:val="1"/>
          <w:color w:val="auto"/>
        </w:rPr>
        <w:t>Chief Financial Officer and Treasurer</w:t>
      </w:r>
      <w:r>
        <w:rPr>
          <w:rFonts w:ascii="Arial" w:cs="Arial" w:eastAsia="Arial" w:hAnsi="Arial"/>
          <w:sz w:val="17"/>
          <w:szCs w:val="17"/>
          <w:color w:val="auto"/>
        </w:rPr>
        <w:t>. Each of the Chief Financial Officer and the Treasurer shall control, monitor and arrange the financial affairs of the corporation and shall maintain the financial records of the Corporation, consistent with the responsibilities delegated to each of them by the Corporation’s Chief Executive Officer or President. The Chief Financial Officer or Treasurer, as the case may be, shall receive and deposit all monies belonging to the Corporation and shall pay out the same only in such manner as the Board of Directors may from time to time determine, and shall have such other powers and perform such other duties as the Board of Directors may require.</w:t>
      </w:r>
    </w:p>
    <w:p>
      <w:pPr>
        <w:spacing w:after="0" w:line="168" w:lineRule="exact"/>
        <w:rPr>
          <w:sz w:val="20"/>
          <w:szCs w:val="20"/>
          <w:color w:val="auto"/>
        </w:rPr>
      </w:pPr>
    </w:p>
    <w:p>
      <w:pPr>
        <w:ind w:left="200" w:right="200" w:firstLine="441"/>
        <w:spacing w:after="0" w:line="266"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b w:val="1"/>
          <w:bCs w:val="1"/>
          <w:color w:val="auto"/>
        </w:rPr>
        <w:t>Secretary</w:t>
      </w:r>
      <w:r>
        <w:rPr>
          <w:rFonts w:ascii="Arial" w:cs="Arial" w:eastAsia="Arial" w:hAnsi="Arial"/>
          <w:sz w:val="18"/>
          <w:szCs w:val="18"/>
          <w:color w:val="auto"/>
        </w:rPr>
        <w:t>. The Secretary shall issue all authorized notices for, and shall keep minutes of, all meetings of the stockholders and the Board of Directors. He or she shall have charge of the corporate books and shall perform the other duties as the Board of Directors may from time to time prescribe.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220"/>
          </w:cols>
          <w:pgMar w:left="24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0" w:firstLine="441"/>
        <w:spacing w:after="0" w:line="266"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b w:val="1"/>
          <w:bCs w:val="1"/>
          <w:color w:val="auto"/>
        </w:rPr>
        <w:t>Principal Accounting Officer</w:t>
      </w:r>
      <w:r>
        <w:rPr>
          <w:rFonts w:ascii="Arial" w:cs="Arial" w:eastAsia="Arial" w:hAnsi="Arial"/>
          <w:sz w:val="18"/>
          <w:szCs w:val="18"/>
          <w:color w:val="auto"/>
        </w:rPr>
        <w:t>. The Principal Accounting Officer shall have charge of the accounting affairs of the Corporation and shall have such other powers and perform such other duties as the Board of Directors shall designate. The Principal Accounting Officer shall report to the Chief Financial Officer.</w:t>
      </w:r>
    </w:p>
    <w:p>
      <w:pPr>
        <w:spacing w:after="0" w:line="176" w:lineRule="exact"/>
        <w:rPr>
          <w:sz w:val="20"/>
          <w:szCs w:val="20"/>
          <w:color w:val="auto"/>
        </w:rPr>
      </w:pPr>
    </w:p>
    <w:p>
      <w:pPr>
        <w:ind w:left="200" w:right="220" w:firstLine="441"/>
        <w:spacing w:after="0" w:line="282"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b w:val="1"/>
          <w:bCs w:val="1"/>
          <w:color w:val="auto"/>
        </w:rPr>
        <w:t>Delegation of Authority</w:t>
      </w:r>
      <w:r>
        <w:rPr>
          <w:rFonts w:ascii="Arial" w:cs="Arial" w:eastAsia="Arial" w:hAnsi="Arial"/>
          <w:sz w:val="18"/>
          <w:szCs w:val="18"/>
          <w:color w:val="auto"/>
        </w:rPr>
        <w:t>. The Board of Directors may from time to time delegate the powers or duties of any officer to any other officers or agents, notwithstanding any provision hereof.</w:t>
      </w:r>
    </w:p>
    <w:p>
      <w:pPr>
        <w:spacing w:after="0" w:line="162"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b w:val="1"/>
          <w:bCs w:val="1"/>
          <w:color w:val="auto"/>
        </w:rPr>
        <w:t>Removal</w:t>
      </w:r>
      <w:r>
        <w:rPr>
          <w:rFonts w:ascii="Arial" w:cs="Arial" w:eastAsia="Arial" w:hAnsi="Arial"/>
          <w:sz w:val="16"/>
          <w:szCs w:val="16"/>
          <w:color w:val="auto"/>
        </w:rPr>
        <w:t>. The Board of Directors may remove any officer of the Corporation at any time, with or without cause.</w:t>
      </w:r>
    </w:p>
    <w:p>
      <w:pPr>
        <w:spacing w:after="0" w:line="225" w:lineRule="exact"/>
        <w:rPr>
          <w:sz w:val="20"/>
          <w:szCs w:val="20"/>
          <w:color w:val="auto"/>
        </w:rPr>
      </w:pPr>
    </w:p>
    <w:p>
      <w:pPr>
        <w:ind w:left="200" w:right="80" w:firstLine="441"/>
        <w:spacing w:after="0" w:line="258"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b w:val="1"/>
          <w:bCs w:val="1"/>
          <w:color w:val="auto"/>
        </w:rPr>
        <w:t>Action with Respect to Securities of Other Corporations</w:t>
      </w:r>
      <w:r>
        <w:rPr>
          <w:rFonts w:ascii="Arial" w:cs="Arial" w:eastAsia="Arial" w:hAnsi="Arial"/>
          <w:sz w:val="18"/>
          <w:szCs w:val="18"/>
          <w:color w:val="auto"/>
        </w:rPr>
        <w:t>. Unless otherwise directed by the Board of Directors, the Chief Executive Officer or any officer of the Corporation authorized by the Chief Executive Officer shall have power to vote and otherwise act on behalf of the Corporation, in person or by proxy, at any meeting of stockholders or equity holders of any other corporation or entity or in which this Corporation may hold securities and otherwise to exercise any and all rights and powers which this Corporation may possess by reason of its ownership of securities in the other corporation or entity.</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STOCK</w:t>
      </w:r>
    </w:p>
    <w:p>
      <w:pPr>
        <w:spacing w:after="0" w:line="207" w:lineRule="exact"/>
        <w:rPr>
          <w:sz w:val="20"/>
          <w:szCs w:val="20"/>
          <w:color w:val="auto"/>
        </w:rPr>
      </w:pPr>
    </w:p>
    <w:p>
      <w:pPr>
        <w:ind w:left="200" w:right="160" w:firstLine="441"/>
        <w:spacing w:after="0" w:line="258"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b w:val="1"/>
          <w:bCs w:val="1"/>
          <w:color w:val="auto"/>
        </w:rPr>
        <w:t>Certificates of Stock</w:t>
      </w:r>
      <w:r>
        <w:rPr>
          <w:rFonts w:ascii="Arial" w:cs="Arial" w:eastAsia="Arial" w:hAnsi="Arial"/>
          <w:sz w:val="18"/>
          <w:szCs w:val="18"/>
          <w:color w:val="auto"/>
        </w:rPr>
        <w:t>. Each stockholder shall be entitled to a certificate signed by, or in the name of the Corporation by, the Chairman of the Board, the Vice Chairman of the Board, the Chief Executive Officer, President or Vice President, and by the Secretary or an Assistant Secretary, or the Treasurer or an Assistant Treasurer, certifying the number of shares owned by him or her unless the Board of Directors provides by resolution that some or all of any or all classes or series of stock shall be uncertificated shares. Any or all of the signatures on the certificate may be by facsimile.</w:t>
      </w:r>
    </w:p>
    <w:p>
      <w:pPr>
        <w:spacing w:after="0" w:line="184" w:lineRule="exact"/>
        <w:rPr>
          <w:sz w:val="20"/>
          <w:szCs w:val="20"/>
          <w:color w:val="auto"/>
        </w:rPr>
      </w:pPr>
    </w:p>
    <w:p>
      <w:pPr>
        <w:ind w:left="200" w:right="80" w:firstLine="441"/>
        <w:spacing w:after="0" w:line="261"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b w:val="1"/>
          <w:bCs w:val="1"/>
          <w:color w:val="auto"/>
        </w:rPr>
        <w:t>Transfers of Stock</w:t>
      </w:r>
      <w:r>
        <w:rPr>
          <w:rFonts w:ascii="Arial" w:cs="Arial" w:eastAsia="Arial" w:hAnsi="Arial"/>
          <w:sz w:val="18"/>
          <w:szCs w:val="18"/>
          <w:color w:val="auto"/>
        </w:rPr>
        <w:t xml:space="preserve">. Transfers of stock shall be made only upon the transfer books of the Corporation kept at an office of the Corporation or by transfer agents designated to transfer shares of the stock of the Corporation. Except where a certificate is issued in accordance with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of these bylaws, an outstanding certificate for the number of shares involved shall be surrendered for cancellation before a new certificate is issued therefore.</w:t>
      </w:r>
    </w:p>
    <w:p>
      <w:pPr>
        <w:spacing w:after="0" w:line="180" w:lineRule="exact"/>
        <w:rPr>
          <w:sz w:val="20"/>
          <w:szCs w:val="20"/>
          <w:color w:val="auto"/>
        </w:rPr>
      </w:pPr>
    </w:p>
    <w:p>
      <w:pPr>
        <w:ind w:left="200" w:right="60" w:firstLine="441"/>
        <w:spacing w:after="0" w:line="266"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b w:val="1"/>
          <w:bCs w:val="1"/>
          <w:color w:val="auto"/>
        </w:rPr>
        <w:t>Lost, Stolen or Destroyed Certificates</w:t>
      </w:r>
      <w:r>
        <w:rPr>
          <w:rFonts w:ascii="Arial" w:cs="Arial" w:eastAsia="Arial" w:hAnsi="Arial"/>
          <w:sz w:val="18"/>
          <w:szCs w:val="18"/>
          <w:color w:val="auto"/>
        </w:rPr>
        <w:t>. In the event of the loss, theft, or destruction of any certificate of stock, another may be issued in its place pursuant to the regulations that the Board of Directors may establish concerning proof of the loss, theft, or destruction and concerning the giving of a satisfactory bond or bonds of indemnity.</w:t>
      </w:r>
    </w:p>
    <w:p>
      <w:pPr>
        <w:spacing w:after="0" w:line="176"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b w:val="1"/>
          <w:bCs w:val="1"/>
          <w:color w:val="auto"/>
        </w:rPr>
        <w:t>Regulations</w:t>
      </w:r>
      <w:r>
        <w:rPr>
          <w:rFonts w:ascii="Arial" w:cs="Arial" w:eastAsia="Arial" w:hAnsi="Arial"/>
          <w:sz w:val="18"/>
          <w:szCs w:val="18"/>
          <w:color w:val="auto"/>
        </w:rPr>
        <w:t>. The issue, transfer, conversion and registration of certificates of stock shall be governed by the other regulations as the Board of Directors may establish.</w:t>
      </w:r>
    </w:p>
    <w:p>
      <w:pPr>
        <w:spacing w:after="0" w:line="162"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b w:val="1"/>
          <w:bCs w:val="1"/>
          <w:color w:val="auto"/>
        </w:rPr>
        <w:t>Record Date.</w:t>
      </w:r>
    </w:p>
    <w:p>
      <w:pPr>
        <w:spacing w:after="0" w:line="229" w:lineRule="exact"/>
        <w:rPr>
          <w:sz w:val="20"/>
          <w:szCs w:val="20"/>
          <w:color w:val="auto"/>
        </w:rPr>
      </w:pPr>
    </w:p>
    <w:p>
      <w:pPr>
        <w:ind w:left="200" w:right="60" w:firstLine="885"/>
        <w:spacing w:after="0" w:line="286" w:lineRule="auto"/>
        <w:tabs>
          <w:tab w:leader="none" w:pos="1461" w:val="left"/>
        </w:tabs>
        <w:numPr>
          <w:ilvl w:val="1"/>
          <w:numId w:val="167"/>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except as otherwise required by law, fix a record date, which record date shall not precede the date on which the resolution fixing the record date is adopted and which record date shall not be more than sixty</w:t>
      </w:r>
    </w:p>
    <w:p>
      <w:pPr>
        <w:spacing w:after="0" w:line="1" w:lineRule="exact"/>
        <w:rPr>
          <w:rFonts w:ascii="Arial" w:cs="Arial" w:eastAsia="Arial" w:hAnsi="Arial"/>
          <w:sz w:val="16"/>
          <w:szCs w:val="16"/>
          <w:color w:val="auto"/>
        </w:rPr>
      </w:pPr>
    </w:p>
    <w:p>
      <w:pPr>
        <w:ind w:left="200" w:right="120" w:firstLine="4"/>
        <w:spacing w:after="0" w:line="254" w:lineRule="auto"/>
        <w:tabs>
          <w:tab w:leader="none" w:pos="54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nor less than ten (10) days before the date of any meeting of stockholders, nor more than sixty (60) days prior to the time for the other action described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220"/>
          </w:cols>
          <w:pgMar w:left="240" w:top="460"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w:t>
      </w:r>
    </w:p>
    <w:p>
      <w:pPr>
        <w:spacing w:after="0" w:line="181" w:lineRule="exact"/>
        <w:rPr>
          <w:sz w:val="20"/>
          <w:szCs w:val="20"/>
          <w:color w:val="auto"/>
        </w:rPr>
      </w:pPr>
    </w:p>
    <w:p>
      <w:pPr>
        <w:ind w:left="200" w:firstLine="885"/>
        <w:spacing w:after="0" w:line="277" w:lineRule="auto"/>
        <w:tabs>
          <w:tab w:leader="none" w:pos="146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Board of Directors may fix a new record date for the adjourned meeting.</w:t>
      </w:r>
    </w:p>
    <w:p>
      <w:pPr>
        <w:spacing w:after="0" w:line="170" w:lineRule="exact"/>
        <w:rPr>
          <w:rFonts w:ascii="Arial" w:cs="Arial" w:eastAsia="Arial" w:hAnsi="Arial"/>
          <w:sz w:val="18"/>
          <w:szCs w:val="18"/>
          <w:color w:val="auto"/>
        </w:rPr>
      </w:pPr>
    </w:p>
    <w:p>
      <w:pPr>
        <w:ind w:left="200" w:right="20" w:firstLine="885"/>
        <w:spacing w:after="0" w:line="268" w:lineRule="auto"/>
        <w:tabs>
          <w:tab w:leader="none" w:pos="1461"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consent to corporate action in writing without a meeting, the Board of Directors may fix a record date, which date shall not precede the date upon which the resolution fixing the record date is adopted by the Board of Directors, and which date shall not be more than ten (10) days after the date upon which the resolution fixing the record date is adopted by the Board of Directors. Any stockholder of record seeking to have the stockholders authorize or take corporate action by written consent shall, by written notice to the Secretary, request the Board of Directors to fix a record date. The Board of Directors shall promptly, but in all events within ten (10) days after the date on which such a request is received, adopt a resolution fixing the record date (unless the Board of Directors has previously fixed a record date pursuant to the first sentence hereof). If no record date has been fixed by the Board of Directors pursuant to the first sentence hereof or otherwise within ten (10) days of the date on which such a request is received, the record date for determining stockholders entitled to consent to corporate action in writing without a meeting, where no prior action by the Board of Directors is required by applicable law, shall be the first date on which a signed written consent setting forth the action taken or proposed to be taken is delivered to the Corporation by delivery to its registered agent in Delaware, its principal place of business, or to any officer or agent of the Corporation having custody of the book in which proceedings of meetings of stockholders are reported. Delivery shall be by hand or by certified or registered mail, return receipt requested.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the prior action.</w:t>
      </w: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NOTICES</w:t>
      </w:r>
    </w:p>
    <w:p>
      <w:pPr>
        <w:spacing w:after="0" w:line="207"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229" w:lineRule="exact"/>
        <w:rPr>
          <w:sz w:val="20"/>
          <w:szCs w:val="20"/>
          <w:color w:val="auto"/>
        </w:rPr>
      </w:pPr>
    </w:p>
    <w:p>
      <w:pPr>
        <w:ind w:left="200" w:firstLine="885"/>
        <w:spacing w:after="0" w:line="286" w:lineRule="auto"/>
        <w:tabs>
          <w:tab w:leader="none" w:pos="146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If mailed, notice to stockholder shall be deemed given when deposited in the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DGCL.</w:t>
      </w:r>
    </w:p>
    <w:p>
      <w:pPr>
        <w:spacing w:after="0" w:line="161" w:lineRule="exact"/>
        <w:rPr>
          <w:rFonts w:ascii="Arial" w:cs="Arial" w:eastAsia="Arial" w:hAnsi="Arial"/>
          <w:sz w:val="17"/>
          <w:szCs w:val="17"/>
          <w:color w:val="auto"/>
        </w:rPr>
      </w:pPr>
    </w:p>
    <w:p>
      <w:pPr>
        <w:jc w:val="both"/>
        <w:ind w:left="200" w:firstLine="885"/>
        <w:spacing w:after="0" w:line="261" w:lineRule="auto"/>
        <w:tabs>
          <w:tab w:leader="none" w:pos="1471"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Affidavit of Mailing</w:t>
      </w:r>
      <w:r>
        <w:rPr>
          <w:rFonts w:ascii="Arial" w:cs="Arial" w:eastAsia="Arial" w:hAnsi="Arial"/>
          <w:sz w:val="18"/>
          <w:szCs w:val="18"/>
          <w:color w:val="auto"/>
        </w:rPr>
        <w:t>. An affidavit of mailing, executed by a duly authorized and competent employee of the corporation or its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80" w:lineRule="exact"/>
        <w:rPr>
          <w:rFonts w:ascii="Arial" w:cs="Arial" w:eastAsia="Arial" w:hAnsi="Arial"/>
          <w:sz w:val="18"/>
          <w:szCs w:val="18"/>
          <w:color w:val="auto"/>
        </w:rPr>
      </w:pPr>
    </w:p>
    <w:p>
      <w:pPr>
        <w:ind w:left="200" w:right="100" w:firstLine="885"/>
        <w:spacing w:after="0" w:line="266" w:lineRule="auto"/>
        <w:tabs>
          <w:tab w:leader="none" w:pos="1461"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Methods of Notice</w:t>
      </w:r>
      <w:r>
        <w:rPr>
          <w:rFonts w:ascii="Arial" w:cs="Arial" w:eastAsia="Arial" w:hAnsi="Arial"/>
          <w:sz w:val="18"/>
          <w:szCs w:val="18"/>
          <w:color w:val="auto"/>
        </w:rPr>
        <w:t>. It shall not be necessary that the same method of giving notice be employed in respect of all recipients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but one permissible method may be employed in respect of any one or more, and any other permissible method or methods may be employed in respect of any other or others.</w:t>
      </w:r>
    </w:p>
    <w:p>
      <w:pPr>
        <w:spacing w:after="0" w:line="176" w:lineRule="exact"/>
        <w:rPr>
          <w:rFonts w:ascii="Arial" w:cs="Arial" w:eastAsia="Arial" w:hAnsi="Arial"/>
          <w:sz w:val="18"/>
          <w:szCs w:val="18"/>
          <w:color w:val="auto"/>
        </w:rPr>
      </w:pPr>
    </w:p>
    <w:p>
      <w:pPr>
        <w:ind w:left="200" w:right="20" w:firstLine="885"/>
        <w:spacing w:after="0" w:line="282" w:lineRule="auto"/>
        <w:tabs>
          <w:tab w:leader="none" w:pos="1471"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Notice To Person With Whom Communication Is Unlawful</w:t>
      </w:r>
      <w:r>
        <w:rPr>
          <w:rFonts w:ascii="Arial" w:cs="Arial" w:eastAsia="Arial" w:hAnsi="Arial"/>
          <w:sz w:val="18"/>
          <w:szCs w:val="18"/>
          <w:color w:val="auto"/>
        </w:rPr>
        <w:t>. Whenever notice is required to be given, under any provision of law or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Certificate of Incorporation or Bylaws of the corporation, to any</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220"/>
          </w:cols>
          <w:pgMar w:left="24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89" w:lineRule="exact"/>
        <w:rPr>
          <w:sz w:val="20"/>
          <w:szCs w:val="20"/>
          <w:color w:val="auto"/>
        </w:rPr>
      </w:pPr>
    </w:p>
    <w:p>
      <w:pPr>
        <w:ind w:left="200" w:right="100" w:firstLine="885"/>
        <w:spacing w:after="0" w:line="277" w:lineRule="auto"/>
        <w:tabs>
          <w:tab w:leader="none" w:pos="1461" w:val="left"/>
        </w:tabs>
        <w:numPr>
          <w:ilvl w:val="0"/>
          <w:numId w:val="171"/>
        </w:numPr>
        <w:rPr>
          <w:rFonts w:ascii="Arial" w:cs="Arial" w:eastAsia="Arial" w:hAnsi="Arial"/>
          <w:sz w:val="17"/>
          <w:szCs w:val="17"/>
          <w:color w:val="auto"/>
        </w:rPr>
      </w:pPr>
      <w:r>
        <w:rPr>
          <w:rFonts w:ascii="Arial" w:cs="Arial" w:eastAsia="Arial" w:hAnsi="Arial"/>
          <w:sz w:val="17"/>
          <w:szCs w:val="17"/>
          <w:b w:val="1"/>
          <w:bCs w:val="1"/>
          <w:color w:val="auto"/>
        </w:rPr>
        <w:t>Notice to Stockholders Sharing an Address</w:t>
      </w:r>
      <w:r>
        <w:rPr>
          <w:rFonts w:ascii="Arial" w:cs="Arial" w:eastAsia="Arial" w:hAnsi="Arial"/>
          <w:sz w:val="17"/>
          <w:szCs w:val="17"/>
          <w:color w:val="auto"/>
        </w:rPr>
        <w:t>. Except as otherwise prohibited under DGCL, any notice given under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DGCL, the Certificate of Incorporation or these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w:t>
      </w:r>
    </w:p>
    <w:p>
      <w:pPr>
        <w:spacing w:after="0" w:line="168" w:lineRule="exact"/>
        <w:rPr>
          <w:sz w:val="20"/>
          <w:szCs w:val="20"/>
          <w:color w:val="auto"/>
        </w:rPr>
      </w:pPr>
    </w:p>
    <w:p>
      <w:pPr>
        <w:ind w:left="200" w:firstLine="441"/>
        <w:spacing w:after="0" w:line="258"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b w:val="1"/>
          <w:bCs w:val="1"/>
          <w:color w:val="auto"/>
        </w:rPr>
        <w:t>Waivers</w:t>
      </w:r>
      <w:r>
        <w:rPr>
          <w:rFonts w:ascii="Arial" w:cs="Arial" w:eastAsia="Arial" w:hAnsi="Arial"/>
          <w:sz w:val="18"/>
          <w:szCs w:val="18"/>
          <w:color w:val="auto"/>
        </w:rPr>
        <w:t>. A written waiver of any notice, signed by a stockholder or director, or a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the waiver. Attendance at any meeting shall constitute waiver of notice except attendance for the sole purpose of objecting at the beginning of the meeting to the transaction of any business because the meeting is not lawfully called or convened.</w:t>
      </w: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200" w:right="20" w:firstLine="441"/>
        <w:spacing w:after="0" w:line="266"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b w:val="1"/>
          <w:bCs w:val="1"/>
          <w:color w:val="auto"/>
        </w:rPr>
        <w:t>Corporate Seal</w:t>
      </w:r>
      <w:r>
        <w:rPr>
          <w:rFonts w:ascii="Arial" w:cs="Arial" w:eastAsia="Arial" w:hAnsi="Arial"/>
          <w:sz w:val="18"/>
          <w:szCs w:val="18"/>
          <w:color w:val="auto"/>
        </w:rPr>
        <w:t>. The Board of Directors may provide a suitable seal, containing the name of the Corporation, which seal shall be in the charge of the Secretary. If and when so directed by the Board of Directors, duplicates of the seal may be kept and used by the Treasurer or by an Assistant Secretary or Assistant Treasurer.</w:t>
      </w:r>
    </w:p>
    <w:p>
      <w:pPr>
        <w:spacing w:after="0" w:line="176" w:lineRule="exact"/>
        <w:rPr>
          <w:sz w:val="20"/>
          <w:szCs w:val="20"/>
          <w:color w:val="auto"/>
        </w:rPr>
      </w:pPr>
    </w:p>
    <w:p>
      <w:pPr>
        <w:jc w:val="both"/>
        <w:ind w:left="200" w:right="560" w:firstLine="441"/>
        <w:spacing w:after="0" w:line="266"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b w:val="1"/>
          <w:bCs w:val="1"/>
          <w:color w:val="auto"/>
        </w:rPr>
        <w:t>Facsimile Signatures</w:t>
      </w:r>
      <w:r>
        <w:rPr>
          <w:rFonts w:ascii="Arial" w:cs="Arial" w:eastAsia="Arial" w:hAnsi="Arial"/>
          <w:sz w:val="18"/>
          <w:szCs w:val="18"/>
          <w:color w:val="auto"/>
        </w:rPr>
        <w:t>. 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176"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b w:val="1"/>
          <w:bCs w:val="1"/>
          <w:color w:val="auto"/>
        </w:rPr>
        <w:t>Reliance upon Books, Reports and Records</w:t>
      </w:r>
      <w:r>
        <w:rPr>
          <w:rFonts w:ascii="Arial" w:cs="Arial" w:eastAsia="Arial" w:hAnsi="Arial"/>
          <w:sz w:val="16"/>
          <w:szCs w:val="16"/>
          <w:color w:val="auto"/>
        </w:rPr>
        <w:t>. Each director, each member of any committee designated by the Board of Directors,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54"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b w:val="1"/>
          <w:bCs w:val="1"/>
          <w:color w:val="auto"/>
        </w:rPr>
        <w:t>Fiscal Year</w:t>
      </w:r>
      <w:r>
        <w:rPr>
          <w:rFonts w:ascii="Arial" w:cs="Arial" w:eastAsia="Arial" w:hAnsi="Arial"/>
          <w:sz w:val="16"/>
          <w:szCs w:val="16"/>
          <w:color w:val="auto"/>
        </w:rPr>
        <w:t>. The fiscal year of the Corporation shall be as fixed by the Board of Directors.</w:t>
      </w:r>
    </w:p>
    <w:p>
      <w:pPr>
        <w:spacing w:after="0" w:line="225" w:lineRule="exact"/>
        <w:rPr>
          <w:sz w:val="20"/>
          <w:szCs w:val="20"/>
          <w:color w:val="auto"/>
        </w:rPr>
      </w:pPr>
    </w:p>
    <w:p>
      <w:pPr>
        <w:jc w:val="both"/>
        <w:ind w:left="200" w:right="160" w:firstLine="441"/>
        <w:spacing w:after="0" w:line="266"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b w:val="1"/>
          <w:bCs w:val="1"/>
          <w:color w:val="auto"/>
        </w:rPr>
        <w:t>Time Periods</w:t>
      </w:r>
      <w:r>
        <w:rPr>
          <w:rFonts w:ascii="Arial" w:cs="Arial" w:eastAsia="Arial" w:hAnsi="Arial"/>
          <w:sz w:val="18"/>
          <w:szCs w:val="18"/>
          <w:color w:val="auto"/>
        </w:rPr>
        <w:t>. 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76" w:lineRule="exact"/>
        <w:rPr>
          <w:sz w:val="20"/>
          <w:szCs w:val="20"/>
          <w:color w:val="auto"/>
        </w:rPr>
      </w:pPr>
    </w:p>
    <w:p>
      <w:pPr>
        <w:ind w:left="200" w:right="800" w:firstLine="441"/>
        <w:spacing w:after="0" w:line="266"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b w:val="1"/>
          <w:bCs w:val="1"/>
          <w:color w:val="auto"/>
        </w:rPr>
        <w:t>Electronic Transmission</w:t>
      </w:r>
      <w:r>
        <w:rPr>
          <w:rFonts w:ascii="Arial" w:cs="Arial" w:eastAsia="Arial" w:hAnsi="Arial"/>
          <w:sz w:val="18"/>
          <w:szCs w:val="18"/>
          <w:color w:val="auto"/>
        </w:rPr>
        <w:t>. When used in these Bylaws, the terms “written” and “in writing” shall include any “electronic transmission,” as defined in Section 232(c) of the DGCL, including without limitation any telegram, cablegram, facsimile transmission and communication by electronic mail.</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200"/>
          </w:cols>
          <w:pgMar w:left="240" w:top="460"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b w:val="1"/>
          <w:bCs w:val="1"/>
          <w:color w:val="auto"/>
        </w:rPr>
        <w:t>Right to Indemnification</w:t>
      </w:r>
      <w:r>
        <w:rPr>
          <w:rFonts w:ascii="Arial" w:cs="Arial" w:eastAsia="Arial" w:hAnsi="Arial"/>
          <w:sz w:val="16"/>
          <w:szCs w:val="16"/>
          <w:color w:val="auto"/>
        </w:rPr>
        <w:t>. Each person who was or is made a party or is threatened to be made a party to or is otherwise involved in any action, suit or proceeding, whether civil, criminal, administrative or investigative (a “</w:t>
      </w:r>
      <w:r>
        <w:rPr>
          <w:rFonts w:ascii="Arial" w:cs="Arial" w:eastAsia="Arial" w:hAnsi="Arial"/>
          <w:sz w:val="16"/>
          <w:szCs w:val="16"/>
          <w:i w:val="1"/>
          <w:iCs w:val="1"/>
          <w:color w:val="auto"/>
        </w:rPr>
        <w:t>proceeding</w:t>
      </w:r>
      <w:r>
        <w:rPr>
          <w:rFonts w:ascii="Arial" w:cs="Arial" w:eastAsia="Arial" w:hAnsi="Arial"/>
          <w:sz w:val="16"/>
          <w:szCs w:val="16"/>
          <w:color w:val="auto"/>
        </w:rPr>
        <w:t>”), by reason of the fact that he or she is or was a director or an officer of the Corporation or is or was serving at the request of the Corporation as a director, officer, employee or agent of another corporation or of a partnership, joint venture, trust or other enterprise, including service with respect to an employee benefit plan (an “</w:t>
      </w:r>
      <w:r>
        <w:rPr>
          <w:rFonts w:ascii="Arial" w:cs="Arial" w:eastAsia="Arial" w:hAnsi="Arial"/>
          <w:sz w:val="16"/>
          <w:szCs w:val="16"/>
          <w:i w:val="1"/>
          <w:iCs w:val="1"/>
          <w:color w:val="auto"/>
        </w:rPr>
        <w:t>indemnitee</w:t>
      </w:r>
      <w:r>
        <w:rPr>
          <w:rFonts w:ascii="Arial" w:cs="Arial" w:eastAsia="Arial" w:hAnsi="Arial"/>
          <w:sz w:val="16"/>
          <w:szCs w:val="16"/>
          <w:color w:val="auto"/>
        </w:rPr>
        <w:t xml:space="preserve">”), whether the basis of the proceeding is alleged action in an official capacity as a director or officer or in any other capacity while serving as a director, officer, employee or agent, shall be indemnified and held harmless by the Corporation to the fullest extent permitted by applicable law as the same exists or may hereafter be amended (but, in the case of any such amendment, only to the extent that the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the indemnitee in connection therewith; provided, however, that, except as provided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with respect to proceedings to enforce rights to indemnification and advancement of expenses, the Corporation shall indemnify any such indemnitee in connection with a proceeding (or part thereof) initiated by the indemnitee only if the proceeding (or part thereof) was authorized by the Board of Directors of the Corporation.</w:t>
      </w:r>
    </w:p>
    <w:p>
      <w:pPr>
        <w:spacing w:after="0" w:line="169"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b w:val="1"/>
          <w:bCs w:val="1"/>
          <w:color w:val="auto"/>
        </w:rPr>
        <w:t>Right to Advancement of Expenses</w:t>
      </w:r>
      <w:r>
        <w:rPr>
          <w:rFonts w:ascii="Arial" w:cs="Arial" w:eastAsia="Arial" w:hAnsi="Arial"/>
          <w:sz w:val="16"/>
          <w:szCs w:val="16"/>
          <w:color w:val="auto"/>
        </w:rPr>
        <w:t xml:space="preserve">. The right to indemnification conferred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shall include the right to be paid by the Corporation the expenses (including attorney’s fees) incurred in defending any such proceeding in advance of its final disposition (an “</w:t>
      </w:r>
      <w:r>
        <w:rPr>
          <w:rFonts w:ascii="Arial" w:cs="Arial" w:eastAsia="Arial" w:hAnsi="Arial"/>
          <w:sz w:val="16"/>
          <w:szCs w:val="16"/>
          <w:i w:val="1"/>
          <w:iCs w:val="1"/>
          <w:color w:val="auto"/>
        </w:rPr>
        <w:t>advancement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expenses</w:t>
      </w:r>
      <w:r>
        <w:rPr>
          <w:rFonts w:ascii="Arial" w:cs="Arial" w:eastAsia="Arial" w:hAnsi="Arial"/>
          <w:sz w:val="16"/>
          <w:szCs w:val="16"/>
          <w:color w:val="auto"/>
        </w:rPr>
        <w:t>”); provided, however, that, if the DGCL requires, an advancement of expenses incurred by an indemnitee in his or her capacity as a director or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not in any other capacity in which service was or is rendered by the indemnitee, including, without limitation, service to an employee benefit plan) shall be made only upon delivery to the Corporation of an undertaking (an “</w:t>
      </w:r>
      <w:r>
        <w:rPr>
          <w:rFonts w:ascii="Arial" w:cs="Arial" w:eastAsia="Arial" w:hAnsi="Arial"/>
          <w:sz w:val="16"/>
          <w:szCs w:val="16"/>
          <w:i w:val="1"/>
          <w:iCs w:val="1"/>
          <w:color w:val="auto"/>
        </w:rPr>
        <w:t>undertaking</w:t>
      </w:r>
      <w:r>
        <w:rPr>
          <w:rFonts w:ascii="Arial" w:cs="Arial" w:eastAsia="Arial" w:hAnsi="Arial"/>
          <w:sz w:val="16"/>
          <w:szCs w:val="16"/>
          <w:color w:val="auto"/>
        </w:rPr>
        <w:t>”), by or on behalf of the indemnitee, to repay all amounts so advanced if it shall ultimately be determined by final judicial decision from which there is no further right to appeal (a “</w:t>
      </w:r>
      <w:r>
        <w:rPr>
          <w:rFonts w:ascii="Arial" w:cs="Arial" w:eastAsia="Arial" w:hAnsi="Arial"/>
          <w:sz w:val="16"/>
          <w:szCs w:val="16"/>
          <w:i w:val="1"/>
          <w:iCs w:val="1"/>
          <w:color w:val="auto"/>
        </w:rPr>
        <w:t>final adjudication</w:t>
      </w:r>
      <w:r>
        <w:rPr>
          <w:rFonts w:ascii="Arial" w:cs="Arial" w:eastAsia="Arial" w:hAnsi="Arial"/>
          <w:sz w:val="16"/>
          <w:szCs w:val="16"/>
          <w:color w:val="auto"/>
        </w:rPr>
        <w:t xml:space="preserve">”) that the indemnitee is not entitled to be indemnified for the expenses under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otherwise. The rights to indemnification and to the advancement of expenses conferred in </w:t>
      </w:r>
      <w:r>
        <w:rPr>
          <w:rFonts w:ascii="Arial" w:cs="Arial" w:eastAsia="Arial" w:hAnsi="Arial"/>
          <w:sz w:val="16"/>
          <w:szCs w:val="16"/>
          <w:u w:val="single" w:color="auto"/>
          <w:color w:val="auto"/>
        </w:rPr>
        <w:t>Sections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shall be contract rights and such rights shall continue as to an indemnitee who has ceased to be a director, officer, employee or agent and shall inure to the benefit of the indemnitee’s heirs, executors and administrators.</w:t>
      </w:r>
    </w:p>
    <w:p>
      <w:pPr>
        <w:spacing w:after="0" w:line="16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b w:val="1"/>
          <w:bCs w:val="1"/>
          <w:color w:val="auto"/>
        </w:rPr>
        <w:t>Right of Indemnitee to Bring Suit</w:t>
      </w:r>
      <w:r>
        <w:rPr>
          <w:rFonts w:ascii="Arial" w:cs="Arial" w:eastAsia="Arial" w:hAnsi="Arial"/>
          <w:sz w:val="16"/>
          <w:szCs w:val="16"/>
          <w:color w:val="auto"/>
        </w:rPr>
        <w:t xml:space="preserve">. If a claim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(i) the indemnitee to enforce a right to indemnification hereunder (but not in a suit brought by the indemnitee to enforce a right to an advancement of expenses) it shall be a defense that, and (ii)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Board of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Board of Directors, independent legal counsel, or its stockholders) that the indemnitee has not met the applicable standard of conduct, shall create a presumption that the indemnitee has not met the applicable standard of conduct or, in the case of such a suit brought by the indemnitee, be a defense to the suit. In any suit brought by</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220"/>
          </w:cols>
          <w:pgMar w:left="240" w:top="460"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 xml:space="preserve">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or otherwise shall be on the Corporation.</w:t>
      </w:r>
    </w:p>
    <w:p>
      <w:pPr>
        <w:spacing w:after="0" w:line="177" w:lineRule="exact"/>
        <w:rPr>
          <w:sz w:val="20"/>
          <w:szCs w:val="20"/>
          <w:color w:val="auto"/>
        </w:rPr>
      </w:pPr>
    </w:p>
    <w:p>
      <w:pPr>
        <w:ind w:left="200" w:firstLine="441"/>
        <w:spacing w:after="0" w:line="266"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b w:val="1"/>
          <w:bCs w:val="1"/>
          <w:color w:val="auto"/>
        </w:rPr>
        <w:t>Non-exclusivity of Rights</w:t>
      </w:r>
      <w:r>
        <w:rPr>
          <w:rFonts w:ascii="Arial" w:cs="Arial" w:eastAsia="Arial" w:hAnsi="Arial"/>
          <w:sz w:val="18"/>
          <w:szCs w:val="18"/>
          <w:color w:val="auto"/>
        </w:rPr>
        <w:t xml:space="preserve">. The rights to indemnification and to the advancement of expenses conferred in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shall not be exclusive of any other right which any person may have or hereafter acquire under any statute, the Corporation’s Certificate of Incorporation, bylaws, agreement, vote of stockholders or disinterested directors or otherwise.</w:t>
      </w:r>
    </w:p>
    <w:p>
      <w:pPr>
        <w:spacing w:after="0" w:line="176"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b w:val="1"/>
          <w:bCs w:val="1"/>
          <w:color w:val="auto"/>
        </w:rPr>
        <w:t>Insurance</w:t>
      </w:r>
      <w:r>
        <w:rPr>
          <w:rFonts w:ascii="Arial" w:cs="Arial" w:eastAsia="Arial" w:hAnsi="Arial"/>
          <w:sz w:val="17"/>
          <w:szCs w:val="17"/>
          <w:color w:val="auto"/>
        </w:rPr>
        <w:t>.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the person against the expense, liability or loss under the DGCL.</w:t>
      </w:r>
    </w:p>
    <w:p>
      <w:pPr>
        <w:spacing w:after="0" w:line="158" w:lineRule="exact"/>
        <w:rPr>
          <w:sz w:val="20"/>
          <w:szCs w:val="20"/>
          <w:color w:val="auto"/>
        </w:rPr>
      </w:pPr>
    </w:p>
    <w:p>
      <w:pPr>
        <w:ind w:left="200" w:right="320" w:firstLine="441"/>
        <w:spacing w:after="0" w:line="261"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b w:val="1"/>
          <w:bCs w:val="1"/>
          <w:color w:val="auto"/>
        </w:rPr>
        <w:t>Indemnification of Officers, Employees and Agents of the Corporation</w:t>
      </w:r>
      <w:r>
        <w:rPr>
          <w:rFonts w:ascii="Arial" w:cs="Arial" w:eastAsia="Arial" w:hAnsi="Arial"/>
          <w:sz w:val="18"/>
          <w:szCs w:val="18"/>
          <w:color w:val="auto"/>
        </w:rPr>
        <w:t xml:space="preserve">. The Corporation may, to the extent authorized from time to time by the Board of Directors, grant rights to indemnification and to the advancement of expenses to any officer, employee or agent of the Corporation to the fullest extent of the provisions of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with respect to the indemnification and advancement of expenses of directors and officers of the Corporation.</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Forum for Adjudication of Disputes</w:t>
      </w:r>
    </w:p>
    <w:p>
      <w:pPr>
        <w:spacing w:after="0" w:line="21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 xml:space="preserve">Unless the Corporation consents in writing to the selection of an alternative forum,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DGCL, or (iv) any action asserting a claim governed by the internal affairs doctrine shall be a state or federal court located within the state of Delaware, in all cases subject to the court’s having personal jurisdiction over the indispensible parties named as defendants. Any person or entity purchasing or otherwise acquiring any interest in shares of capital stock of the Corporation shall be deemed to have notice of and consented to the provisions of this </w:t>
      </w:r>
      <w:r>
        <w:rPr>
          <w:rFonts w:ascii="Arial" w:cs="Arial" w:eastAsia="Arial" w:hAnsi="Arial"/>
          <w:sz w:val="18"/>
          <w:szCs w:val="18"/>
          <w:u w:val="single" w:color="auto"/>
          <w:color w:val="auto"/>
        </w:rPr>
        <w:t>Article 9</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These Bylaws may be altered, amended and repealed, and new bylaws adopted, only in compliance with and as authorized by the Certificate of Incorporation.</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FORCE AND EFFECT</w:t>
      </w:r>
    </w:p>
    <w:p>
      <w:pPr>
        <w:spacing w:after="0" w:line="211"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These Bylaws are subject to the provisions of the DGCL and the Certificate of Incorporation, as the same may be amended from time to time. If any provision in these Bylaws is inconsistent with an express provision of either the DGCL or the Certificate of Incorporation, the provisions of the DGCL or the Certificate of Incorporation, as the case may be, shall govern, prevail, and control the extent of such inconsistency.</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Adopted January 28, 2019</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C-12</w:t>
      </w:r>
    </w:p>
    <w:sectPr>
      <w:pgSz w:w="11900" w:h="16838" w:orient="portrait"/>
      <w:cols w:equalWidth="0" w:num="1">
        <w:col w:w="11220"/>
      </w:cols>
      <w:pgMar w:left="24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4211F2"/>
    <w:multiLevelType w:val="hybridMultilevel"/>
    <w:lvl w:ilvl="0">
      <w:lvlJc w:val="left"/>
      <w:lvlText w:val="(%1)"/>
      <w:numFmt w:val="lowerRoman"/>
      <w:start w:val="2"/>
    </w:lvl>
  </w:abstractNum>
  <w:abstractNum w:abstractNumId="1">
    <w:nsid w:val="885E1B"/>
    <w:multiLevelType w:val="hybridMultilevel"/>
    <w:lvl w:ilvl="0">
      <w:lvlJc w:val="left"/>
      <w:lvlText w:val="%1."/>
      <w:numFmt w:val="upperLetter"/>
      <w:start w:val="1"/>
    </w:lvl>
  </w:abstractNum>
  <w:abstractNum w:abstractNumId="2">
    <w:nsid w:val="76272110"/>
    <w:multiLevelType w:val="hybridMultilevel"/>
    <w:lvl w:ilvl="0">
      <w:lvlJc w:val="left"/>
      <w:lvlText w:val="%1:"/>
      <w:numFmt w:val="upperLetter"/>
      <w:start w:val="1"/>
    </w:lvl>
  </w:abstractNum>
  <w:abstractNum w:abstractNumId="3">
    <w:nsid w:val="4C04A8AF"/>
    <w:multiLevelType w:val="hybridMultilevel"/>
    <w:lvl w:ilvl="0">
      <w:lvlJc w:val="left"/>
      <w:lvlText w:val="%1:"/>
      <w:numFmt w:val="upperLetter"/>
      <w:start w:val="1"/>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
      <w:numFmt w:val="bullet"/>
      <w:start w:val="1"/>
    </w:lvl>
  </w:abstractNum>
  <w:abstractNum w:abstractNumId="6">
    <w:nsid w:val="3222E7CD"/>
    <w:multiLevelType w:val="hybridMultilevel"/>
    <w:lvl w:ilvl="0">
      <w:lvlJc w:val="left"/>
      <w:lvlText w:val="%1:"/>
      <w:numFmt w:val="upperLetter"/>
      <w:start w:val="1"/>
    </w:lvl>
  </w:abstractNum>
  <w:abstractNum w:abstractNumId="7">
    <w:nsid w:val="74DE0EE3"/>
    <w:multiLevelType w:val="hybridMultilevel"/>
    <w:lvl w:ilvl="0">
      <w:lvlJc w:val="left"/>
      <w:lvlText w:val="%1."/>
      <w:numFmt w:val="upperLetter"/>
      <w:start w:val="1"/>
    </w:lvl>
  </w:abstractNum>
  <w:abstractNum w:abstractNumId="8">
    <w:nsid w:val="68EBC550"/>
    <w:multiLevelType w:val="hybridMultilevel"/>
    <w:lvl w:ilvl="0">
      <w:lvlJc w:val="left"/>
      <w:lvlText w:val="%1."/>
      <w:numFmt w:val="upperLetter"/>
      <w:start w:val="1"/>
    </w:lvl>
  </w:abstractNum>
  <w:abstractNum w:abstractNumId="9">
    <w:nsid w:val="2DF6D648"/>
    <w:multiLevelType w:val="hybridMultilevel"/>
    <w:lvl w:ilvl="0">
      <w:lvlJc w:val="left"/>
      <w:lvlText w:val="%1."/>
      <w:numFmt w:val="upperLetter"/>
      <w:start w:val="17"/>
    </w:lvl>
  </w:abstractNum>
  <w:abstractNum w:abstractNumId="10">
    <w:nsid w:val="46B7D447"/>
    <w:multiLevelType w:val="hybridMultilevel"/>
    <w:lvl w:ilvl="0">
      <w:lvlJc w:val="left"/>
      <w:lvlText w:val="%1."/>
      <w:numFmt w:val="upperLetter"/>
      <w:start w:val="1"/>
    </w:lvl>
  </w:abstractNum>
  <w:abstractNum w:abstractNumId="11">
    <w:nsid w:val="4A2AC315"/>
    <w:multiLevelType w:val="hybridMultilevel"/>
    <w:lvl w:ilvl="0">
      <w:lvlJc w:val="left"/>
      <w:lvlText w:val="%1."/>
      <w:numFmt w:val="upperLetter"/>
      <w:start w:val="17"/>
    </w:lvl>
  </w:abstractNum>
  <w:abstractNum w:abstractNumId="12">
    <w:nsid w:val="39EE015C"/>
    <w:multiLevelType w:val="hybridMultilevel"/>
    <w:lvl w:ilvl="0">
      <w:lvlJc w:val="left"/>
      <w:lvlText w:val="%1."/>
      <w:numFmt w:val="upperLetter"/>
      <w:start w:val="1"/>
    </w:lvl>
  </w:abstractNum>
  <w:abstractNum w:abstractNumId="13">
    <w:nsid w:val="57FC4FBB"/>
    <w:multiLevelType w:val="hybridMultilevel"/>
    <w:lvl w:ilvl="0">
      <w:lvlJc w:val="left"/>
      <w:lvlText w:val="•"/>
      <w:numFmt w:val="bullet"/>
      <w:start w:val="1"/>
    </w:lvl>
  </w:abstractNum>
  <w:abstractNum w:abstractNumId="14">
    <w:nsid w:val="CC1016F"/>
    <w:multiLevelType w:val="hybridMultilevel"/>
    <w:lvl w:ilvl="0">
      <w:lvlJc w:val="left"/>
      <w:lvlText w:val="%1:"/>
      <w:numFmt w:val="upperLetter"/>
      <w:start w:val="1"/>
    </w:lvl>
  </w:abstractNum>
  <w:abstractNum w:abstractNumId="15">
    <w:nsid w:val="43F18422"/>
    <w:multiLevelType w:val="hybridMultilevel"/>
    <w:lvl w:ilvl="0">
      <w:lvlJc w:val="left"/>
      <w:lvlText w:val="•"/>
      <w:numFmt w:val="bullet"/>
      <w:start w:val="1"/>
    </w:lvl>
  </w:abstractNum>
  <w:abstractNum w:abstractNumId="16">
    <w:nsid w:val="60EF0119"/>
    <w:multiLevelType w:val="hybridMultilevel"/>
    <w:lvl w:ilvl="0">
      <w:lvlJc w:val="left"/>
      <w:lvlText w:val="%1."/>
      <w:numFmt w:val="upperLetter"/>
      <w:start w:val="1"/>
    </w:lvl>
  </w:abstractNum>
  <w:abstractNum w:abstractNumId="17">
    <w:nsid w:val="26F324BA"/>
    <w:multiLevelType w:val="hybridMultilevel"/>
    <w:lvl w:ilvl="0">
      <w:lvlJc w:val="left"/>
      <w:lvlText w:val="%1:"/>
      <w:numFmt w:val="upperLetter"/>
      <w:start w:val="1"/>
    </w:lvl>
  </w:abstractNum>
  <w:abstractNum w:abstractNumId="18">
    <w:nsid w:val="7F01579B"/>
    <w:multiLevelType w:val="hybridMultilevel"/>
    <w:lvl w:ilvl="0">
      <w:lvlJc w:val="left"/>
      <w:lvlText w:val="%1."/>
      <w:numFmt w:val="upperLetter"/>
      <w:start w:val="1"/>
    </w:lvl>
  </w:abstractNum>
  <w:abstractNum w:abstractNumId="19">
    <w:nsid w:val="49DA307D"/>
    <w:multiLevelType w:val="hybridMultilevel"/>
    <w:lvl w:ilvl="0">
      <w:lvlJc w:val="left"/>
      <w:lvlText w:val="%1."/>
      <w:numFmt w:val="upperLetter"/>
      <w:start w:val="17"/>
    </w:lvl>
  </w:abstractNum>
  <w:abstractNum w:abstractNumId="20">
    <w:nsid w:val="7055A5F5"/>
    <w:multiLevelType w:val="hybridMultilevel"/>
    <w:lvl w:ilvl="0">
      <w:lvlJc w:val="left"/>
      <w:lvlText w:val="%1."/>
      <w:numFmt w:val="upperLetter"/>
      <w:start w:val="1"/>
    </w:lvl>
  </w:abstractNum>
  <w:abstractNum w:abstractNumId="21">
    <w:nsid w:val="5FB8370B"/>
    <w:multiLevelType w:val="hybridMultilevel"/>
    <w:lvl w:ilvl="0">
      <w:lvlJc w:val="left"/>
      <w:lvlText w:val="%1."/>
      <w:numFmt w:val="upperLetter"/>
      <w:start w:val="1"/>
    </w:lvl>
  </w:abstractNum>
  <w:abstractNum w:abstractNumId="22">
    <w:nsid w:val="50801EE1"/>
    <w:multiLevelType w:val="hybridMultilevel"/>
    <w:lvl w:ilvl="0">
      <w:lvlJc w:val="left"/>
      <w:lvlText w:val="%1."/>
      <w:numFmt w:val="upperLetter"/>
      <w:start w:val="17"/>
    </w:lvl>
  </w:abstractNum>
  <w:abstractNum w:abstractNumId="23">
    <w:nsid w:val="488AC1A"/>
    <w:multiLevelType w:val="hybridMultilevel"/>
    <w:lvl w:ilvl="0">
      <w:lvlJc w:val="left"/>
      <w:lvlText w:val="%1."/>
      <w:numFmt w:val="upperLetter"/>
      <w:start w:val="1"/>
    </w:lvl>
  </w:abstractNum>
  <w:abstractNum w:abstractNumId="24">
    <w:nsid w:val="5FB8011C"/>
    <w:multiLevelType w:val="hybridMultilevel"/>
    <w:lvl w:ilvl="0">
      <w:lvlJc w:val="left"/>
      <w:lvlText w:val="%1."/>
      <w:numFmt w:val="upperLetter"/>
      <w:start w:val="17"/>
    </w:lvl>
  </w:abstractNum>
  <w:abstractNum w:abstractNumId="25">
    <w:nsid w:val="6AA78F7F"/>
    <w:multiLevelType w:val="hybridMultilevel"/>
    <w:lvl w:ilvl="0">
      <w:lvlJc w:val="left"/>
      <w:lvlText w:val="%1."/>
      <w:numFmt w:val="upperLetter"/>
      <w:start w:val="1"/>
    </w:lvl>
  </w:abstractNum>
  <w:abstractNum w:abstractNumId="26">
    <w:nsid w:val="7672BD23"/>
    <w:multiLevelType w:val="hybridMultilevel"/>
    <w:lvl w:ilvl="0">
      <w:lvlJc w:val="left"/>
      <w:lvlText w:val="%1."/>
      <w:numFmt w:val="upperLetter"/>
      <w:start w:val="17"/>
    </w:lvl>
  </w:abstractNum>
  <w:abstractNum w:abstractNumId="27">
    <w:nsid w:val="6FC75AF8"/>
    <w:multiLevelType w:val="hybridMultilevel"/>
    <w:lvl w:ilvl="0">
      <w:lvlJc w:val="left"/>
      <w:lvlText w:val="%1."/>
      <w:numFmt w:val="upperLetter"/>
      <w:start w:val="1"/>
    </w:lvl>
  </w:abstractNum>
  <w:abstractNum w:abstractNumId="28">
    <w:nsid w:val="6A5F7029"/>
    <w:multiLevelType w:val="hybridMultilevel"/>
    <w:lvl w:ilvl="0">
      <w:lvlJc w:val="left"/>
      <w:lvlText w:val="%1."/>
      <w:numFmt w:val="upperLetter"/>
      <w:start w:val="17"/>
    </w:lvl>
  </w:abstractNum>
  <w:abstractNum w:abstractNumId="29">
    <w:nsid w:val="7D5E18F8"/>
    <w:multiLevelType w:val="hybridMultilevel"/>
    <w:lvl w:ilvl="0">
      <w:lvlJc w:val="left"/>
      <w:lvlText w:val="%1."/>
      <w:numFmt w:val="upperLetter"/>
      <w:start w:val="1"/>
    </w:lvl>
  </w:abstractNum>
  <w:abstractNum w:abstractNumId="30">
    <w:nsid w:val="5F3534A4"/>
    <w:multiLevelType w:val="hybridMultilevel"/>
    <w:lvl w:ilvl="0">
      <w:lvlJc w:val="left"/>
      <w:lvlText w:val="%1."/>
      <w:numFmt w:val="upperLetter"/>
      <w:start w:val="17"/>
    </w:lvl>
  </w:abstractNum>
  <w:abstractNum w:abstractNumId="31">
    <w:nsid w:val="73A1821B"/>
    <w:multiLevelType w:val="hybridMultilevel"/>
    <w:lvl w:ilvl="0">
      <w:lvlJc w:val="left"/>
      <w:lvlText w:val="%1."/>
      <w:numFmt w:val="upperLetter"/>
      <w:start w:val="1"/>
    </w:lvl>
  </w:abstractNum>
  <w:abstractNum w:abstractNumId="32">
    <w:nsid w:val="7DE67713"/>
    <w:multiLevelType w:val="hybridMultilevel"/>
    <w:lvl w:ilvl="0">
      <w:lvlJc w:val="left"/>
      <w:lvlText w:val="%1."/>
      <w:numFmt w:val="upperLetter"/>
      <w:start w:val="17"/>
    </w:lvl>
  </w:abstractNum>
  <w:abstractNum w:abstractNumId="33">
    <w:nsid w:val="555C55B5"/>
    <w:multiLevelType w:val="hybridMultilevel"/>
    <w:lvl w:ilvl="0">
      <w:lvlJc w:val="left"/>
      <w:lvlText w:val="%1."/>
      <w:numFmt w:val="upperLetter"/>
      <w:start w:val="1"/>
    </w:lvl>
  </w:abstractNum>
  <w:abstractNum w:abstractNumId="34">
    <w:nsid w:val="3FA62ACA"/>
    <w:multiLevelType w:val="hybridMultilevel"/>
    <w:lvl w:ilvl="0">
      <w:lvlJc w:val="left"/>
      <w:lvlText w:val="%1."/>
      <w:numFmt w:val="upperLetter"/>
      <w:start w:val="1"/>
    </w:lvl>
  </w:abstractNum>
  <w:abstractNum w:abstractNumId="35">
    <w:nsid w:val="14FCE74E"/>
    <w:multiLevelType w:val="hybridMultilevel"/>
    <w:lvl w:ilvl="0">
      <w:lvlJc w:val="left"/>
      <w:lvlText w:val="%1."/>
      <w:numFmt w:val="upperLetter"/>
      <w:start w:val="17"/>
    </w:lvl>
  </w:abstractNum>
  <w:abstractNum w:abstractNumId="36">
    <w:nsid w:val="6A3DD3E8"/>
    <w:multiLevelType w:val="hybridMultilevel"/>
    <w:lvl w:ilvl="0">
      <w:lvlJc w:val="left"/>
      <w:lvlText w:val="%1."/>
      <w:numFmt w:val="upperLetter"/>
      <w:start w:val="1"/>
    </w:lvl>
  </w:abstractNum>
  <w:abstractNum w:abstractNumId="37">
    <w:nsid w:val="71C91298"/>
    <w:multiLevelType w:val="hybridMultilevel"/>
    <w:lvl w:ilvl="0">
      <w:lvlJc w:val="left"/>
      <w:lvlText w:val="%1."/>
      <w:numFmt w:val="upperLetter"/>
      <w:start w:val="17"/>
    </w:lvl>
  </w:abstractNum>
  <w:abstractNum w:abstractNumId="38">
    <w:nsid w:val="9DAF632"/>
    <w:multiLevelType w:val="hybridMultilevel"/>
    <w:lvl w:ilvl="0">
      <w:lvlJc w:val="left"/>
      <w:lvlText w:val="%1."/>
      <w:numFmt w:val="upperLetter"/>
      <w:start w:val="1"/>
    </w:lvl>
  </w:abstractNum>
  <w:abstractNum w:abstractNumId="39">
    <w:nsid w:val="53299938"/>
    <w:multiLevelType w:val="hybridMultilevel"/>
    <w:lvl w:ilvl="0">
      <w:lvlJc w:val="left"/>
      <w:lvlText w:val="%1."/>
      <w:numFmt w:val="upperLetter"/>
      <w:start w:val="17"/>
    </w:lvl>
  </w:abstractNum>
  <w:abstractNum w:abstractNumId="40">
    <w:nsid w:val="1FBFE8E0"/>
    <w:multiLevelType w:val="hybridMultilevel"/>
    <w:lvl w:ilvl="0">
      <w:lvlJc w:val="left"/>
      <w:lvlText w:val="%1."/>
      <w:numFmt w:val="upperLetter"/>
      <w:start w:val="1"/>
    </w:lvl>
  </w:abstractNum>
  <w:abstractNum w:abstractNumId="41">
    <w:nsid w:val="5092CA79"/>
    <w:multiLevelType w:val="hybridMultilevel"/>
    <w:lvl w:ilvl="0">
      <w:lvlJc w:val="left"/>
      <w:lvlText w:val="%1."/>
      <w:numFmt w:val="upperLetter"/>
      <w:start w:val="17"/>
    </w:lvl>
  </w:abstractNum>
  <w:abstractNum w:abstractNumId="42">
    <w:nsid w:val="1D545C4D"/>
    <w:multiLevelType w:val="hybridMultilevel"/>
    <w:lvl w:ilvl="0">
      <w:lvlJc w:val="left"/>
      <w:lvlText w:val="%1."/>
      <w:numFmt w:val="upperLetter"/>
      <w:start w:val="1"/>
    </w:lvl>
  </w:abstractNum>
  <w:abstractNum w:abstractNumId="43">
    <w:nsid w:val="59ADEA3D"/>
    <w:multiLevelType w:val="hybridMultilevel"/>
    <w:lvl w:ilvl="0">
      <w:lvlJc w:val="left"/>
      <w:lvlText w:val="%1."/>
      <w:numFmt w:val="upperLetter"/>
      <w:start w:val="1"/>
    </w:lvl>
  </w:abstractNum>
  <w:abstractNum w:abstractNumId="44">
    <w:nsid w:val="288F1A34"/>
    <w:multiLevelType w:val="hybridMultilevel"/>
    <w:lvl w:ilvl="0">
      <w:lvlJc w:val="left"/>
      <w:lvlText w:val="%1."/>
      <w:numFmt w:val="upperLetter"/>
      <w:start w:val="17"/>
    </w:lvl>
  </w:abstractNum>
  <w:abstractNum w:abstractNumId="45">
    <w:nsid w:val="2A155DBC"/>
    <w:multiLevelType w:val="hybridMultilevel"/>
    <w:lvl w:ilvl="0">
      <w:lvlJc w:val="left"/>
      <w:lvlText w:val="%1."/>
      <w:numFmt w:val="upperLetter"/>
      <w:start w:val="1"/>
    </w:lvl>
  </w:abstractNum>
  <w:abstractNum w:abstractNumId="46">
    <w:nsid w:val="1D9F6E5F"/>
    <w:multiLevelType w:val="hybridMultilevel"/>
    <w:lvl w:ilvl="0">
      <w:lvlJc w:val="left"/>
      <w:lvlText w:val="%1."/>
      <w:numFmt w:val="upperLetter"/>
      <w:start w:val="17"/>
    </w:lvl>
  </w:abstractNum>
  <w:abstractNum w:abstractNumId="47">
    <w:nsid w:val="97E1B4E"/>
    <w:multiLevelType w:val="hybridMultilevel"/>
    <w:lvl w:ilvl="0">
      <w:lvlJc w:val="left"/>
      <w:lvlText w:val="%1."/>
      <w:numFmt w:val="upperLetter"/>
      <w:start w:val="1"/>
    </w:lvl>
  </w:abstractNum>
  <w:abstractNum w:abstractNumId="48">
    <w:nsid w:val="51088277"/>
    <w:multiLevelType w:val="hybridMultilevel"/>
    <w:lvl w:ilvl="0">
      <w:lvlJc w:val="left"/>
      <w:lvlText w:val="•"/>
      <w:numFmt w:val="bullet"/>
      <w:start w:val="1"/>
    </w:lvl>
  </w:abstractNum>
  <w:abstractNum w:abstractNumId="49">
    <w:nsid w:val="1CA0C5FA"/>
    <w:multiLevelType w:val="hybridMultilevel"/>
    <w:lvl w:ilvl="0">
      <w:lvlJc w:val="left"/>
      <w:lvlText w:val="(%1)"/>
      <w:numFmt w:val="lowerRoman"/>
      <w:start w:val="4"/>
    </w:lvl>
  </w:abstractNum>
  <w:abstractNum w:abstractNumId="50">
    <w:nsid w:val="53584BCB"/>
    <w:multiLevelType w:val="hybridMultilevel"/>
    <w:lvl w:ilvl="0">
      <w:lvlJc w:val="left"/>
      <w:lvlText w:val="%1."/>
      <w:numFmt w:val="decimal"/>
      <w:start w:val="1"/>
    </w:lvl>
    <w:lvl w:ilvl="1">
      <w:lvlJc w:val="left"/>
      <w:lvlText w:val="%2."/>
      <w:numFmt w:val="lowerLetter"/>
      <w:start w:val="1"/>
    </w:lvl>
  </w:abstractNum>
  <w:abstractNum w:abstractNumId="51">
    <w:nsid w:val="415E286C"/>
    <w:multiLevelType w:val="hybridMultilevel"/>
    <w:lvl w:ilvl="0">
      <w:lvlJc w:val="left"/>
      <w:lvlText w:val="•"/>
      <w:numFmt w:val="bullet"/>
      <w:start w:val="1"/>
    </w:lvl>
  </w:abstractNum>
  <w:abstractNum w:abstractNumId="52">
    <w:nsid w:val="7C58FD05"/>
    <w:multiLevelType w:val="hybridMultilevel"/>
    <w:lvl w:ilvl="0">
      <w:lvlJc w:val="left"/>
      <w:lvlText w:val="•"/>
      <w:numFmt w:val="bullet"/>
      <w:start w:val="1"/>
    </w:lvl>
  </w:abstractNum>
  <w:abstractNum w:abstractNumId="53">
    <w:nsid w:val="23D86AAC"/>
    <w:multiLevelType w:val="hybridMultilevel"/>
    <w:lvl w:ilvl="0">
      <w:lvlJc w:val="left"/>
      <w:lvlText w:val="•"/>
      <w:numFmt w:val="bullet"/>
      <w:start w:val="1"/>
    </w:lvl>
  </w:abstractNum>
  <w:abstractNum w:abstractNumId="54">
    <w:nsid w:val="45E6D486"/>
    <w:multiLevelType w:val="hybridMultilevel"/>
    <w:lvl w:ilvl="0">
      <w:lvlJc w:val="left"/>
      <w:lvlText w:val="•"/>
      <w:numFmt w:val="bullet"/>
      <w:start w:val="1"/>
    </w:lvl>
  </w:abstractNum>
  <w:abstractNum w:abstractNumId="55">
    <w:nsid w:val="5C10FE21"/>
    <w:multiLevelType w:val="hybridMultilevel"/>
    <w:lvl w:ilvl="0">
      <w:lvlJc w:val="left"/>
      <w:lvlText w:val="•"/>
      <w:numFmt w:val="bullet"/>
      <w:start w:val="1"/>
    </w:lvl>
  </w:abstractNum>
  <w:abstractNum w:abstractNumId="56">
    <w:nsid w:val="E7FFA2B"/>
    <w:multiLevelType w:val="hybridMultilevel"/>
    <w:lvl w:ilvl="0">
      <w:lvlJc w:val="left"/>
      <w:lvlText w:val="•"/>
      <w:numFmt w:val="bullet"/>
      <w:start w:val="1"/>
    </w:lvl>
  </w:abstractNum>
  <w:abstractNum w:abstractNumId="57">
    <w:nsid w:val="3C5991AA"/>
    <w:multiLevelType w:val="hybridMultilevel"/>
    <w:lvl w:ilvl="0">
      <w:lvlJc w:val="left"/>
      <w:lvlText w:val="•"/>
      <w:numFmt w:val="bullet"/>
      <w:start w:val="1"/>
    </w:lvl>
  </w:abstractNum>
  <w:abstractNum w:abstractNumId="58">
    <w:nsid w:val="4BD8591A"/>
    <w:multiLevelType w:val="hybridMultilevel"/>
    <w:lvl w:ilvl="0">
      <w:lvlJc w:val="left"/>
      <w:lvlText w:val="•"/>
      <w:numFmt w:val="bullet"/>
      <w:start w:val="1"/>
    </w:lvl>
  </w:abstractNum>
  <w:abstractNum w:abstractNumId="59">
    <w:nsid w:val="78DF6A55"/>
    <w:multiLevelType w:val="hybridMultilevel"/>
    <w:lvl w:ilvl="0">
      <w:lvlJc w:val="left"/>
      <w:lvlText w:val="•"/>
      <w:numFmt w:val="bullet"/>
      <w:start w:val="1"/>
    </w:lvl>
  </w:abstractNum>
  <w:abstractNum w:abstractNumId="60">
    <w:nsid w:val="39B7AAA2"/>
    <w:multiLevelType w:val="hybridMultilevel"/>
    <w:lvl w:ilvl="0">
      <w:lvlJc w:val="left"/>
      <w:lvlText w:val="•"/>
      <w:numFmt w:val="bullet"/>
      <w:start w:val="1"/>
    </w:lvl>
  </w:abstractNum>
  <w:abstractNum w:abstractNumId="61">
    <w:nsid w:val="2B0D8DBE"/>
    <w:multiLevelType w:val="hybridMultilevel"/>
    <w:lvl w:ilvl="0">
      <w:lvlJc w:val="left"/>
      <w:lvlText w:val="•"/>
      <w:numFmt w:val="bullet"/>
      <w:start w:val="1"/>
    </w:lvl>
  </w:abstractNum>
  <w:abstractNum w:abstractNumId="62">
    <w:nsid w:val="6C80EC70"/>
    <w:multiLevelType w:val="hybridMultilevel"/>
    <w:lvl w:ilvl="0">
      <w:lvlJc w:val="left"/>
      <w:lvlText w:val="•"/>
      <w:numFmt w:val="bullet"/>
      <w:start w:val="1"/>
    </w:lvl>
  </w:abstractNum>
  <w:abstractNum w:abstractNumId="63">
    <w:nsid w:val="379E21B5"/>
    <w:multiLevelType w:val="hybridMultilevel"/>
    <w:lvl w:ilvl="0">
      <w:lvlJc w:val="left"/>
      <w:lvlText w:val="•"/>
      <w:numFmt w:val="bullet"/>
      <w:start w:val="1"/>
    </w:lvl>
  </w:abstractNum>
  <w:abstractNum w:abstractNumId="64">
    <w:nsid w:val="69E373"/>
    <w:multiLevelType w:val="hybridMultilevel"/>
    <w:lvl w:ilvl="0">
      <w:lvlJc w:val="left"/>
      <w:lvlText w:val="•"/>
      <w:numFmt w:val="bullet"/>
      <w:start w:val="1"/>
    </w:lvl>
  </w:abstractNum>
  <w:abstractNum w:abstractNumId="65">
    <w:nsid w:val="2C27173B"/>
    <w:multiLevelType w:val="hybridMultilevel"/>
    <w:lvl w:ilvl="0">
      <w:lvlJc w:val="left"/>
      <w:lvlText w:val="•"/>
      <w:numFmt w:val="bullet"/>
      <w:start w:val="1"/>
    </w:lvl>
  </w:abstractNum>
  <w:abstractNum w:abstractNumId="66">
    <w:nsid w:val="4C9B0904"/>
    <w:multiLevelType w:val="hybridMultilevel"/>
    <w:lvl w:ilvl="0">
      <w:lvlJc w:val="left"/>
      <w:lvlText w:val="•"/>
      <w:numFmt w:val="bullet"/>
      <w:start w:val="1"/>
    </w:lvl>
  </w:abstractNum>
  <w:abstractNum w:abstractNumId="67">
    <w:nsid w:val="6AA7B75C"/>
    <w:multiLevelType w:val="hybridMultilevel"/>
    <w:lvl w:ilvl="0">
      <w:lvlJc w:val="left"/>
      <w:lvlText w:val="•"/>
      <w:numFmt w:val="bullet"/>
      <w:start w:val="1"/>
    </w:lvl>
  </w:abstractNum>
  <w:abstractNum w:abstractNumId="68">
    <w:nsid w:val="1DF029D3"/>
    <w:multiLevelType w:val="hybridMultilevel"/>
    <w:lvl w:ilvl="0">
      <w:lvlJc w:val="left"/>
      <w:lvlText w:val="•"/>
      <w:numFmt w:val="bullet"/>
      <w:start w:val="1"/>
    </w:lvl>
  </w:abstractNum>
  <w:abstractNum w:abstractNumId="69">
    <w:nsid w:val="5675FF36"/>
    <w:multiLevelType w:val="hybridMultilevel"/>
    <w:lvl w:ilvl="0">
      <w:lvlJc w:val="left"/>
      <w:lvlText w:val="•"/>
      <w:numFmt w:val="bullet"/>
      <w:start w:val="1"/>
    </w:lvl>
  </w:abstractNum>
  <w:abstractNum w:abstractNumId="70">
    <w:nsid w:val="3DD15094"/>
    <w:multiLevelType w:val="hybridMultilevel"/>
    <w:lvl w:ilvl="0">
      <w:lvlJc w:val="left"/>
      <w:lvlText w:val="•"/>
      <w:numFmt w:val="bullet"/>
      <w:start w:val="1"/>
    </w:lvl>
  </w:abstractNum>
  <w:abstractNum w:abstractNumId="71">
    <w:nsid w:val="3DB012B3"/>
    <w:multiLevelType w:val="hybridMultilevel"/>
    <w:lvl w:ilvl="0">
      <w:lvlJc w:val="left"/>
      <w:lvlText w:val="•"/>
      <w:numFmt w:val="bullet"/>
      <w:start w:val="1"/>
    </w:lvl>
  </w:abstractNum>
  <w:abstractNum w:abstractNumId="72">
    <w:nsid w:val="2708C9AF"/>
    <w:multiLevelType w:val="hybridMultilevel"/>
    <w:lvl w:ilvl="0">
      <w:lvlJc w:val="left"/>
      <w:lvlText w:val="•"/>
      <w:numFmt w:val="bullet"/>
      <w:start w:val="1"/>
    </w:lvl>
  </w:abstractNum>
  <w:abstractNum w:abstractNumId="73">
    <w:nsid w:val="5B25ACE2"/>
    <w:multiLevelType w:val="hybridMultilevel"/>
    <w:lvl w:ilvl="0">
      <w:lvlJc w:val="left"/>
      <w:lvlText w:val="•"/>
      <w:numFmt w:val="bullet"/>
      <w:start w:val="1"/>
    </w:lvl>
  </w:abstractNum>
  <w:abstractNum w:abstractNumId="74">
    <w:nsid w:val="175DFCF0"/>
    <w:multiLevelType w:val="hybridMultilevel"/>
    <w:lvl w:ilvl="0">
      <w:lvlJc w:val="left"/>
      <w:lvlText w:val="•"/>
      <w:numFmt w:val="bullet"/>
      <w:start w:val="1"/>
    </w:lvl>
  </w:abstractNum>
  <w:abstractNum w:abstractNumId="75">
    <w:nsid w:val="4F97E3E4"/>
    <w:multiLevelType w:val="hybridMultilevel"/>
    <w:lvl w:ilvl="0">
      <w:lvlJc w:val="left"/>
      <w:lvlText w:val="•"/>
      <w:numFmt w:val="bullet"/>
      <w:start w:val="1"/>
    </w:lvl>
  </w:abstractNum>
  <w:abstractNum w:abstractNumId="76">
    <w:nsid w:val="53B0A9E"/>
    <w:multiLevelType w:val="hybridMultilevel"/>
    <w:lvl w:ilvl="0">
      <w:lvlJc w:val="left"/>
      <w:lvlText w:val="•"/>
      <w:numFmt w:val="bullet"/>
      <w:start w:val="1"/>
    </w:lvl>
  </w:abstractNum>
  <w:abstractNum w:abstractNumId="77">
    <w:nsid w:val="34FD6B4F"/>
    <w:multiLevelType w:val="hybridMultilevel"/>
    <w:lvl w:ilvl="0">
      <w:lvlJc w:val="left"/>
      <w:lvlText w:val="•"/>
      <w:numFmt w:val="bullet"/>
      <w:start w:val="1"/>
    </w:lvl>
  </w:abstractNum>
  <w:abstractNum w:abstractNumId="78">
    <w:nsid w:val="5915FF32"/>
    <w:multiLevelType w:val="hybridMultilevel"/>
    <w:lvl w:ilvl="0">
      <w:lvlJc w:val="left"/>
      <w:lvlText w:val="•"/>
      <w:numFmt w:val="bullet"/>
      <w:start w:val="1"/>
    </w:lvl>
  </w:abstractNum>
  <w:abstractNum w:abstractNumId="79">
    <w:nsid w:val="56438D15"/>
    <w:multiLevelType w:val="hybridMultilevel"/>
    <w:lvl w:ilvl="0">
      <w:lvlJc w:val="left"/>
      <w:lvlText w:val="•"/>
      <w:numFmt w:val="bullet"/>
      <w:start w:val="1"/>
    </w:lvl>
  </w:abstractNum>
  <w:abstractNum w:abstractNumId="80">
    <w:nsid w:val="519E3149"/>
    <w:multiLevelType w:val="hybridMultilevel"/>
    <w:lvl w:ilvl="0">
      <w:lvlJc w:val="left"/>
      <w:lvlText w:val="•"/>
      <w:numFmt w:val="bullet"/>
      <w:start w:val="1"/>
    </w:lvl>
  </w:abstractNum>
  <w:abstractNum w:abstractNumId="81">
    <w:nsid w:val="2C6E4AFD"/>
    <w:multiLevelType w:val="hybridMultilevel"/>
    <w:lvl w:ilvl="0">
      <w:lvlJc w:val="left"/>
      <w:lvlText w:val="3"/>
      <w:numFmt w:val="bullet"/>
      <w:start w:val="1"/>
    </w:lvl>
  </w:abstractNum>
  <w:abstractNum w:abstractNumId="82">
    <w:nsid w:val="17A1B582"/>
    <w:multiLevelType w:val="hybridMultilevel"/>
    <w:lvl w:ilvl="0">
      <w:lvlJc w:val="left"/>
      <w:lvlText w:val="•"/>
      <w:numFmt w:val="bullet"/>
      <w:start w:val="1"/>
    </w:lvl>
  </w:abstractNum>
  <w:abstractNum w:abstractNumId="83">
    <w:nsid w:val="4DF72E4E"/>
    <w:multiLevelType w:val="hybridMultilevel"/>
    <w:lvl w:ilvl="0">
      <w:lvlJc w:val="left"/>
      <w:lvlText w:val="•"/>
      <w:numFmt w:val="bullet"/>
      <w:start w:val="1"/>
    </w:lvl>
  </w:abstractNum>
  <w:abstractNum w:abstractNumId="84">
    <w:nsid w:val="5046B5A9"/>
    <w:multiLevelType w:val="hybridMultilevel"/>
    <w:lvl w:ilvl="0">
      <w:lvlJc w:val="left"/>
      <w:lvlText w:val="•"/>
      <w:numFmt w:val="bullet"/>
      <w:start w:val="1"/>
    </w:lvl>
  </w:abstractNum>
  <w:abstractNum w:abstractNumId="85">
    <w:nsid w:val="5D888A08"/>
    <w:multiLevelType w:val="hybridMultilevel"/>
    <w:lvl w:ilvl="0">
      <w:lvlJc w:val="left"/>
      <w:lvlText w:val="•"/>
      <w:numFmt w:val="bullet"/>
      <w:start w:val="1"/>
    </w:lvl>
  </w:abstractNum>
  <w:abstractNum w:abstractNumId="86">
    <w:nsid w:val="2A082C70"/>
    <w:multiLevelType w:val="hybridMultilevel"/>
    <w:lvl w:ilvl="0">
      <w:lvlJc w:val="left"/>
      <w:lvlText w:val="•"/>
      <w:numFmt w:val="bullet"/>
      <w:start w:val="1"/>
    </w:lvl>
  </w:abstractNum>
  <w:abstractNum w:abstractNumId="87">
    <w:nsid w:val="5EC6AFD4"/>
    <w:multiLevelType w:val="hybridMultilevel"/>
    <w:lvl w:ilvl="0">
      <w:lvlJc w:val="left"/>
      <w:lvlText w:val="•"/>
      <w:numFmt w:val="bullet"/>
      <w:start w:val="1"/>
    </w:lvl>
  </w:abstractNum>
  <w:abstractNum w:abstractNumId="88">
    <w:nsid w:val="19E21BB2"/>
    <w:multiLevelType w:val="hybridMultilevel"/>
    <w:lvl w:ilvl="0">
      <w:lvlJc w:val="left"/>
      <w:lvlText w:val="•"/>
      <w:numFmt w:val="bullet"/>
      <w:start w:val="1"/>
    </w:lvl>
  </w:abstractNum>
  <w:abstractNum w:abstractNumId="89">
    <w:nsid w:val="75E0858A"/>
    <w:multiLevelType w:val="hybridMultilevel"/>
    <w:lvl w:ilvl="0">
      <w:lvlJc w:val="left"/>
      <w:lvlText w:val="•"/>
      <w:numFmt w:val="bullet"/>
      <w:start w:val="1"/>
    </w:lvl>
  </w:abstractNum>
  <w:abstractNum w:abstractNumId="90">
    <w:nsid w:val="57A61A29"/>
    <w:multiLevelType w:val="hybridMultilevel"/>
    <w:lvl w:ilvl="0">
      <w:lvlJc w:val="left"/>
      <w:lvlText w:val="(%1)"/>
      <w:numFmt w:val="lowerRoman"/>
      <w:start w:val="2"/>
    </w:lvl>
  </w:abstractNum>
  <w:abstractNum w:abstractNumId="91">
    <w:nsid w:val="5399C654"/>
    <w:multiLevelType w:val="hybridMultilevel"/>
    <w:lvl w:ilvl="0">
      <w:lvlJc w:val="left"/>
      <w:lvlText w:val="%1."/>
      <w:numFmt w:val="decimal"/>
      <w:start w:val="1"/>
    </w:lvl>
  </w:abstractNum>
  <w:abstractNum w:abstractNumId="92">
    <w:nsid w:val="20EE1348"/>
    <w:multiLevelType w:val="hybridMultilevel"/>
    <w:lvl w:ilvl="0">
      <w:lvlJc w:val="left"/>
      <w:lvlText w:val="%1"/>
      <w:numFmt w:val="decimal"/>
      <w:start w:val="1"/>
    </w:lvl>
    <w:lvl w:ilvl="1">
      <w:lvlJc w:val="left"/>
      <w:lvlText w:val="%2."/>
      <w:numFmt w:val="lowerLetter"/>
      <w:start w:val="1"/>
    </w:lvl>
  </w:abstractNum>
  <w:abstractNum w:abstractNumId="93">
    <w:nsid w:val="4427069A"/>
    <w:multiLevelType w:val="hybridMultilevel"/>
    <w:lvl w:ilvl="0">
      <w:lvlJc w:val="left"/>
      <w:lvlText w:val="%1."/>
      <w:numFmt w:val="decimal"/>
      <w:start w:val="3"/>
    </w:lvl>
    <w:lvl w:ilvl="1">
      <w:lvlJc w:val="left"/>
      <w:lvlText w:val="%2"/>
      <w:numFmt w:val="lowerLetter"/>
      <w:start w:val="1"/>
    </w:lvl>
  </w:abstractNum>
  <w:abstractNum w:abstractNumId="94">
    <w:nsid w:val="B37E80A"/>
    <w:multiLevelType w:val="hybridMultilevel"/>
    <w:lvl w:ilvl="0">
      <w:lvlJc w:val="left"/>
      <w:lvlText w:val="•"/>
      <w:numFmt w:val="bullet"/>
      <w:start w:val="1"/>
    </w:lvl>
  </w:abstractNum>
  <w:abstractNum w:abstractNumId="95">
    <w:nsid w:val="2157F6BC"/>
    <w:multiLevelType w:val="hybridMultilevel"/>
    <w:lvl w:ilvl="0">
      <w:lvlJc w:val="left"/>
      <w:lvlText w:val="(%1)"/>
      <w:numFmt w:val="lowerLetter"/>
      <w:start w:val="1"/>
    </w:lvl>
  </w:abstractNum>
  <w:abstractNum w:abstractNumId="96">
    <w:nsid w:val="704E1DD5"/>
    <w:multiLevelType w:val="hybridMultilevel"/>
    <w:lvl w:ilvl="0">
      <w:lvlJc w:val="left"/>
      <w:lvlText w:val="(%1)"/>
      <w:numFmt w:val="lowerLetter"/>
      <w:start w:val="1"/>
    </w:lvl>
  </w:abstractNum>
  <w:abstractNum w:abstractNumId="97">
    <w:nsid w:val="57D2F10E"/>
    <w:multiLevelType w:val="hybridMultilevel"/>
    <w:lvl w:ilvl="0">
      <w:lvlJc w:val="left"/>
      <w:lvlText w:val="(%1)"/>
      <w:numFmt w:val="lowerLetter"/>
      <w:start w:val="2"/>
    </w:lvl>
  </w:abstractNum>
  <w:abstractNum w:abstractNumId="98">
    <w:nsid w:val="BFFAE18"/>
    <w:multiLevelType w:val="hybridMultilevel"/>
    <w:lvl w:ilvl="0">
      <w:lvlJc w:val="left"/>
      <w:lvlText w:val="(%1)"/>
      <w:numFmt w:val="lowerLetter"/>
      <w:start w:val="6"/>
    </w:lvl>
  </w:abstractNum>
  <w:abstractNum w:abstractNumId="99">
    <w:nsid w:val="E3E47A8"/>
    <w:multiLevelType w:val="hybridMultilevel"/>
    <w:lvl w:ilvl="0">
      <w:lvlJc w:val="left"/>
      <w:lvlText w:val="•"/>
      <w:numFmt w:val="bullet"/>
      <w:start w:val="1"/>
    </w:lvl>
  </w:abstractNum>
  <w:abstractNum w:abstractNumId="100">
    <w:nsid w:val="2E48F044"/>
    <w:multiLevelType w:val="hybridMultilevel"/>
    <w:lvl w:ilvl="0">
      <w:lvlJc w:val="left"/>
      <w:lvlText w:val="•"/>
      <w:numFmt w:val="bullet"/>
      <w:start w:val="1"/>
    </w:lvl>
  </w:abstractNum>
  <w:abstractNum w:abstractNumId="101">
    <w:nsid w:val="49D0FEAC"/>
    <w:multiLevelType w:val="hybridMultilevel"/>
    <w:lvl w:ilvl="0">
      <w:lvlJc w:val="left"/>
      <w:lvlText w:val="•"/>
      <w:numFmt w:val="bullet"/>
      <w:start w:val="1"/>
    </w:lvl>
  </w:abstractNum>
  <w:abstractNum w:abstractNumId="102">
    <w:nsid w:val="4BEE5A5B"/>
    <w:multiLevelType w:val="hybridMultilevel"/>
    <w:lvl w:ilvl="0">
      <w:lvlJc w:val="left"/>
      <w:lvlText w:val="•"/>
      <w:numFmt w:val="bullet"/>
      <w:start w:val="1"/>
    </w:lvl>
  </w:abstractNum>
  <w:abstractNum w:abstractNumId="103">
    <w:nsid w:val="5551B9F3"/>
    <w:multiLevelType w:val="hybridMultilevel"/>
    <w:lvl w:ilvl="0">
      <w:lvlJc w:val="left"/>
      <w:lvlText w:val="•"/>
      <w:numFmt w:val="bullet"/>
      <w:start w:val="1"/>
    </w:lvl>
  </w:abstractNum>
  <w:abstractNum w:abstractNumId="104">
    <w:nsid w:val="24F6AB8E"/>
    <w:multiLevelType w:val="hybridMultilevel"/>
    <w:lvl w:ilvl="0">
      <w:lvlJc w:val="left"/>
      <w:lvlText w:val="•"/>
      <w:numFmt w:val="bullet"/>
      <w:start w:val="1"/>
    </w:lvl>
  </w:abstractNum>
  <w:abstractNum w:abstractNumId="105">
    <w:nsid w:val="634C574C"/>
    <w:multiLevelType w:val="hybridMultilevel"/>
    <w:lvl w:ilvl="0">
      <w:lvlJc w:val="left"/>
      <w:lvlText w:val="•"/>
      <w:numFmt w:val="bullet"/>
      <w:start w:val="1"/>
    </w:lvl>
  </w:abstractNum>
  <w:abstractNum w:abstractNumId="106">
    <w:nsid w:val="24E99DD7"/>
    <w:multiLevelType w:val="hybridMultilevel"/>
    <w:lvl w:ilvl="0">
      <w:lvlJc w:val="left"/>
      <w:lvlText w:val="•"/>
      <w:numFmt w:val="bullet"/>
      <w:start w:val="1"/>
    </w:lvl>
  </w:abstractNum>
  <w:abstractNum w:abstractNumId="107">
    <w:nsid w:val="2A31B62D"/>
    <w:multiLevelType w:val="hybridMultilevel"/>
    <w:lvl w:ilvl="0">
      <w:lvlJc w:val="left"/>
      <w:lvlText w:val="•"/>
      <w:numFmt w:val="bullet"/>
      <w:start w:val="1"/>
    </w:lvl>
  </w:abstractNum>
  <w:abstractNum w:abstractNumId="108">
    <w:nsid w:val="1849C29B"/>
    <w:multiLevelType w:val="hybridMultilevel"/>
    <w:lvl w:ilvl="0">
      <w:lvlJc w:val="left"/>
      <w:lvlText w:val="•"/>
      <w:numFmt w:val="bullet"/>
      <w:start w:val="1"/>
    </w:lvl>
  </w:abstractNum>
  <w:abstractNum w:abstractNumId="109">
    <w:nsid w:val="7DFF9D09"/>
    <w:multiLevelType w:val="hybridMultilevel"/>
    <w:lvl w:ilvl="0">
      <w:lvlJc w:val="left"/>
      <w:lvlText w:val="•"/>
      <w:numFmt w:val="bullet"/>
      <w:start w:val="1"/>
    </w:lvl>
  </w:abstractNum>
  <w:abstractNum w:abstractNumId="110">
    <w:nsid w:val="754342"/>
    <w:multiLevelType w:val="hybridMultilevel"/>
    <w:lvl w:ilvl="0">
      <w:lvlJc w:val="left"/>
      <w:lvlText w:val="•"/>
      <w:numFmt w:val="bullet"/>
      <w:start w:val="1"/>
    </w:lvl>
  </w:abstractNum>
  <w:abstractNum w:abstractNumId="111">
    <w:nsid w:val="69E7F3E5"/>
    <w:multiLevelType w:val="hybridMultilevel"/>
    <w:lvl w:ilvl="0">
      <w:lvlJc w:val="left"/>
      <w:lvlText w:val="%1."/>
      <w:numFmt w:val="decimal"/>
      <w:start w:val="1"/>
    </w:lvl>
  </w:abstractNum>
  <w:abstractNum w:abstractNumId="112">
    <w:nsid w:val="2A6DE806"/>
    <w:multiLevelType w:val="hybridMultilevel"/>
    <w:lvl w:ilvl="0">
      <w:lvlJc w:val="left"/>
      <w:lvlText w:val="%1."/>
      <w:numFmt w:val="decimal"/>
      <w:start w:val="2"/>
    </w:lvl>
  </w:abstractNum>
  <w:abstractNum w:abstractNumId="113">
    <w:nsid w:val="1816F8C4"/>
    <w:multiLevelType w:val="hybridMultilevel"/>
    <w:lvl w:ilvl="0">
      <w:lvlJc w:val="left"/>
      <w:lvlText w:val="(%1)"/>
      <w:numFmt w:val="lowerRoman"/>
      <w:start w:val="1"/>
    </w:lvl>
  </w:abstractNum>
  <w:abstractNum w:abstractNumId="114">
    <w:nsid w:val="37DF2233"/>
    <w:multiLevelType w:val="hybridMultilevel"/>
    <w:lvl w:ilvl="0">
      <w:lvlJc w:val="left"/>
      <w:lvlText w:val="(%1)"/>
      <w:numFmt w:val="lowerRoman"/>
      <w:start w:val="1"/>
    </w:lvl>
  </w:abstractNum>
  <w:abstractNum w:abstractNumId="115">
    <w:nsid w:val="7AB49DAF"/>
    <w:multiLevelType w:val="hybridMultilevel"/>
    <w:lvl w:ilvl="0">
      <w:lvlJc w:val="left"/>
      <w:lvlText w:val="•"/>
      <w:numFmt w:val="bullet"/>
      <w:start w:val="1"/>
    </w:lvl>
  </w:abstractNum>
  <w:abstractNum w:abstractNumId="116">
    <w:nsid w:val="759F82CD"/>
    <w:multiLevelType w:val="hybridMultilevel"/>
    <w:lvl w:ilvl="0">
      <w:lvlJc w:val="left"/>
      <w:lvlText w:val="•"/>
      <w:numFmt w:val="bullet"/>
      <w:start w:val="1"/>
    </w:lvl>
  </w:abstractNum>
  <w:abstractNum w:abstractNumId="117">
    <w:nsid w:val="61E74EA3"/>
    <w:multiLevelType w:val="hybridMultilevel"/>
    <w:lvl w:ilvl="0">
      <w:lvlJc w:val="left"/>
      <w:lvlText w:val="•"/>
      <w:numFmt w:val="bullet"/>
      <w:start w:val="1"/>
    </w:lvl>
  </w:abstractNum>
  <w:abstractNum w:abstractNumId="118">
    <w:nsid w:val="597B4D84"/>
    <w:multiLevelType w:val="hybridMultilevel"/>
    <w:lvl w:ilvl="0">
      <w:lvlJc w:val="left"/>
      <w:lvlText w:val="•"/>
      <w:numFmt w:val="bullet"/>
      <w:start w:val="1"/>
    </w:lvl>
  </w:abstractNum>
  <w:abstractNum w:abstractNumId="119">
    <w:nsid w:val="F819E7F"/>
    <w:multiLevelType w:val="hybridMultilevel"/>
    <w:lvl w:ilvl="0">
      <w:lvlJc w:val="left"/>
      <w:lvlText w:val="•"/>
      <w:numFmt w:val="bullet"/>
      <w:start w:val="1"/>
    </w:lvl>
  </w:abstractNum>
  <w:abstractNum w:abstractNumId="120">
    <w:nsid w:val="57C7D42D"/>
    <w:multiLevelType w:val="hybridMultilevel"/>
    <w:lvl w:ilvl="0">
      <w:lvlJc w:val="left"/>
      <w:lvlText w:val="•"/>
      <w:numFmt w:val="bullet"/>
      <w:start w:val="1"/>
    </w:lvl>
  </w:abstractNum>
  <w:abstractNum w:abstractNumId="121">
    <w:nsid w:val="312167AD"/>
    <w:multiLevelType w:val="hybridMultilevel"/>
    <w:lvl w:ilvl="0">
      <w:lvlJc w:val="left"/>
      <w:lvlText w:val="(%1)"/>
      <w:numFmt w:val="decimal"/>
      <w:start w:val="1"/>
    </w:lvl>
  </w:abstractNum>
  <w:abstractNum w:abstractNumId="122">
    <w:nsid w:val="631B64D4"/>
    <w:multiLevelType w:val="hybridMultilevel"/>
    <w:lvl w:ilvl="0">
      <w:lvlJc w:val="left"/>
      <w:lvlText w:val="•"/>
      <w:numFmt w:val="bullet"/>
      <w:start w:val="1"/>
    </w:lvl>
  </w:abstractNum>
  <w:abstractNum w:abstractNumId="123">
    <w:nsid w:val="78B5E776"/>
    <w:multiLevelType w:val="hybridMultilevel"/>
    <w:lvl w:ilvl="0">
      <w:lvlJc w:val="left"/>
      <w:lvlText w:val="(%1)"/>
      <w:numFmt w:val="lowerRoman"/>
      <w:start w:val="1"/>
    </w:lvl>
  </w:abstractNum>
  <w:abstractNum w:abstractNumId="124">
    <w:nsid w:val="75486E47"/>
    <w:multiLevelType w:val="hybridMultilevel"/>
    <w:lvl w:ilvl="0">
      <w:lvlJc w:val="left"/>
      <w:lvlText w:val="•"/>
      <w:numFmt w:val="bullet"/>
      <w:start w:val="1"/>
    </w:lvl>
  </w:abstractNum>
  <w:abstractNum w:abstractNumId="125">
    <w:nsid w:val="6E534CDE"/>
    <w:multiLevelType w:val="hybridMultilevel"/>
    <w:lvl w:ilvl="0">
      <w:lvlJc w:val="left"/>
      <w:lvlText w:val="•"/>
      <w:numFmt w:val="bullet"/>
      <w:start w:val="1"/>
    </w:lvl>
  </w:abstractNum>
  <w:abstractNum w:abstractNumId="126">
    <w:nsid w:val="1A0DDE32"/>
    <w:multiLevelType w:val="hybridMultilevel"/>
    <w:lvl w:ilvl="0">
      <w:lvlJc w:val="left"/>
      <w:lvlText w:val="•"/>
      <w:numFmt w:val="bullet"/>
      <w:start w:val="1"/>
    </w:lvl>
  </w:abstractNum>
  <w:abstractNum w:abstractNumId="127">
    <w:nsid w:val="65968C1C"/>
    <w:multiLevelType w:val="hybridMultilevel"/>
    <w:lvl w:ilvl="0">
      <w:lvlJc w:val="left"/>
      <w:lvlText w:val="•"/>
      <w:numFmt w:val="bullet"/>
      <w:start w:val="1"/>
    </w:lvl>
  </w:abstractNum>
  <w:abstractNum w:abstractNumId="128">
    <w:nsid w:val="46263DEC"/>
    <w:multiLevelType w:val="hybridMultilevel"/>
    <w:lvl w:ilvl="0">
      <w:lvlJc w:val="left"/>
      <w:lvlText w:val="•"/>
      <w:numFmt w:val="bullet"/>
      <w:start w:val="1"/>
    </w:lvl>
  </w:abstractNum>
  <w:abstractNum w:abstractNumId="129">
    <w:nsid w:val="260D8C4A"/>
    <w:multiLevelType w:val="hybridMultilevel"/>
    <w:lvl w:ilvl="0">
      <w:lvlJc w:val="left"/>
      <w:lvlText w:val="•"/>
      <w:numFmt w:val="bullet"/>
      <w:start w:val="1"/>
    </w:lvl>
  </w:abstractNum>
  <w:abstractNum w:abstractNumId="130">
    <w:nsid w:val="73D4D3C4"/>
    <w:multiLevelType w:val="hybridMultilevel"/>
    <w:lvl w:ilvl="0">
      <w:lvlJc w:val="left"/>
      <w:lvlText w:val="•"/>
      <w:numFmt w:val="bullet"/>
      <w:start w:val="1"/>
    </w:lvl>
  </w:abstractNum>
  <w:abstractNum w:abstractNumId="131">
    <w:nsid w:val="746F2E30"/>
    <w:multiLevelType w:val="hybridMultilevel"/>
    <w:lvl w:ilvl="0">
      <w:lvlJc w:val="left"/>
      <w:lvlText w:val="(%1)"/>
      <w:numFmt w:val="decimal"/>
      <w:start w:val="1"/>
    </w:lvl>
  </w:abstractNum>
  <w:abstractNum w:abstractNumId="132">
    <w:nsid w:val="6FDE8AF6"/>
    <w:multiLevelType w:val="hybridMultilevel"/>
    <w:lvl w:ilvl="0">
      <w:lvlJc w:val="left"/>
      <w:lvlText w:val="(%1)"/>
      <w:numFmt w:val="decimal"/>
      <w:start w:val="7"/>
    </w:lvl>
  </w:abstractNum>
  <w:abstractNum w:abstractNumId="133">
    <w:nsid w:val="3FC32E20"/>
    <w:multiLevelType w:val="hybridMultilevel"/>
    <w:lvl w:ilvl="0">
      <w:lvlJc w:val="left"/>
      <w:lvlText w:val="(%1)"/>
      <w:numFmt w:val="lowerRoman"/>
      <w:start w:val="2"/>
    </w:lvl>
  </w:abstractNum>
  <w:abstractNum w:abstractNumId="134">
    <w:nsid w:val="49C0E823"/>
    <w:multiLevelType w:val="hybridMultilevel"/>
    <w:lvl w:ilvl="0">
      <w:lvlJc w:val="left"/>
      <w:lvlText w:val="(%1)"/>
      <w:numFmt w:val="decimal"/>
      <w:start w:val="1"/>
    </w:lvl>
  </w:abstractNum>
  <w:abstractNum w:abstractNumId="135">
    <w:nsid w:val="14D53685"/>
    <w:multiLevelType w:val="hybridMultilevel"/>
    <w:lvl w:ilvl="0">
      <w:lvlJc w:val="left"/>
      <w:lvlText w:val="•"/>
      <w:numFmt w:val="bullet"/>
      <w:start w:val="1"/>
    </w:lvl>
  </w:abstractNum>
  <w:abstractNum w:abstractNumId="136">
    <w:nsid w:val="230F856C"/>
    <w:multiLevelType w:val="hybridMultilevel"/>
    <w:lvl w:ilvl="0">
      <w:lvlJc w:val="left"/>
      <w:lvlText w:val="*"/>
      <w:numFmt w:val="bullet"/>
      <w:start w:val="1"/>
    </w:lvl>
  </w:abstractNum>
  <w:abstractNum w:abstractNumId="137">
    <w:nsid w:val="6EAA85FB"/>
    <w:multiLevelType w:val="hybridMultilevel"/>
    <w:lvl w:ilvl="0">
      <w:lvlJc w:val="left"/>
      <w:lvlText w:val="(%1)"/>
      <w:numFmt w:val="decimal"/>
      <w:start w:val="1"/>
    </w:lvl>
  </w:abstractNum>
  <w:abstractNum w:abstractNumId="138">
    <w:nsid w:val="3F06ECB2"/>
    <w:multiLevelType w:val="hybridMultilevel"/>
    <w:lvl w:ilvl="0">
      <w:lvlJc w:val="left"/>
      <w:lvlText w:val="(%1)"/>
      <w:numFmt w:val="decimal"/>
      <w:start w:val="1"/>
    </w:lvl>
  </w:abstractNum>
  <w:abstractNum w:abstractNumId="139">
    <w:nsid w:val="3B594807"/>
    <w:multiLevelType w:val="hybridMultilevel"/>
    <w:lvl w:ilvl="0">
      <w:lvlJc w:val="left"/>
      <w:lvlText w:val="$"/>
      <w:numFmt w:val="bullet"/>
      <w:start w:val="1"/>
    </w:lvl>
  </w:abstractNum>
  <w:abstractNum w:abstractNumId="140">
    <w:nsid w:val="6CAA2304"/>
    <w:multiLevelType w:val="hybridMultilevel"/>
    <w:lvl w:ilvl="0">
      <w:lvlJc w:val="left"/>
      <w:lvlText w:val="%1."/>
      <w:numFmt w:val="decimal"/>
      <w:start w:val="1"/>
    </w:lvl>
  </w:abstractNum>
  <w:abstractNum w:abstractNumId="141">
    <w:nsid w:val="3F7C2FF4"/>
    <w:multiLevelType w:val="hybridMultilevel"/>
    <w:lvl w:ilvl="0">
      <w:lvlJc w:val="left"/>
      <w:lvlText w:val="(%1)"/>
      <w:numFmt w:val="lowerLetter"/>
      <w:start w:val="1"/>
    </w:lvl>
  </w:abstractNum>
  <w:abstractNum w:abstractNumId="142">
    <w:nsid w:val="25413BEC"/>
    <w:multiLevelType w:val="hybridMultilevel"/>
    <w:lvl w:ilvl="0">
      <w:lvlJc w:val="left"/>
      <w:lvlText w:val="(%1)"/>
      <w:numFmt w:val="lowerLetter"/>
      <w:start w:val="4"/>
    </w:lvl>
  </w:abstractNum>
  <w:abstractNum w:abstractNumId="143">
    <w:nsid w:val="17180B0B"/>
    <w:multiLevelType w:val="hybridMultilevel"/>
    <w:lvl w:ilvl="0">
      <w:lvlJc w:val="left"/>
      <w:lvlText w:val="(%1)"/>
      <w:numFmt w:val="lowerLetter"/>
      <w:start w:val="7"/>
    </w:lvl>
  </w:abstractNum>
  <w:abstractNum w:abstractNumId="144">
    <w:nsid w:val="579328B9"/>
    <w:multiLevelType w:val="hybridMultilevel"/>
    <w:lvl w:ilvl="0">
      <w:lvlJc w:val="left"/>
      <w:lvlText w:val="(%1)"/>
      <w:numFmt w:val="lowerRoman"/>
      <w:start w:val="1"/>
    </w:lvl>
  </w:abstractNum>
  <w:abstractNum w:abstractNumId="145">
    <w:nsid w:val="5D205E20"/>
    <w:multiLevelType w:val="hybridMultilevel"/>
    <w:lvl w:ilvl="0">
      <w:lvlJc w:val="left"/>
      <w:lvlText w:val="(%1)"/>
      <w:numFmt w:val="lowerLetter"/>
      <w:start w:val="18"/>
    </w:lvl>
  </w:abstractNum>
  <w:abstractNum w:abstractNumId="146">
    <w:nsid w:val="11CCA8BA"/>
    <w:multiLevelType w:val="hybridMultilevel"/>
    <w:lvl w:ilvl="0">
      <w:lvlJc w:val="left"/>
      <w:lvlText w:val="(%1)"/>
      <w:numFmt w:val="lowerRoman"/>
      <w:start w:val="10"/>
    </w:lvl>
  </w:abstractNum>
  <w:abstractNum w:abstractNumId="147">
    <w:nsid w:val="4D32AB86"/>
    <w:multiLevelType w:val="hybridMultilevel"/>
    <w:lvl w:ilvl="0">
      <w:lvlJc w:val="left"/>
      <w:lvlText w:val="%1."/>
      <w:numFmt w:val="decimal"/>
      <w:start w:val="2"/>
    </w:lvl>
  </w:abstractNum>
  <w:abstractNum w:abstractNumId="148">
    <w:nsid w:val="3F07ACC3"/>
    <w:multiLevelType w:val="hybridMultilevel"/>
    <w:lvl w:ilvl="0">
      <w:lvlJc w:val="left"/>
      <w:lvlText w:val="(%1)"/>
      <w:numFmt w:val="lowerLetter"/>
      <w:start w:val="1"/>
    </w:lvl>
  </w:abstractNum>
  <w:abstractNum w:abstractNumId="149">
    <w:nsid w:val="6B47F63E"/>
    <w:multiLevelType w:val="hybridMultilevel"/>
    <w:lvl w:ilvl="0">
      <w:lvlJc w:val="left"/>
      <w:lvlText w:val="(%1)"/>
      <w:numFmt w:val="lowerLetter"/>
      <w:start w:val="1"/>
    </w:lvl>
  </w:abstractNum>
  <w:abstractNum w:abstractNumId="150">
    <w:nsid w:val="5CB44A05"/>
    <w:multiLevelType w:val="hybridMultilevel"/>
    <w:lvl w:ilvl="0">
      <w:lvlJc w:val="left"/>
      <w:lvlText w:val="%1"/>
      <w:numFmt w:val="decimal"/>
      <w:start w:val="1"/>
    </w:lvl>
    <w:lvl w:ilvl="1">
      <w:lvlJc w:val="left"/>
      <w:lvlText w:val="(%2)"/>
      <w:numFmt w:val="lowerLetter"/>
      <w:start w:val="5"/>
    </w:lvl>
  </w:abstractNum>
  <w:abstractNum w:abstractNumId="151">
    <w:nsid w:val="16CF80F1"/>
    <w:multiLevelType w:val="hybridMultilevel"/>
    <w:lvl w:ilvl="0">
      <w:lvlJc w:val="left"/>
      <w:lvlText w:val="%1."/>
      <w:numFmt w:val="decimal"/>
      <w:start w:val="5"/>
    </w:lvl>
    <w:lvl w:ilvl="1">
      <w:lvlJc w:val="left"/>
      <w:lvlText w:val="(%2)"/>
      <w:numFmt w:val="lowerLetter"/>
      <w:start w:val="1"/>
    </w:lvl>
  </w:abstractNum>
  <w:abstractNum w:abstractNumId="152">
    <w:nsid w:val="1C695DEC"/>
    <w:multiLevelType w:val="hybridMultilevel"/>
    <w:lvl w:ilvl="0">
      <w:lvlJc w:val="left"/>
      <w:lvlText w:val="%1"/>
      <w:numFmt w:val="decimal"/>
      <w:start w:val="1"/>
    </w:lvl>
    <w:lvl w:ilvl="1">
      <w:lvlJc w:val="left"/>
      <w:lvlText w:val="(%2)"/>
      <w:numFmt w:val="lowerLetter"/>
      <w:start w:val="2"/>
    </w:lvl>
  </w:abstractNum>
  <w:abstractNum w:abstractNumId="153">
    <w:nsid w:val="3FCFAED9"/>
    <w:multiLevelType w:val="hybridMultilevel"/>
    <w:lvl w:ilvl="0">
      <w:lvlJc w:val="left"/>
      <w:lvlText w:val="%1."/>
      <w:numFmt w:val="decimal"/>
      <w:start w:val="7"/>
    </w:lvl>
    <w:lvl w:ilvl="1">
      <w:lvlJc w:val="left"/>
      <w:lvlText w:val="(%2)"/>
      <w:numFmt w:val="lowerLetter"/>
      <w:start w:val="1"/>
    </w:lvl>
  </w:abstractNum>
  <w:abstractNum w:abstractNumId="154">
    <w:nsid w:val="F856867"/>
    <w:multiLevelType w:val="hybridMultilevel"/>
    <w:lvl w:ilvl="0">
      <w:lvlJc w:val="left"/>
      <w:lvlText w:val="%1."/>
      <w:numFmt w:val="decimal"/>
      <w:start w:val="8"/>
    </w:lvl>
  </w:abstractNum>
  <w:abstractNum w:abstractNumId="155">
    <w:nsid w:val="11B1CC33"/>
    <w:multiLevelType w:val="hybridMultilevel"/>
    <w:lvl w:ilvl="0">
      <w:lvlJc w:val="left"/>
      <w:lvlText w:val="%1."/>
      <w:numFmt w:val="decimal"/>
      <w:start w:val="1"/>
    </w:lvl>
  </w:abstractNum>
  <w:abstractNum w:abstractNumId="156">
    <w:nsid w:val="2E22FBB7"/>
    <w:multiLevelType w:val="hybridMultilevel"/>
    <w:lvl w:ilvl="0">
      <w:lvlJc w:val="left"/>
      <w:lvlText w:val="%1"/>
      <w:numFmt w:val="lowerLetter"/>
      <w:start w:val="1"/>
    </w:lvl>
    <w:lvl w:ilvl="1">
      <w:lvlJc w:val="left"/>
      <w:lvlText w:val="(%2)"/>
      <w:numFmt w:val="lowerLetter"/>
      <w:start w:val="1"/>
    </w:lvl>
  </w:abstractNum>
  <w:abstractNum w:abstractNumId="157">
    <w:nsid w:val="29934699"/>
    <w:multiLevelType w:val="hybridMultilevel"/>
    <w:lvl w:ilvl="0">
      <w:lvlJc w:val="left"/>
      <w:lvlText w:val="(%1)"/>
      <w:numFmt w:val="lowerLetter"/>
      <w:start w:val="61"/>
    </w:lvl>
    <w:lvl w:ilvl="1">
      <w:lvlJc w:val="left"/>
      <w:lvlText w:val="(%2)"/>
      <w:numFmt w:val="lowerLetter"/>
      <w:start w:val="2"/>
    </w:lvl>
  </w:abstractNum>
  <w:abstractNum w:abstractNumId="158">
    <w:nsid w:val="77485850"/>
    <w:multiLevelType w:val="hybridMultilevel"/>
    <w:lvl w:ilvl="0">
      <w:lvlJc w:val="left"/>
      <w:lvlText w:val="(%1)"/>
      <w:numFmt w:val="lowerLetter"/>
      <w:start w:val="3"/>
    </w:lvl>
    <w:lvl w:ilvl="1">
      <w:lvlJc w:val="left"/>
      <w:lvlText w:val="(%2)"/>
      <w:numFmt w:val="lowerRoman"/>
      <w:start w:val="1"/>
    </w:lvl>
  </w:abstractNum>
  <w:abstractNum w:abstractNumId="159">
    <w:nsid w:val="744939A3"/>
    <w:multiLevelType w:val="hybridMultilevel"/>
    <w:lvl w:ilvl="0">
      <w:lvlJc w:val="left"/>
      <w:lvlText w:val="(%1)"/>
      <w:numFmt w:val="lowerLetter"/>
      <w:start w:val="5"/>
    </w:lvl>
  </w:abstractNum>
  <w:abstractNum w:abstractNumId="160">
    <w:nsid w:val="4FA0D2E3"/>
    <w:multiLevelType w:val="hybridMultilevel"/>
    <w:lvl w:ilvl="0">
      <w:lvlJc w:val="left"/>
      <w:lvlText w:val="(%1)"/>
      <w:numFmt w:val="lowerLetter"/>
      <w:start w:val="1"/>
    </w:lvl>
  </w:abstractNum>
  <w:abstractNum w:abstractNumId="161">
    <w:nsid w:val="6B1D2C14"/>
    <w:multiLevelType w:val="hybridMultilevel"/>
    <w:lvl w:ilvl="0">
      <w:lvlJc w:val="left"/>
      <w:lvlText w:val="(%1)"/>
      <w:numFmt w:val="lowerLetter"/>
      <w:start w:val="2"/>
    </w:lvl>
  </w:abstractNum>
  <w:abstractNum w:abstractNumId="162">
    <w:nsid w:val="68B867D3"/>
    <w:multiLevelType w:val="hybridMultilevel"/>
    <w:lvl w:ilvl="0">
      <w:lvlJc w:val="left"/>
      <w:lvlText w:val="(%1)"/>
      <w:numFmt w:val="lowerLetter"/>
      <w:start w:val="1"/>
    </w:lvl>
  </w:abstractNum>
  <w:abstractNum w:abstractNumId="163">
    <w:nsid w:val="3F7F5DD9"/>
    <w:multiLevelType w:val="hybridMultilevel"/>
    <w:lvl w:ilvl="0">
      <w:lvlJc w:val="left"/>
      <w:lvlText w:val="(%1)"/>
      <w:numFmt w:val="lowerLetter"/>
      <w:start w:val="1"/>
    </w:lvl>
  </w:abstractNum>
  <w:abstractNum w:abstractNumId="164">
    <w:nsid w:val="2AE05A34"/>
    <w:multiLevelType w:val="hybridMultilevel"/>
    <w:lvl w:ilvl="0">
      <w:lvlJc w:val="left"/>
      <w:lvlText w:val="(%1)"/>
      <w:numFmt w:val="lowerLetter"/>
      <w:start w:val="1"/>
    </w:lvl>
  </w:abstractNum>
  <w:abstractNum w:abstractNumId="165">
    <w:nsid w:val="32794FF7"/>
    <w:multiLevelType w:val="hybridMultilevel"/>
    <w:lvl w:ilvl="0">
      <w:lvlJc w:val="left"/>
      <w:lvlText w:val="(%1)"/>
      <w:numFmt w:val="lowerLetter"/>
      <w:start w:val="1"/>
    </w:lvl>
  </w:abstractNum>
  <w:abstractNum w:abstractNumId="166">
    <w:nsid w:val="5454945E"/>
    <w:multiLevelType w:val="hybridMultilevel"/>
    <w:lvl w:ilvl="0">
      <w:lvlJc w:val="left"/>
      <w:lvlText w:val="%1"/>
      <w:numFmt w:val="decimal"/>
      <w:start w:val="1"/>
    </w:lvl>
    <w:lvl w:ilvl="1">
      <w:lvlJc w:val="left"/>
      <w:lvlText w:val="(%2)"/>
      <w:numFmt w:val="lowerLetter"/>
      <w:start w:val="1"/>
    </w:lvl>
  </w:abstractNum>
  <w:abstractNum w:abstractNumId="167">
    <w:nsid w:val="4DEFDFA0"/>
    <w:multiLevelType w:val="hybridMultilevel"/>
    <w:lvl w:ilvl="0">
      <w:lvlJc w:val="left"/>
      <w:lvlText w:val="(%1)"/>
      <w:numFmt w:val="decimal"/>
      <w:start w:val="60"/>
    </w:lvl>
    <w:lvl w:ilvl="1">
      <w:lvlJc w:val="left"/>
      <w:lvlText w:val="%2"/>
      <w:numFmt w:val="lowerLetter"/>
      <w:start w:val="1"/>
    </w:lvl>
  </w:abstractNum>
  <w:abstractNum w:abstractNumId="168">
    <w:nsid w:val="2123D5F2"/>
    <w:multiLevelType w:val="hybridMultilevel"/>
    <w:lvl w:ilvl="0">
      <w:lvlJc w:val="left"/>
      <w:lvlText w:val="(%1)"/>
      <w:numFmt w:val="lowerLetter"/>
      <w:start w:val="2"/>
    </w:lvl>
  </w:abstractNum>
  <w:abstractNum w:abstractNumId="169">
    <w:nsid w:val="135B8110"/>
    <w:multiLevelType w:val="hybridMultilevel"/>
    <w:lvl w:ilvl="0">
      <w:lvlJc w:val="left"/>
      <w:lvlText w:val="(%1)"/>
      <w:numFmt w:val="lowerLetter"/>
      <w:start w:val="1"/>
    </w:lvl>
  </w:abstractNum>
  <w:abstractNum w:abstractNumId="170">
    <w:nsid w:val="94927A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2019-12-03T13:45:49Z</dcterms:created>
  <dcterms:modified xsi:type="dcterms:W3CDTF">2019-12-03T13:45:49Z</dcterms:modified>
</cp:coreProperties>
</file>