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November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November 15, 2016, announcing its financial results for the third quarter ended September 30, 2016.</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GAAP financial statements in this Form 6-K of the registrant are incorporated by reference into the Registration Statement on Forms F-3 (File No. 333-209960) and Forms S-8 (File Nos.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November 15, 2016, announcing its financial results for the third quarter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 Dr. Tomer Berkovitz</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6"/>
                <w:szCs w:val="16"/>
                <w:color w:val="auto"/>
              </w:rPr>
            </w:pPr>
          </w:p>
        </w:tc>
        <w:tc>
          <w:tcPr>
            <w:tcW w:w="43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Dr. Tomer Berkovitz</w:t>
            </w:r>
          </w:p>
        </w:tc>
      </w:tr>
      <w:tr>
        <w:trPr>
          <w:trHeight w:val="230"/>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Chief Financial Officer and Chief Operating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19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Media Inquiries</w:t>
            </w:r>
          </w:p>
        </w:tc>
        <w:tc>
          <w:tcPr>
            <w:tcW w:w="212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19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2120" w:type="dxa"/>
            <w:vAlign w:val="bottom"/>
          </w:tcPr>
          <w:p>
            <w:pPr>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19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Mike Beyer</w:t>
            </w:r>
          </w:p>
        </w:tc>
        <w:tc>
          <w:tcPr>
            <w:tcW w:w="212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3940" w:type="dxa"/>
            <w:vAlign w:val="bottom"/>
            <w:gridSpan w:val="2"/>
          </w:tcPr>
          <w:p>
            <w:pPr>
              <w:ind w:left="1920"/>
              <w:spacing w:after="0"/>
              <w:rPr>
                <w:sz w:val="20"/>
                <w:szCs w:val="20"/>
                <w:color w:val="auto"/>
              </w:rPr>
            </w:pPr>
            <w:r>
              <w:rPr>
                <w:rFonts w:ascii="Arial" w:cs="Arial" w:eastAsia="Arial" w:hAnsi="Arial"/>
                <w:sz w:val="18"/>
                <w:szCs w:val="18"/>
                <w:color w:val="auto"/>
              </w:rPr>
              <w:t>312-961-2502</w:t>
            </w:r>
          </w:p>
        </w:tc>
        <w:tc>
          <w:tcPr>
            <w:tcW w:w="18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Pr>
          <w:p>
            <w:pPr>
              <w:spacing w:after="0" w:line="190" w:lineRule="exact"/>
              <w:rPr>
                <w:sz w:val="20"/>
                <w:szCs w:val="20"/>
                <w:color w:val="auto"/>
              </w:rPr>
            </w:pPr>
            <w:r>
              <w:rPr>
                <w:rFonts w:ascii="Arial" w:cs="Arial" w:eastAsia="Arial" w:hAnsi="Arial"/>
                <w:sz w:val="18"/>
                <w:szCs w:val="18"/>
                <w:color w:val="0000FF"/>
                <w:w w:val="91"/>
              </w:rPr>
              <w:t>mrice@lifesciadvisors.com</w:t>
            </w:r>
          </w:p>
        </w:tc>
        <w:tc>
          <w:tcPr>
            <w:tcW w:w="1920" w:type="dxa"/>
            <w:vAlign w:val="bottom"/>
          </w:tcPr>
          <w:p>
            <w:pPr>
              <w:spacing w:after="0"/>
              <w:rPr>
                <w:sz w:val="16"/>
                <w:szCs w:val="16"/>
                <w:color w:val="auto"/>
              </w:rPr>
            </w:pPr>
          </w:p>
        </w:tc>
        <w:tc>
          <w:tcPr>
            <w:tcW w:w="3880" w:type="dxa"/>
            <w:vAlign w:val="bottom"/>
            <w:gridSpan w:val="2"/>
          </w:tcPr>
          <w:p>
            <w:pPr>
              <w:spacing w:after="0" w:line="190" w:lineRule="exact"/>
              <w:rPr>
                <w:sz w:val="20"/>
                <w:szCs w:val="20"/>
                <w:color w:val="auto"/>
              </w:rPr>
            </w:pPr>
            <w:r>
              <w:rPr>
                <w:rFonts w:ascii="Arial" w:cs="Arial" w:eastAsia="Arial" w:hAnsi="Arial"/>
                <w:sz w:val="18"/>
                <w:szCs w:val="18"/>
                <w:color w:val="0000FF"/>
              </w:rPr>
              <w:t>mikebeyer@sambrown.com</w:t>
            </w:r>
          </w:p>
        </w:tc>
        <w:tc>
          <w:tcPr>
            <w:tcW w:w="2120" w:type="dxa"/>
            <w:vAlign w:val="bottom"/>
          </w:tcPr>
          <w:p>
            <w:pPr>
              <w:spacing w:after="0" w:line="190" w:lineRule="exact"/>
              <w:rPr>
                <w:sz w:val="20"/>
                <w:szCs w:val="20"/>
                <w:color w:val="auto"/>
              </w:rPr>
            </w:pPr>
            <w:r>
              <w:rPr>
                <w:rFonts w:ascii="Arial" w:cs="Arial" w:eastAsia="Arial" w:hAnsi="Arial"/>
                <w:sz w:val="18"/>
                <w:szCs w:val="18"/>
                <w:color w:val="0000FF"/>
                <w:w w:val="88"/>
              </w:rPr>
              <w:t>debbie@alcobra-pharma.com</w:t>
            </w:r>
          </w:p>
        </w:tc>
      </w:tr>
      <w:tr>
        <w:trPr>
          <w:trHeight w:val="20"/>
        </w:trPr>
        <w:tc>
          <w:tcPr>
            <w:tcW w:w="19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THIRD QUARTER 2016 FINANCIAL RESULTS AND PROVIDES CORPORATE UPDATE</w:t>
      </w:r>
    </w:p>
    <w:p>
      <w:pPr>
        <w:spacing w:after="0" w:line="229"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&amp; Webcast November 15th at 8:30 a.m. Eastern Time/5:30 a.m. Pacific Time</w:t>
      </w:r>
    </w:p>
    <w:p>
      <w:pPr>
        <w:spacing w:after="0" w:line="22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Tel Aviv, Israel – November 15, 2016 – </w:t>
      </w:r>
      <w:r>
        <w:rPr>
          <w:rFonts w:ascii="Arial" w:cs="Arial" w:eastAsia="Arial" w:hAnsi="Arial"/>
          <w:sz w:val="17"/>
          <w:szCs w:val="17"/>
          <w:color w:val="auto"/>
        </w:rPr>
        <w:t>Alcobra Ltd. (NasdaqGM: ADHD), an emerging pharmaceutical company focused on the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medications to treat patients with cognitive disorders, including Attention Deficit Hyperactivity Disorder (ADHD) and Fragile X Syndrome, today announced financial results for the three and nine months ended September 30, 2016, and provided a corporate update.&amp;&amp;&amp;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Ended September 30, 2016 Financial Results: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third quarter 2016 were $7.9 million, compared to $4.3 million in the third quarter 2015.</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expenses, excluding non-cash stock based compensation of $0.6 million, in the third quarter 2016 were $7.3 million, compared with $3.7 million in the third quarter 2015.</w:t>
      </w:r>
    </w:p>
    <w:p>
      <w:pPr>
        <w:ind w:left="340" w:right="42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Research and development (R&amp;D) expenses in the third quarter 2016 were $6.4 million, compared with $2.9 million in the third quarter 2015. R&amp;D expenses consisted primarily of costs associated with the conduct of our Phase III Adult ADHD clinical study named MEASURE.</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(G&amp;A) expenses in the third quarter 2016 were $1.2 million, similar to the third quarter 2015.</w:t>
      </w:r>
    </w:p>
    <w:p>
      <w:pPr>
        <w:spacing w:after="0" w:line="9"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marketable securities, and deposits totaled $54.3 million at September 30, 2016 compared with $61.1 million at June 30, 2016 and $69.7 million at the end of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Corporate Updates:</w:t>
      </w:r>
    </w:p>
    <w:p>
      <w:pPr>
        <w:spacing w:after="0" w:line="27" w:lineRule="exact"/>
        <w:rPr>
          <w:sz w:val="20"/>
          <w:szCs w:val="20"/>
          <w:color w:val="auto"/>
        </w:rPr>
      </w:pPr>
    </w:p>
    <w:p>
      <w:pPr>
        <w:ind w:left="340" w:right="16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Alcobra paused enrollment and treatment in its MEASURE study following the placement of a full clinical hold by the Division of Psychiatry Products (DPP) of the U.S. Food and Drug Administration. The DPP stated concerns over adverse neurophysiological findings in animal studies and recommended the scheduling of a meeting to discuss human safety data collection in the MDX development program. The DPP did not cite any clinical safety data observed in the MEASURE study or previous clinical studies involving MDX as the basis for their action.</w:t>
      </w:r>
    </w:p>
    <w:p>
      <w:pPr>
        <w:ind w:left="340" w:right="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Alcobra will hold a meeting with the DPP next month to present its proposals to collect additional safety data in its previously planned long-term clinical safety study as well as the MEASURE study.</w:t>
      </w:r>
    </w:p>
    <w:p>
      <w:pPr>
        <w:ind w:left="340" w:right="440" w:hanging="332"/>
        <w:spacing w:after="0" w:line="32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Alcobra will also seek guidance on the possibility of conducting certain analyses of the efficacy data already collected in the MEASURE study. The number of evaluable subjects (n=281) in the MEASURE dataset is comparable to other Phase III adult ADHD studies with approved medications.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Tuesday, November 15, 2016 @ 8:30a.m. Eastern Time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rPr>
              <w:t>Domestic:</w:t>
            </w:r>
          </w:p>
        </w:tc>
        <w:tc>
          <w:tcPr>
            <w:tcW w:w="10000" w:type="dxa"/>
            <w:vAlign w:val="bottom"/>
          </w:tcPr>
          <w:p>
            <w:pPr>
              <w:ind w:left="420"/>
              <w:spacing w:after="0"/>
              <w:rPr>
                <w:sz w:val="20"/>
                <w:szCs w:val="20"/>
                <w:color w:val="auto"/>
              </w:rPr>
            </w:pPr>
            <w:r>
              <w:rPr>
                <w:rFonts w:ascii="Arial" w:cs="Arial" w:eastAsia="Arial" w:hAnsi="Arial"/>
                <w:sz w:val="18"/>
                <w:szCs w:val="18"/>
                <w:color w:val="auto"/>
              </w:rPr>
              <w:t>855-469-0611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International:</w:t>
            </w:r>
          </w:p>
        </w:tc>
        <w:tc>
          <w:tcPr>
            <w:tcW w:w="10000" w:type="dxa"/>
            <w:vAlign w:val="bottom"/>
          </w:tcPr>
          <w:p>
            <w:pPr>
              <w:ind w:left="420"/>
              <w:spacing w:after="0"/>
              <w:rPr>
                <w:sz w:val="20"/>
                <w:szCs w:val="20"/>
                <w:color w:val="auto"/>
              </w:rPr>
            </w:pPr>
            <w:r>
              <w:rPr>
                <w:rFonts w:ascii="Arial" w:cs="Arial" w:eastAsia="Arial" w:hAnsi="Arial"/>
                <w:sz w:val="18"/>
                <w:szCs w:val="18"/>
                <w:color w:val="auto"/>
              </w:rPr>
              <w:t>484-756-4341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Passcode:</w:t>
            </w:r>
          </w:p>
        </w:tc>
        <w:tc>
          <w:tcPr>
            <w:tcW w:w="10000" w:type="dxa"/>
            <w:vAlign w:val="bottom"/>
          </w:tcPr>
          <w:p>
            <w:pPr>
              <w:ind w:left="420"/>
              <w:spacing w:after="0"/>
              <w:rPr>
                <w:sz w:val="20"/>
                <w:szCs w:val="20"/>
                <w:color w:val="auto"/>
              </w:rPr>
            </w:pPr>
            <w:r>
              <w:rPr>
                <w:rFonts w:ascii="Arial" w:cs="Arial" w:eastAsia="Arial" w:hAnsi="Arial"/>
                <w:sz w:val="18"/>
                <w:szCs w:val="18"/>
                <w:color w:val="auto"/>
              </w:rPr>
              <w:t>9001229</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Webcast:</w:t>
            </w:r>
          </w:p>
        </w:tc>
        <w:tc>
          <w:tcPr>
            <w:tcW w:w="10000" w:type="dxa"/>
            <w:vAlign w:val="bottom"/>
          </w:tcPr>
          <w:p>
            <w:pPr>
              <w:ind w:left="420"/>
              <w:spacing w:after="0"/>
              <w:rPr>
                <w:sz w:val="20"/>
                <w:szCs w:val="20"/>
                <w:color w:val="auto"/>
              </w:rPr>
            </w:pPr>
            <w:r>
              <w:rPr>
                <w:rFonts w:ascii="Arial" w:cs="Arial" w:eastAsia="Arial" w:hAnsi="Arial"/>
                <w:sz w:val="18"/>
                <w:szCs w:val="18"/>
                <w:color w:val="0000FF"/>
              </w:rPr>
              <w:t>http://www.alcobra-pharma.com/events.cfm</w:t>
            </w:r>
          </w:p>
        </w:tc>
      </w:tr>
      <w:tr>
        <w:trPr>
          <w:trHeight w:val="216"/>
        </w:trPr>
        <w:tc>
          <w:tcPr>
            <w:tcW w:w="11420" w:type="dxa"/>
            <w:vAlign w:val="bottom"/>
            <w:gridSpan w:val="2"/>
          </w:tcPr>
          <w:p>
            <w:pPr>
              <w:spacing w:after="0"/>
              <w:rPr>
                <w:sz w:val="20"/>
                <w:szCs w:val="20"/>
                <w:color w:val="auto"/>
              </w:rPr>
            </w:pPr>
            <w:r>
              <w:rPr>
                <w:rFonts w:ascii="Arial" w:cs="Arial" w:eastAsia="Arial" w:hAnsi="Arial"/>
                <w:sz w:val="18"/>
                <w:szCs w:val="18"/>
                <w:color w:val="auto"/>
              </w:rPr>
              <w:t>Replays available through November 29, 2016</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Domestic:</w:t>
            </w:r>
          </w:p>
        </w:tc>
        <w:tc>
          <w:tcPr>
            <w:tcW w:w="10000" w:type="dxa"/>
            <w:vAlign w:val="bottom"/>
          </w:tcPr>
          <w:p>
            <w:pPr>
              <w:ind w:left="420"/>
              <w:spacing w:after="0"/>
              <w:rPr>
                <w:sz w:val="20"/>
                <w:szCs w:val="20"/>
                <w:color w:val="auto"/>
              </w:rPr>
            </w:pPr>
            <w:r>
              <w:rPr>
                <w:rFonts w:ascii="Arial" w:cs="Arial" w:eastAsia="Arial" w:hAnsi="Arial"/>
                <w:sz w:val="18"/>
                <w:szCs w:val="18"/>
                <w:color w:val="auto"/>
              </w:rPr>
              <w:t>855-859-2056</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International:</w:t>
            </w:r>
          </w:p>
        </w:tc>
        <w:tc>
          <w:tcPr>
            <w:tcW w:w="10000" w:type="dxa"/>
            <w:vAlign w:val="bottom"/>
          </w:tcPr>
          <w:p>
            <w:pPr>
              <w:ind w:left="420"/>
              <w:spacing w:after="0"/>
              <w:rPr>
                <w:sz w:val="20"/>
                <w:szCs w:val="20"/>
                <w:color w:val="auto"/>
              </w:rPr>
            </w:pPr>
            <w:r>
              <w:rPr>
                <w:rFonts w:ascii="Arial" w:cs="Arial" w:eastAsia="Arial" w:hAnsi="Arial"/>
                <w:sz w:val="18"/>
                <w:szCs w:val="18"/>
                <w:color w:val="auto"/>
              </w:rPr>
              <w:t>404-537-3406</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Passcode:</w:t>
            </w:r>
          </w:p>
        </w:tc>
        <w:tc>
          <w:tcPr>
            <w:tcW w:w="10000" w:type="dxa"/>
            <w:vAlign w:val="bottom"/>
          </w:tcPr>
          <w:p>
            <w:pPr>
              <w:ind w:left="420"/>
              <w:spacing w:after="0"/>
              <w:rPr>
                <w:sz w:val="20"/>
                <w:szCs w:val="20"/>
                <w:color w:val="auto"/>
              </w:rPr>
            </w:pPr>
            <w:r>
              <w:rPr>
                <w:rFonts w:ascii="Arial" w:cs="Arial" w:eastAsia="Arial" w:hAnsi="Arial"/>
                <w:sz w:val="18"/>
                <w:szCs w:val="18"/>
                <w:color w:val="auto"/>
              </w:rPr>
              <w:t>9001229</w:t>
            </w:r>
          </w:p>
        </w:tc>
      </w:tr>
      <w:tr>
        <w:trPr>
          <w:trHeight w:val="675"/>
        </w:trPr>
        <w:tc>
          <w:tcPr>
            <w:tcW w:w="14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MDX (Metadoxine Extended Release), a proprietary drug candidate to treat cognitive disorders including ADHD and Fragile X Syndrome.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press release as well as the content of the Alcobra conference call scheduled for today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MEASURE study, the removal of any safety concerns and any basis thereto, the potential clinical benefit of MDX, expected expenses and sufficiency of capital resources, timing and design of future preclinical and clinical studies and content and timing of discussions with the U.S. Food and Drug Administration and possible positive outcomes of such discussions. In addition, historic results of scientific research do not guarantee that the conclusions of future research would suggest similar conclusions or that historic results referred to in this press release would be interpreted similarly in light of additional research or otherwise. Also, while Alcobra has received Fast Track designation for MDX for the treatment of Fragile X Syndrome, the company cannot guarantee that it will be able to maintain such designation due to reasons within or outside of its control. The forward-looking statements contained or implied in this press release are subject to other risks and uncertainties, including those discussed under the heading "Risk Factors" in Alcobra Ltd.'s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20" w:type="dxa"/>
            <w:vAlign w:val="bottom"/>
            <w:gridSpan w:val="4"/>
          </w:tcPr>
          <w:p>
            <w:pPr>
              <w:jc w:val="center"/>
              <w:ind w:left="90"/>
              <w:spacing w:after="0"/>
              <w:rPr>
                <w:sz w:val="20"/>
                <w:szCs w:val="20"/>
                <w:color w:val="auto"/>
              </w:rPr>
            </w:pPr>
            <w:r>
              <w:rPr>
                <w:rFonts w:ascii="Arial" w:cs="Arial" w:eastAsia="Arial" w:hAnsi="Arial"/>
                <w:sz w:val="18"/>
                <w:szCs w:val="18"/>
                <w:color w:val="auto"/>
                <w:w w:val="95"/>
              </w:rPr>
              <w:t>Alcobra Ltd.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20" w:type="dxa"/>
            <w:vAlign w:val="bottom"/>
            <w:gridSpan w:val="9"/>
          </w:tcPr>
          <w:p>
            <w:pPr>
              <w:jc w:val="center"/>
              <w:ind w:left="2770"/>
              <w:spacing w:after="0"/>
              <w:rPr>
                <w:sz w:val="20"/>
                <w:szCs w:val="20"/>
                <w:color w:val="auto"/>
              </w:rPr>
            </w:pPr>
            <w:r>
              <w:rPr>
                <w:rFonts w:ascii="Arial" w:cs="Arial" w:eastAsia="Arial" w:hAnsi="Arial"/>
                <w:sz w:val="18"/>
                <w:szCs w:val="18"/>
                <w:color w:val="auto"/>
                <w:w w:val="89"/>
              </w:rPr>
              <w:t>Consolidated Statements of Comprehensive Loss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060" w:type="dxa"/>
            <w:vAlign w:val="bottom"/>
            <w:gridSpan w:val="6"/>
          </w:tcPr>
          <w:p>
            <w:pPr>
              <w:jc w:val="center"/>
              <w:ind w:right="80"/>
              <w:spacing w:after="0"/>
              <w:rPr>
                <w:sz w:val="20"/>
                <w:szCs w:val="20"/>
                <w:color w:val="auto"/>
              </w:rPr>
            </w:pPr>
            <w:r>
              <w:rPr>
                <w:rFonts w:ascii="Arial" w:cs="Arial" w:eastAsia="Arial" w:hAnsi="Arial"/>
                <w:sz w:val="18"/>
                <w:szCs w:val="18"/>
                <w:color w:val="auto"/>
                <w:w w:val="88"/>
              </w:rPr>
              <w:t>(In thousands, except per share amounts)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13,944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19,074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Tax on income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7,802</w:t>
            </w:r>
          </w:p>
        </w:tc>
        <w:tc>
          <w:tcPr>
            <w:tcW w:w="1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4,262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18,676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14,562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89"/>
              </w:rPr>
              <w:t>Unrealized loss on available-for-sale marketable securities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4,262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18,679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14,562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Ordinary shares used in computing basic and</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27,562,795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21,181,722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27,562,610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20,796,235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60" w:type="dxa"/>
            <w:vAlign w:val="bottom"/>
            <w:gridSpan w:val="2"/>
          </w:tcPr>
          <w:p>
            <w:pPr>
              <w:jc w:val="right"/>
              <w:ind w:right="2440"/>
              <w:spacing w:after="0"/>
              <w:rPr>
                <w:sz w:val="20"/>
                <w:szCs w:val="20"/>
                <w:color w:val="auto"/>
              </w:rPr>
            </w:pPr>
            <w:r>
              <w:rPr>
                <w:rFonts w:ascii="Arial" w:cs="Arial" w:eastAsia="Arial" w:hAnsi="Arial"/>
                <w:sz w:val="18"/>
                <w:szCs w:val="18"/>
                <w:b w:val="1"/>
                <w:bCs w:val="1"/>
                <w:color w:val="auto"/>
              </w:rPr>
              <w:t>ASSETS</w:t>
            </w:r>
          </w:p>
        </w:tc>
        <w:tc>
          <w:tcPr>
            <w:tcW w:w="148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20"/>
                <w:szCs w:val="20"/>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Available-for-sale marketable securities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14,972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4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52,626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Long-term bank deposits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assets</w:t>
            </w:r>
          </w:p>
        </w:tc>
        <w:tc>
          <w:tcPr>
            <w:tcW w:w="4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4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55,912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Trade payables</w:t>
            </w:r>
          </w:p>
        </w:tc>
        <w:tc>
          <w:tcPr>
            <w:tcW w:w="3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Ordinary shares</w:t>
            </w: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(89,693)</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52,617</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55,912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 from operating activities: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w:t>
            </w:r>
          </w:p>
        </w:tc>
        <w:tc>
          <w:tcPr>
            <w:tcW w:w="3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(7,802)</w:t>
            </w:r>
          </w:p>
        </w:tc>
        <w:tc>
          <w:tcPr>
            <w:tcW w:w="2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(4,262)</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(18,676)</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ind w:left="16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(5,383)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(15,218)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Change in restricted cash</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call redemption of marketable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Proceeds from (investment in) short-term bank deposit</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share capital upon public offering,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Exercise of options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(12,283)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15,093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8,570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16,658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9,970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4"/>
          </w:tcPr>
          <w:p>
            <w:pPr>
              <w:spacing w:after="0" w:line="176" w:lineRule="exact"/>
              <w:rPr>
                <w:sz w:val="20"/>
                <w:szCs w:val="20"/>
                <w:color w:val="auto"/>
              </w:rPr>
            </w:pPr>
            <w:r>
              <w:rPr>
                <w:rFonts w:ascii="Arial" w:cs="Arial" w:eastAsia="Arial" w:hAnsi="Arial"/>
                <w:sz w:val="18"/>
                <w:szCs w:val="18"/>
                <w:color w:val="auto"/>
              </w:rPr>
              <w:t>Non-cash transactions: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2019-12-09T00:09:04Z</dcterms:created>
  <dcterms:modified xsi:type="dcterms:W3CDTF">2019-12-09T00:09:04Z</dcterms:modified>
</cp:coreProperties>
</file>