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40630.htm"/>
      <w:bookmarkStart w:id="1" w:name="ksarct20240630"/>
      <w:bookmarkEnd w:id="0"/>
      <w:bookmarkEnd w:id="1"/>
      <w:r>
        <w:rPr/>
        <w:t> </w:t>
      </w:r>
    </w:p>
    <w:p>
      <w:pPr>
        <w:pStyle w:val="TextBody"/>
        <w:pBdr>
          <w:bottom w:val="double" w:sz="4" w:space="1" w:color="000000"/>
        </w:pBdr>
        <w:bidi w:val="0"/>
        <w:jc w:val="left"/>
        <w:rPr>
          <w:rFonts w:ascii="Times New Roman" w:hAnsi="Times New Roman"/>
          <w:color w:val="000000"/>
          <w:sz w:val="2"/>
        </w:rPr>
      </w:pPr>
      <w:r>
        <w:rPr>
          <w:rFonts w:ascii="Times New Roman" w:hAnsi="Times New Roman"/>
          <w:color w:val="000000"/>
          <w:sz w:val="2"/>
        </w:rPr>
        <w:t>cs</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r>
        <w:trPr/>
        <w:tc>
          <w:tcPr>
            <w:tcW w:w="2386" w:type="dxa"/>
            <w:tcBorders/>
            <w:vAlign w:val="center"/>
          </w:tcPr>
          <w:p>
            <w:pPr>
              <w:pStyle w:val="TableContents"/>
              <w:bidi w:val="0"/>
              <w:jc w:val="center"/>
              <w:rPr/>
            </w:pPr>
            <w:r>
              <w:rPr/>
              <w:t> </w:t>
            </w:r>
          </w:p>
          <w:p>
            <w:pPr>
              <w:pStyle w:val="TableContents"/>
              <w:bidi w:val="0"/>
              <w:jc w:val="center"/>
              <w:rPr>
                <w:rFonts w:ascii="Times New Roman" w:hAnsi="Times New Roman"/>
                <w:b/>
                <w:color w:val="000000"/>
                <w:sz w:val="14"/>
              </w:rPr>
            </w:pPr>
            <w:r>
              <w:rPr>
                <w:rFonts w:ascii="Times New Roman" w:hAnsi="Times New Roman"/>
                <w:b/>
                <w:color w:val="000000"/>
                <w:sz w:val="14"/>
              </w:rPr>
              <w:t>10628 Science Center Drive, Suite 250</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ARCT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2, 2024, the registrant had 27,042,246</w:t>
      </w:r>
      <w:r>
        <w:rPr>
          <w:rFonts w:ascii="Times New Roman" w:hAnsi="Times New Roman"/>
          <w:color w:val="000000"/>
          <w:sz w:val="20"/>
        </w:rPr>
        <w:t xml:space="preserve"> </w:t>
      </w:r>
      <w:r>
        <w:rPr>
          <w:rFonts w:ascii="Times New Roman" w:hAnsi="Times New Roman"/>
          <w:color w:val="000000"/>
          <w:sz w:val="18"/>
        </w:rPr>
        <w:t>shares of voting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8864"/>
        <w:gridCol w:w="512"/>
      </w:tblGrid>
      <w:tr>
        <w:trPr/>
        <w:tc>
          <w:tcPr>
            <w:tcW w:w="829" w:type="dxa"/>
            <w:tcBorders/>
            <w:vAlign w:val="center"/>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rPr>
                <w:t>Condensed Consolidated Balance Sheets as of June 30, 2024 and December 31,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rPr>
                <w:t>Condensed Consolidated Statements of Operations and Comprehensive Loss for the three and six months ended June 30,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rPr>
                <w:t>Condensed Consolidated Statements of Changes in Stockholders’ Equity for the three and six months ended June 30,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rPr>
                <w:t>Condensed Consolidated Statements of Cash Flows for the six months ended June 30, 2024 and 2023</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including our collaboration with Seqirus Inc. (“CSL Seqirus”);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anticipated benefits and success of our collaboration agreement with CSL Seqirus related to the licensure of our STARR</w:t>
      </w:r>
      <w:r>
        <w:rPr>
          <w:rFonts w:ascii="Times New Roman" w:hAnsi="Times New Roman"/>
          <w:color w:val="000000"/>
          <w:sz w:val="13"/>
        </w:rPr>
        <w:t>®</w:t>
      </w:r>
      <w:r>
        <w:rPr>
          <w:color w:val="000000"/>
        </w:rPr>
        <w:t xml:space="preserve"> </w:t>
      </w:r>
      <w:r>
        <w:rPr>
          <w:rFonts w:ascii="Times New Roman" w:hAnsi="Times New Roman"/>
          <w:color w:val="000000"/>
          <w:sz w:val="20"/>
        </w:rPr>
        <w:t>mRNA technology and LUNAR</w:t>
      </w:r>
      <w:r>
        <w:rPr>
          <w:rFonts w:ascii="Times New Roman" w:hAnsi="Times New Roman"/>
          <w:color w:val="000000"/>
          <w:sz w:val="13"/>
        </w:rPr>
        <w:t>®</w:t>
      </w:r>
      <w:r>
        <w:rPr>
          <w:color w:val="000000"/>
        </w:rPr>
        <w:t xml:space="preserve"> </w:t>
      </w:r>
      <w:r>
        <w:rPr>
          <w:rFonts w:ascii="Times New Roman" w:hAnsi="Times New Roman"/>
          <w:color w:val="000000"/>
          <w:sz w:val="20"/>
        </w:rPr>
        <w:t xml:space="preserve">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development activities of the LUNAR-COV19 and LUNAR-FLU programs under our collaboration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COVID-19 vaccine candidates as a booster or primary vaccination series;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clinical data will be sufficient for regulatory approval or completed in time to submit an application for regulatory approval within a particular timeframe;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our ability to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9"/>
        <w:gridCol w:w="146"/>
        <w:gridCol w:w="211"/>
        <w:gridCol w:w="841"/>
        <w:gridCol w:w="166"/>
        <w:gridCol w:w="146"/>
        <w:gridCol w:w="218"/>
        <w:gridCol w:w="875"/>
        <w:gridCol w:w="593"/>
      </w:tblGrid>
      <w:tr>
        <w:trPr/>
        <w:tc>
          <w:tcPr>
            <w:tcW w:w="7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par value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center"/>
              <w:rPr/>
            </w:pPr>
            <w:r>
              <w:rPr/>
              <w:t> </w:t>
            </w:r>
          </w:p>
        </w:tc>
        <w:tc>
          <w:tcPr>
            <w:tcW w:w="593" w:type="dxa"/>
            <w:tcBorders/>
            <w:shd w:fill="CFF0FC" w:val="clear"/>
            <w:vAlign w:val="center"/>
          </w:tcPr>
          <w:p>
            <w:pPr>
              <w:pStyle w:val="TableContents"/>
              <w:bidi w:val="0"/>
              <w:spacing w:before="0" w:after="283"/>
              <w:jc w:val="center"/>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ind w:left="0" w:right="0" w:firstLine="200"/>
              <w:jc w:val="center"/>
              <w:rPr/>
            </w:pPr>
            <w:r>
              <w:rPr/>
              <w:t> </w:t>
            </w:r>
          </w:p>
        </w:tc>
      </w:tr>
      <w:tr>
        <w:trPr/>
        <w:tc>
          <w:tcPr>
            <w:tcW w:w="70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292,005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386,590</w:t>
            </w:r>
          </w:p>
        </w:tc>
        <w:tc>
          <w:tcPr>
            <w:tcW w:w="593" w:type="dxa"/>
            <w:tcBorders/>
            <w:shd w:fill="CFF0FC" w:val="cle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593" w:type="dxa"/>
            <w:tcBorders/>
            <w:shd w:fill="FFFFFF" w:val="cle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593" w:type="dxa"/>
            <w:tcBorders/>
            <w:shd w:fill="CFF0FC" w:val="cle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429,402</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81,989</w:t>
            </w:r>
          </w:p>
        </w:tc>
        <w:tc>
          <w:tcPr>
            <w:tcW w:w="593" w:type="dxa"/>
            <w:tcBorders/>
            <w:shd w:fill="CFF0FC" w:val="cle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42,496</w:t>
            </w:r>
          </w:p>
        </w:tc>
        <w:tc>
          <w:tcPr>
            <w:tcW w:w="593" w:type="dxa"/>
            <w:tcBorders/>
            <w:shd w:fill="FFFFFF" w:val="cle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w:t>
            </w:r>
          </w:p>
        </w:tc>
        <w:tc>
          <w:tcPr>
            <w:tcW w:w="593" w:type="dxa"/>
            <w:tcBorders/>
            <w:shd w:fill="CFF0FC" w:val="cle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150,889</w:t>
            </w:r>
          </w:p>
        </w:tc>
        <w:tc>
          <w:tcPr>
            <w:tcW w:w="593" w:type="dxa"/>
            <w:tcBorders/>
            <w:shd w:fill="CFF0FC" w:val="clear"/>
            <w:vAlign w:val="center"/>
          </w:tcPr>
          <w:p>
            <w:pPr>
              <w:pStyle w:val="TableContents"/>
              <w:bidi w:val="0"/>
              <w:spacing w:before="0" w:after="283"/>
              <w:jc w:val="left"/>
              <w:rPr/>
            </w:pPr>
            <w:r>
              <w:rPr/>
              <w:t> </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w:t>
              <w:br/>
              <w:t>outstanding shares were 27,042 at June 30, 2024 and 26,828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646,352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(367,866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429,402</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166"/>
        <w:gridCol w:w="146"/>
        <w:gridCol w:w="211"/>
        <w:gridCol w:w="781"/>
        <w:gridCol w:w="166"/>
        <w:gridCol w:w="146"/>
        <w:gridCol w:w="211"/>
        <w:gridCol w:w="781"/>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4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104,436</w:t>
            </w:r>
          </w:p>
        </w:tc>
        <w:tc>
          <w:tcPr>
            <w:tcW w:w="591" w:type="dxa"/>
            <w:tcBorders/>
            <w:shd w:fill="FFFFFF" w:val="clear"/>
            <w:vAlign w:val="center"/>
          </w:tcPr>
          <w:p>
            <w:pPr>
              <w:pStyle w:val="TableContents"/>
              <w:bidi w:val="0"/>
              <w:spacing w:before="0" w:after="283"/>
              <w:ind w:left="0" w:right="0" w:firstLine="100"/>
              <w:jc w:val="left"/>
              <w:rPr/>
            </w:pPr>
            <w:r>
              <w:rPr/>
              <w:t> </w:t>
            </w:r>
          </w:p>
        </w:tc>
      </w:tr>
      <w:tr>
        <w:trPr/>
        <w:tc>
          <w:tcPr>
            <w:tcW w:w="46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from foreign currency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59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w:t>
            </w:r>
          </w:p>
        </w:tc>
        <w:tc>
          <w:tcPr>
            <w:tcW w:w="59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100"/>
              <w:jc w:val="left"/>
              <w:rPr/>
            </w:pPr>
            <w:r>
              <w:rPr/>
              <w:t> </w:t>
            </w:r>
          </w:p>
        </w:tc>
      </w:tr>
      <w:tr>
        <w:trPr/>
        <w:tc>
          <w:tcPr>
            <w:tcW w:w="46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(367,866</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278,513</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(26,817</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10,088</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658,628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(394,683</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263,972</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670,455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(411,899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258,583</w:t>
            </w:r>
          </w:p>
        </w:tc>
        <w:tc>
          <w:tcPr>
            <w:tcW w:w="3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9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1"/>
        <w:gridCol w:w="313"/>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270,312</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40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50,754</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616,608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(287,387</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329,248</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(52,550</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9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8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8,383</w:t>
            </w:r>
          </w:p>
        </w:tc>
        <w:tc>
          <w:tcPr>
            <w:tcW w:w="313" w:type="dxa"/>
            <w:tcBorders/>
            <w:shd w:fill="CCECFF" w:val="clear"/>
            <w:vAlign w:val="center"/>
          </w:tcPr>
          <w:p>
            <w:pPr>
              <w:pStyle w:val="TableContents"/>
              <w:bidi w:val="0"/>
              <w:spacing w:before="0" w:after="283"/>
              <w:ind w:left="0" w:right="0" w:firstLine="100"/>
              <w:jc w:val="left"/>
              <w:rPr/>
            </w:pPr>
            <w:r>
              <w:rPr/>
              <w:t> </w:t>
            </w:r>
          </w:p>
        </w:tc>
      </w:tr>
      <w:tr>
        <w:trPr/>
        <w:tc>
          <w:tcPr>
            <w:tcW w:w="4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625,085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(339,937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285,175</w:t>
            </w:r>
          </w:p>
        </w:tc>
        <w:tc>
          <w:tcPr>
            <w:tcW w:w="3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139" w:type="dxa"/>
        <w:jc w:val="left"/>
        <w:tblInd w:w="0" w:type="dxa"/>
        <w:tblLayout w:type="fixed"/>
        <w:tblCellMar>
          <w:top w:w="28" w:type="dxa"/>
          <w:left w:w="28" w:type="dxa"/>
          <w:bottom w:w="28" w:type="dxa"/>
          <w:right w:w="28" w:type="dxa"/>
        </w:tblCellMar>
      </w:tblPr>
      <w:tblGrid>
        <w:gridCol w:w="7186"/>
        <w:gridCol w:w="146"/>
        <w:gridCol w:w="211"/>
        <w:gridCol w:w="781"/>
        <w:gridCol w:w="166"/>
        <w:gridCol w:w="146"/>
        <w:gridCol w:w="211"/>
        <w:gridCol w:w="781"/>
        <w:gridCol w:w="511"/>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non-cash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511" w:type="dxa"/>
            <w:tcBorders/>
            <w:shd w:fill="FFFFFF" w:val="cle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w:t>
            </w:r>
          </w:p>
        </w:tc>
        <w:tc>
          <w:tcPr>
            <w:tcW w:w="51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16" w:type="dxa"/>
        <w:jc w:val="left"/>
        <w:tblInd w:w="0" w:type="dxa"/>
        <w:tblLayout w:type="fixed"/>
        <w:tblCellMar>
          <w:top w:w="28" w:type="dxa"/>
          <w:left w:w="28" w:type="dxa"/>
          <w:bottom w:w="28" w:type="dxa"/>
          <w:right w:w="28" w:type="dxa"/>
        </w:tblCellMar>
      </w:tblPr>
      <w:tblGrid>
        <w:gridCol w:w="4911"/>
        <w:gridCol w:w="146"/>
        <w:gridCol w:w="235"/>
        <w:gridCol w:w="637"/>
        <w:gridCol w:w="162"/>
        <w:gridCol w:w="162"/>
        <w:gridCol w:w="235"/>
        <w:gridCol w:w="637"/>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391" w:type="dxa"/>
            <w:tcBorders/>
            <w:shd w:fill="FFFFFF" w:val="cle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asset disposal</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acquired through operating leases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 in accounts payable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Arcturus Therapeutics Holdings Inc. (the “Company” or "Arcturus") is a global messenger RNA medicines company focused on the development of infectious disease vaccines and significant addressing unmet medical needs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Joint Ventures, Equity Method Investments and Variable Interest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for which the Company exercises significant influence, but does not have control are accounted for under the equity method. Equity method investment activity is related to the Company's joint venture in ARCALIS, Inc. with Axcelead, Inc. (“Axcelead”). The Company’s share of the investee's results is presented as either income or loss from equity-method investment in the accompanying condensed consolidated statements of operations and comprehensive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incurred significant operating losses since its inception. As of June 30, 2024 and December 31, 2023, the Company had an accumulated deficit of $411.9 million and $367.9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June 30, 2024, the Company has funded its operations principally with the proceeds from revenues earned through collaboration agreements, the sale of capital stock, expense reimbursements from government contracts and proceeds from long-term debt. At June 30, 2024, the Company’s balance of cash and cash equivalents, including restricted cash, was $317.2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revenue recognition for arrangements within the scope of ASC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Company’s revenue agreements include license fees, upfront payments, development or regulatory milestone payments, profit-sharing arrangements, reimbursement for research and development activities, option exercise fees, drug substance and drug product supply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collaborative partner and is the unit of account in ASC 606. A contract’s transaction price is allocated to each distinct performance obligation based on relative standalone selling price and recognized as revenue when, or as, the performance obligation is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Revenue” for specific details surrounding the Company’s arrangements.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pStyle w:val="TextBody"/>
        <w:bidi w:val="0"/>
        <w:spacing w:before="120" w:after="283"/>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Note 9, Commitments and Contingencies”</w:t>
      </w:r>
      <w:r>
        <w:rPr>
          <w:rFonts w:ascii="Times New Roman" w:hAnsi="Times New Roman"/>
          <w:color w:val="000000"/>
          <w:sz w:val="20"/>
        </w:rPr>
        <w:t xml:space="preserve"> for specific details surrounding the Company’s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 Costs,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in-process research and development expenses, pre-launch inventory and license agreement expenses. Research and development expenses are presented net of any grants. Payments made prior to the receipt of goods or services to be used in research and development are capitalized until the goods are received or the services are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Pre-Launch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cash includes collateral pledged and held at the Company’s securities accounts pursuant to a security agreement with Wells Fargo Bank, National Association (“Wells Fargo”) (Note 5). At June 30, 2024, such collateral amounted to $55.0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also includes cash required to be set aside as security for lease payments and to maintain a letter of credit for the benefit of the landlord for the Company’s offices. At June 30, 2024 and 2023, the Company had restricted cash of $1.9 million and $2.1 million, respectively, in conjunction with property leases in San Diego, California, and such restriction is expected to be removed at the end of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 as of June 30, 2024 and 2023:</w:t>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3616"/>
        <w:gridCol w:w="146"/>
        <w:gridCol w:w="239"/>
        <w:gridCol w:w="886"/>
        <w:gridCol w:w="146"/>
        <w:gridCol w:w="146"/>
        <w:gridCol w:w="239"/>
        <w:gridCol w:w="88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323,471</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w:t>
              <w:br/>
              <w:t>   cash shown in the statement of cash flows</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for the three and six months ended June 30, 2024 were comprised of stock options and restricted stock units. Dilutive shares of common stock for the three and six months ended June 30, 2023 were comprised of stock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dividends were declared or paid during the reported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during the six months ended June 30, 2024 in the balances of contract assets and liabilities as compared to what was disclosed in the Company’s Annual Report.</w:t>
      </w:r>
    </w:p>
    <w:p>
      <w:pPr>
        <w:pStyle w:val="TextBody"/>
        <w:bidi w:val="0"/>
        <w:jc w:val="left"/>
        <w:rPr/>
      </w:pPr>
      <w:r>
        <w:rPr/>
        <w:t> </w:t>
      </w:r>
    </w:p>
    <w:tbl>
      <w:tblPr>
        <w:tblW w:w="7663" w:type="dxa"/>
        <w:jc w:val="left"/>
        <w:tblInd w:w="0" w:type="dxa"/>
        <w:tblLayout w:type="fixed"/>
        <w:tblCellMar>
          <w:top w:w="28" w:type="dxa"/>
          <w:left w:w="28" w:type="dxa"/>
          <w:bottom w:w="28" w:type="dxa"/>
          <w:right w:w="28" w:type="dxa"/>
        </w:tblCellMar>
      </w:tblPr>
      <w:tblGrid>
        <w:gridCol w:w="1871"/>
        <w:gridCol w:w="146"/>
        <w:gridCol w:w="357"/>
        <w:gridCol w:w="1143"/>
        <w:gridCol w:w="146"/>
        <w:gridCol w:w="146"/>
        <w:gridCol w:w="211"/>
        <w:gridCol w:w="676"/>
        <w:gridCol w:w="146"/>
        <w:gridCol w:w="146"/>
        <w:gridCol w:w="211"/>
        <w:gridCol w:w="736"/>
        <w:gridCol w:w="166"/>
        <w:gridCol w:w="146"/>
        <w:gridCol w:w="267"/>
        <w:gridCol w:w="858"/>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w:t>
            </w:r>
          </w:p>
        </w:tc>
        <w:tc>
          <w:tcPr>
            <w:tcW w:w="291" w:type="dxa"/>
            <w:tcBorders/>
            <w:shd w:fill="FFFFFF" w:val="clear"/>
            <w:vAlign w:val="center"/>
          </w:tcPr>
          <w:p>
            <w:pPr>
              <w:pStyle w:val="TableContents"/>
              <w:bidi w:val="0"/>
              <w:spacing w:before="0" w:after="283"/>
              <w:jc w:val="left"/>
              <w:rPr/>
            </w:pPr>
            <w:r>
              <w:rPr/>
              <w:t> </w:t>
            </w:r>
          </w:p>
        </w:tc>
      </w:tr>
      <w:tr>
        <w:trPr/>
        <w:tc>
          <w:tcPr>
            <w:tcW w:w="1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revenues for the periods indicated.</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2786"/>
        <w:gridCol w:w="146"/>
        <w:gridCol w:w="211"/>
        <w:gridCol w:w="676"/>
        <w:gridCol w:w="146"/>
        <w:gridCol w:w="146"/>
        <w:gridCol w:w="211"/>
        <w:gridCol w:w="571"/>
        <w:gridCol w:w="146"/>
        <w:gridCol w:w="146"/>
        <w:gridCol w:w="211"/>
        <w:gridCol w:w="676"/>
        <w:gridCol w:w="146"/>
        <w:gridCol w:w="146"/>
        <w:gridCol w:w="211"/>
        <w:gridCol w:w="676"/>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Janssen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collaboration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7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89,294</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a $200.0 million upfront payment and is eligible to receive over $1.3 billion in development milestones if all products are registered in the licensed fields and entitled to potentially receive up to $3.0 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 During the second quarter of 2024, the Company achieved a $17.0 million development milestone related to the CSL Collaboration Agreement which was included in accounts receivable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transaction price consisted of upfront consideration received and milestones achieved. Additional variable consideration was not included in the transaction price at June 30, 2024 because the Company could not conclude that it is probable that including the variable consideration will not result in a significant revenue reversal.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second quarter of 2024 relates to the license delivered, milestones achieved and services performed through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June 30, 2024 and December 31, 2023 for the CSL Collaboration Agreement was $53.7 million and $87.1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also received an advance payment of $23.6 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Company recognized $18.0 million in revenue related to this customer option during the second quarter of 2024. No amount related to this customer option remained in deferred revenue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quarter ended June 30, 2024, the Company recognized $3.0 million related to the performance obligation and the remaining amount of $9.8 million is included in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concluded that the promise to perform manufacturing activities is a customer option as part of the CSL Collaboration Agreement and is accounted for as a separate contract. The advance payments are included in deferred revenue as of June 30, 2024 and will be recognized as revenue when the vaccine product is transferred to CSL Seqirus.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BARDA Grant</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$3.9 million and $1.0 million of revenue during the three months ended June 30, 2024 and 2023, respectively. As of June 30, 2024, the remaining available funding net of revenue earned was $44.5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all assets measured at fair value on a recurring basis consisted of cash equivalents and money market funds, which were classified within Level 1 of the fair value hierarchy. The fair value of these financial instruments was measured based on quoted prices.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balances consisted of the following:</w:t>
      </w:r>
    </w:p>
    <w:p>
      <w:pPr>
        <w:pStyle w:val="TextBody"/>
        <w:bidi w:val="0"/>
        <w:jc w:val="both"/>
        <w:rPr/>
      </w:pPr>
      <w:r>
        <w:rPr/>
        <w:t> </w:t>
      </w:r>
    </w:p>
    <w:tbl>
      <w:tblPr>
        <w:tblW w:w="7345" w:type="dxa"/>
        <w:jc w:val="left"/>
        <w:tblInd w:w="0" w:type="dxa"/>
        <w:tblLayout w:type="fixed"/>
        <w:tblCellMar>
          <w:top w:w="28" w:type="dxa"/>
          <w:left w:w="28" w:type="dxa"/>
          <w:bottom w:w="28" w:type="dxa"/>
          <w:right w:w="28" w:type="dxa"/>
        </w:tblCellMar>
      </w:tblPr>
      <w:tblGrid>
        <w:gridCol w:w="4051"/>
        <w:gridCol w:w="146"/>
        <w:gridCol w:w="250"/>
        <w:gridCol w:w="875"/>
        <w:gridCol w:w="166"/>
        <w:gridCol w:w="146"/>
        <w:gridCol w:w="357"/>
        <w:gridCol w:w="1143"/>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16,046</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21,167</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was $0.9 million and $1.8 million for the three and six months ended June 30, 2024, respectively, and $0.7 million and $1.3 million for the three and six months ended June 30, 2023, respectively. Construction in progress is primarily comprised of research equipment not yet placed in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7440" w:type="dxa"/>
        <w:jc w:val="left"/>
        <w:tblInd w:w="0" w:type="dxa"/>
        <w:tblLayout w:type="fixed"/>
        <w:tblCellMar>
          <w:top w:w="28" w:type="dxa"/>
          <w:left w:w="28" w:type="dxa"/>
          <w:bottom w:w="28" w:type="dxa"/>
          <w:right w:w="28" w:type="dxa"/>
        </w:tblCellMar>
      </w:tblPr>
      <w:tblGrid>
        <w:gridCol w:w="4186"/>
        <w:gridCol w:w="146"/>
        <w:gridCol w:w="267"/>
        <w:gridCol w:w="858"/>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Vinbiocare contractual liabilities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Wells Fargo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wholly-owned subsidiary, Arcturus Therapeutics, Inc. (“Arcturus Therapeutics”) entered into a credit agreement with Wells Fargo Bank on April 21, 2023, and amended on June 26, 2024, whereby Wells Fargo will make a $50.0 million revolving credit line available to the Company (the “Loan”) and each draw on the Loan evidenced by a revolving line of credit note (the “Note”).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at the Company’s securities accounts with Wells Fargo Securities, LLC, an affiliate of Wells Fargo, pursuant to a security agreement. In June 2024, Arcturus Therapeutics and Wells Fargo entered into an amendment to the Note, whereby the term of the Note was extended by one year to April 2026. No borrowings were outstanding as of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Stockholders’ Equity</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that were not included in the calculation of diluted net loss per share for the three and six months ended June 30, 2024 as they were anti-dilutive totaled 1.1 million and 1.3 million, respectively, and 1.0 million and 0.8 million for the three and six months ended June 30,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2022, the Company entered into a Controlled Equity Offering℠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$200,000,000 from time to time through Cantor, Wells Fargo Securities, or William Blair, each acting as the Company's sales agent. During the period ended June 30, 2024 the Company did not offer or sell any shares of common stock pursuant to the Sales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June 30, 2024, following the 2024 Annual Meeting, a total of 2,236,360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June 30, 2024, a total of 124,697 shares remain available for future issuance under the 2021 Plan, subject to the terms of the 2021 Plan.</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included in the Company’s condensed consolidated statements of operations and comprehensive loss for the three and six months ended June 30, 2024 and 2023 was as follows: </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371"/>
        <w:gridCol w:w="146"/>
        <w:gridCol w:w="211"/>
        <w:gridCol w:w="571"/>
        <w:gridCol w:w="146"/>
        <w:gridCol w:w="146"/>
        <w:gridCol w:w="146"/>
        <w:gridCol w:w="211"/>
        <w:gridCol w:w="571"/>
        <w:gridCol w:w="146"/>
        <w:gridCol w:w="146"/>
        <w:gridCol w:w="146"/>
        <w:gridCol w:w="211"/>
        <w:gridCol w:w="676"/>
        <w:gridCol w:w="146"/>
        <w:gridCol w:w="146"/>
        <w:gridCol w:w="146"/>
        <w:gridCol w:w="211"/>
        <w:gridCol w:w="67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1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is due to federal and state income tax expense offset by valuation allowance on the Company's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2024, the Company recorded $(0.2) million and $0.2 million of income tax expense, respectively. For the three and six months ended June 30, 2023, the Company recorded $0.6 million and $0.7 million of income tax expense, respectively. No tax benefit was provided for losses incurred in United States because those losses are offset by a full valuation allowance.</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25, 2023, the Company amended its Development Program Letter Agreement, dated May 16, 2017 and as amended July 13, 2018 and August 1, 2019, with the Cystic Fibrosis Foundation (“CFF”). Pursuant to the amendment, CFF increased the amount it will award to advance LUNAR-CF to $24.6 million from approximately $15.6 million and the Company agreed to incur at least $15.0 million toward activities under the research plan. Total contra expense of $0.8 million was recognized during the three and six months ended June 30, 2024. For the three and six months ended June 30, 2023, the Company recognized no contra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to the agreement. As of June 30, 2024 and December 31, 2023, $6.9 million and $7.6 million, respectively, remained in accrued liabilities.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Because Arcturus was still engaged in the lease for the property and obligated to make the remaining lease payment through March 31, 2025, the Company recorded an impairment loss in the amount of $1.3 million during the three months ended March 31, 2024, as it would not receive any future economic benefit from the lease. In July 2024, the Company terminated the existing lease agreement, in accordance with its terms, thereby ending their contractual obligation to pay for premise.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remaining payments of the operating lease liability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pPr>
            <w:r>
              <w:rPr/>
              <w:t> </w:t>
            </w:r>
          </w:p>
        </w:tc>
        <w:tc>
          <w:tcPr>
            <w:tcW w:w="1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pPr>
            <w:r>
              <w:rPr/>
              <w:t> </w:t>
            </w:r>
          </w:p>
        </w:tc>
        <w:tc>
          <w:tcPr>
            <w:tcW w:w="1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36,834</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righ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pPr>
            <w:r>
              <w:rPr/>
              <w:t> </w:t>
            </w:r>
          </w:p>
        </w:tc>
        <w:tc>
          <w:tcPr>
            <w:tcW w:w="1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liability and are recorded on a straight-line basis over the lease terms. Operating lease costs were $1.5 million and $2.9 million for the three and six months ended June 30, 2024, respectively, and $1.4 million and $2.8 million for the three and six months ended June 30,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Joint Ventures, Equity Method Investments and Variable Interest Entities” for specific details surrounding the Company’s agreement with Axcelead to form the joint venture entity, ARCALIS, Inc.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is a discussion of the financial condition and results of operations of Arcturus Therapeutics Holdings Inc. for the three and six month periods ended June 30, 2024.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2023 (the “2023 Annual Report”), which was filed with the U.S. Securities and Exchange Commission (the “Commission”) on March 14, 2024. Unless otherwise defined herein, capitalized words and expressions used herein shall have the same meanings ascribed to them in the 2023 Annual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global messenger RNA medicines company focused on the development of infectious disease vaccines and opportunities within liver and respiratory rare diseases. In addition to our messenger RNA (“mRNA”) platform, our proprietary lipid nanoparticle (“LNP”) delivery system, LUNAR</w:t>
      </w:r>
      <w:r>
        <w:rPr>
          <w:rFonts w:ascii="Times New Roman" w:hAnsi="Times New Roman"/>
          <w:color w:val="000000"/>
          <w:sz w:val="13"/>
        </w:rPr>
        <w:t>®</w:t>
      </w:r>
      <w:r>
        <w:rPr>
          <w:rFonts w:ascii="Times New Roman" w:hAnsi="Times New Roman"/>
          <w:color w:val="000000"/>
          <w:sz w:val="20"/>
        </w:rPr>
        <w:t>, may enable multiple nucleic acid medicines. Our proprietary self-amplifying mRNA technology (STARR</w:t>
      </w:r>
      <w:r>
        <w:rPr>
          <w:rFonts w:ascii="Times New Roman" w:hAnsi="Times New Roman"/>
          <w:color w:val="000000"/>
          <w:sz w:val="13"/>
        </w:rPr>
        <w:t>®</w:t>
      </w:r>
      <w:r>
        <w:rPr>
          <w:rFonts w:ascii="Times New Roman" w:hAnsi="Times New Roman"/>
          <w:color w:val="000000"/>
          <w:sz w:val="20"/>
        </w:rPr>
        <w:t xml:space="preserve"> technology) provides a longer-lasting and broader response at lower dose levels than conventional mRNA. In 2023, our COVID-19 vaccine, ARCT-154 (also referred to as Kostaive</w:t>
      </w:r>
      <w:r>
        <w:rPr>
          <w:rFonts w:ascii="Times New Roman" w:hAnsi="Times New Roman"/>
          <w:color w:val="000000"/>
          <w:sz w:val="13"/>
        </w:rPr>
        <w:t>®</w:t>
      </w:r>
      <w:r>
        <w:rPr>
          <w:rFonts w:ascii="Times New Roman" w:hAnsi="Times New Roman"/>
          <w:color w:val="000000"/>
          <w:sz w:val="20"/>
        </w:rPr>
        <w:t xml:space="preserve">), received marketing authorization approval in Japan and became the world’s first approved self-amplifying RNA (sa-mRNA) vaccine.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00" w:after="283"/>
        <w:jc w:val="left"/>
        <w:rPr>
          <w:rFonts w:ascii="Times New Roman" w:hAnsi="Times New Roman"/>
          <w:sz w:val="20"/>
        </w:rPr>
      </w:pPr>
      <w:r>
        <w:rPr>
          <w:rFonts w:ascii="Times New Roman" w:hAnsi="Times New Roman"/>
          <w:b/>
          <w:color w:val="000000"/>
          <w:sz w:val="20"/>
        </w:rPr>
        <w:t>Vaccine Collaboration with CSL Seqirus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 delivery platform technologies. Under the framework of our collaboration with CSL Seqirus, we continue the development of the COVID-19 vaccine to establish a differentiated platform and address routine recommendations for periodic vaccine composition updates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ARCT-154, our self-amplifying RNA (sa-mRNA) vaccine, received marketing authorization approval from the Japanese Ministry of Health, Labour and Welfare for use as a primary immunization and booster in Japan. The approval was based on positive clinical data from several ARCT-154 studies, including the pivotal 19,000 subject efficacy, safety and immunogenicity study performed in Vietnam as well as the pivotal Phase 3 booster study in Japan.</w:t>
      </w:r>
    </w:p>
    <w:p>
      <w:pPr>
        <w:pStyle w:val="TextBody"/>
        <w:bidi w:val="0"/>
        <w:spacing w:before="120" w:after="283"/>
        <w:jc w:val="left"/>
        <w:rPr>
          <w:rFonts w:ascii="Times New Roman" w:hAnsi="Times New Roman"/>
          <w:sz w:val="20"/>
        </w:rPr>
      </w:pPr>
      <w:r>
        <w:rPr>
          <w:rFonts w:ascii="Times New Roman" w:hAnsi="Times New Roman"/>
          <w:color w:val="000000"/>
          <w:sz w:val="20"/>
        </w:rPr>
        <w:t>In May 2024, we announced that Nature Communications published results from the 19,000 subject study performed in Vietnam, with results demonstrating that two 5µg doses of ARCT-154 were well-tolerated, immunogenic and provided significant protection against multiple strains of COVID-19. The Japanese Pharmaceuticals and Medical Devices Agency (PMDA) is currently reviewing a partial change application to update our COVID-19 vaccine (Kostaive</w:t>
      </w:r>
      <w:r>
        <w:rPr>
          <w:rFonts w:ascii="Times New Roman" w:hAnsi="Times New Roman"/>
          <w:color w:val="000000"/>
          <w:sz w:val="13"/>
        </w:rPr>
        <w:t>®</w:t>
      </w:r>
      <w:r>
        <w:rPr>
          <w:rFonts w:ascii="Times New Roman" w:hAnsi="Times New Roman"/>
          <w:color w:val="000000"/>
          <w:sz w:val="20"/>
        </w:rPr>
        <w:t>) with the JN.1 Variant of Concern. The European Medicines Agency (EMA) is currently reviewing a marketing authorization application for ARCT-154. The review procedure started on August 17,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collect data from the various ongoing studies described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Key Updates on Our COVID Collaboration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Pivotal Phase 3 Non-Inferiority Study of ARCT-154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Holdings Co., Ltd. (“Meiji”) sponsored a randomized, multicenter, Phase 3, observer-blind, active-controlled comparative study to evaluate the safety and immunogenicity of a booster dose of ARCT-154 and to evaluate the non-inferiority of ARCT-154 over COMIRNATY (Monovalent, Original strain). The study targeted a total of 780 adult participants, with half in the ARCT-154 group and half in a comparator group, and completed enrollment with 828 participants in February 2023. As previously announced, the study met all primary and secondary immunogenicity endpoints, including a secondary pre-defined superiority assessment over COMIRNATY (Omicron BA.4/5 strain). Overall, the safety and immunogenicity results of the study support the favorable benefit/risk profile of the ARCT-154 vaccine when administered as a booster dose in adult individuals who previously received other mRNA COVID-19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 2024, the journal Lancet Infectious Diseases published the article ‘Persistence of immune responses of a self-amplifying RNA COVID-19 vaccine (ARCT154) versus BNT162b2’ (https://www.thelancet.com/journals/laninf/article/PIIS1473-3099(24)00060-4/fulltext), with 6-month follow-up results from this study. These additional data demonstrate the extended persistence of neutralizing antibodies after ARCT-154 compared with conventional mRNA vaccine in the clinical setting, indicating longer-lasting immunity and implying a longer duration of protection by ARCT-154.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Phase 3 Study of Bivalent Version of COVID-19 Vaccine Candidate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29, 2023, Meiji initiated an additional Phase 3 clinical study with a bivalent version of our COVID-19 vaccine candidate (ARCT-2301, which combines ancestral strain, ARCT-154 and Omicron BA.4/5) to further support immunogenicity and safety data for our self-amplifying mRNA platform, which may facilitate the timely release of future seasonal updates of our COVID-19 vaccine against evolving variants of concern. On March 19, 2024, Meiji announced that the bivalent vaccine met the primary endpoint (non-inferiority) in the study. The study enrolled 930 healthy adults and individuals with comorbidities, who previously received three to five doses of mRNA COVID-19 vaccines, including the last booster at least three months prior to recruitment. The study compares the investigational vaccine (ARCT-2301) and COMIRNATY (ancestral strain and BA.4/5), to evaluate safety and immunogenicity between observer-blind groups. Both the geometric mean titer (GMT) ratio and seroresponse rate (SRR) difference of neutralizing antibodies against SARS-CoV-2 (Omicron strain BA.4/5) met non-inferiority criteria. In addition, the superiority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ARCT-2301 to COMIRNATY (BA.4/5) was confirmed for both SARS-CoV-2 (Omicron strain BA.4/5 and Wuhan strain). There were no causally-associated severe or serious adverse events with ARCT-2301.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this study of the bivalent version of our COVID-19 vaccine candidate were not required for approval of ARCT-154 in Japan but will facilitate the timely release of future seasonal updates of the COVID-19 vaccine.</w:t>
      </w:r>
    </w:p>
    <w:p>
      <w:pPr>
        <w:pStyle w:val="TextBody"/>
        <w:bidi w:val="0"/>
        <w:spacing w:before="120" w:after="283"/>
        <w:jc w:val="center"/>
        <w:rPr/>
      </w:pPr>
      <w:r>
        <w:rPr/>
        <w:drawing>
          <wp:inline distT="0" distB="0" distL="0" distR="0">
            <wp:extent cx="6315075" cy="473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15075" cy="4733925"/>
                    </a:xfrm>
                    <a:prstGeom prst="rect">
                      <a:avLst/>
                    </a:prstGeom>
                  </pic:spPr>
                </pic:pic>
              </a:graphicData>
            </a:graphic>
          </wp:inline>
        </w:drawing>
      </w:r>
      <w:r>
        <w:rPr/>
        <w:t> </w:t>
      </w:r>
    </w:p>
    <w:p>
      <w:pPr>
        <w:pStyle w:val="TextBody"/>
        <w:bidi w:val="0"/>
        <w:spacing w:before="120" w:after="283"/>
        <w:jc w:val="left"/>
        <w:rPr>
          <w:rFonts w:ascii="Times New Roman" w:hAnsi="Times New Roman"/>
          <w:sz w:val="20"/>
        </w:rPr>
      </w:pPr>
      <w:r>
        <w:rPr>
          <w:rFonts w:ascii="Times New Roman" w:hAnsi="Times New Roman"/>
          <w:b/>
          <w:color w:val="000000"/>
          <w:sz w:val="17"/>
        </w:rPr>
        <w:t>Figure:</w:t>
      </w:r>
      <w:r>
        <w:rPr>
          <w:rFonts w:ascii="Times New Roman" w:hAnsi="Times New Roman"/>
          <w:color w:val="000000"/>
          <w:sz w:val="20"/>
        </w:rPr>
        <w:t xml:space="preserve"> </w:t>
      </w:r>
      <w:r>
        <w:rPr>
          <w:rFonts w:ascii="Times New Roman" w:hAnsi="Times New Roman"/>
          <w:color w:val="000000"/>
          <w:sz w:val="17"/>
        </w:rPr>
        <w:t>Geometric mean titers (GMT) of surrogate neutralizing antibodies at Days 1 (baseline) and 29, and geometric mean-fold rises (GMFR) in titers from Day 1 to Day 29; B) GMT Ratio; C) seroresponse rates (SRR) at Day 29; D) SRR Difference – Study ARCT-2301-J01. Note: GMT – Geometric Mean Titer; SRR – seroresponse rate. All values are from the Per Protocol Subset 1 (PPS-1) and are shown with 95% confidence intervals in parentheses. Solid circles (</w:t>
      </w:r>
      <w:r>
        <w:rPr>
          <w:rFonts w:ascii="Times New Roman" w:hAnsi="Times New Roman"/>
          <w:color w:val="000000"/>
          <w:sz w:val="20"/>
        </w:rPr>
        <w:t>●</w:t>
      </w:r>
      <w:r>
        <w:rPr>
          <w:rFonts w:ascii="Times New Roman" w:hAnsi="Times New Roman"/>
          <w:color w:val="000000"/>
          <w:sz w:val="17"/>
        </w:rPr>
        <w:t>) represent the Wuhan variant, open circles (</w:t>
      </w:r>
      <w:r>
        <w:rPr>
          <w:rFonts w:ascii="Times New Roman" w:hAnsi="Times New Roman"/>
          <w:color w:val="000000"/>
          <w:sz w:val="20"/>
        </w:rPr>
        <w:t>○</w:t>
      </w:r>
      <w:r>
        <w:rPr>
          <w:rFonts w:ascii="Times New Roman" w:hAnsi="Times New Roman"/>
          <w:color w:val="000000"/>
          <w:sz w:val="17"/>
        </w:rPr>
        <w:t>) represent the Omicron BA.4/5 variant, and open squares (</w:t>
      </w:r>
      <w:r>
        <w:rPr>
          <w:rFonts w:ascii="Times New Roman" w:hAnsi="Times New Roman"/>
          <w:color w:val="000000"/>
          <w:sz w:val="20"/>
        </w:rPr>
        <w:t>☐</w:t>
      </w:r>
      <w:r>
        <w:rPr>
          <w:rFonts w:ascii="Times New Roman" w:hAnsi="Times New Roman"/>
          <w:color w:val="000000"/>
          <w:sz w:val="17"/>
        </w:rPr>
        <w:t>) represent the Omicron XBB.1.5 variant. Vertical lines represent the threshold for achieving the non-inferiority and superiority comparisons of ARCT-154 to Comirnaty</w:t>
      </w:r>
      <w:r>
        <w:rPr>
          <w:rFonts w:ascii="Times New Roman" w:hAnsi="Times New Roman"/>
          <w:color w:val="0078D4"/>
          <w:sz w:val="17"/>
        </w:rPr>
        <w:t>.</w:t>
      </w:r>
      <w:r>
        <w:rPr>
          <w:rFonts w:ascii="Times New Roman" w:hAnsi="Times New Roman"/>
          <w:color w:val="0078D4"/>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Bivalent ARCT-2301, when administered intramuscularly as a booster dose in subjects who had received three to five doses of authorized mRNA COVID-19 vaccines at least three months before the recruitment, demonstrated immunological superiority over the comparator vaccine (COMIRNATY</w:t>
      </w:r>
      <w:r>
        <w:rPr>
          <w:rFonts w:ascii="Times New Roman" w:hAnsi="Times New Roman"/>
          <w:color w:val="000000"/>
          <w:sz w:val="13"/>
        </w:rPr>
        <w:t>®</w:t>
      </w:r>
      <w:r>
        <w:rPr>
          <w:rFonts w:ascii="Times New Roman" w:hAnsi="Times New Roman"/>
          <w:color w:val="000000"/>
          <w:sz w:val="20"/>
        </w:rPr>
        <w:t xml:space="preserve"> bivalent: Wuhan strain/Omicron strain BA.4/5), as measured by GMT ratios and seroresponse rates differences for both vaccine strains (prototype Wuhan strain and Omicron BA.4/65 variant). In addition, ARCT-2301 induced a higher immune response against the epidemiologically dominant Omicron XBB.1.5 variant.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Phase 3 Study in Southern Hemisphere of Monovalent XBB1.5 COVID-19 Vaccine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Arcturus and CSL Seqirus initiated a Phase 3 pivotal study with the ARCT-2303 candidate vaccine containing the XBB1.5 Omicron variant. The purpose of this study is to generate additional immunogenicity and safety data in multiple ethnicities to support regulatory filings globally. In addition, the study will assess the co-administration of the ARCT-2303 vaccine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age-appropriate seasonal influenza vaccines. Overall, 1,499 young and older adults were recruited in the study in Australia, Costa Rica, Honduras and the Philippines. The results of this study are expected in the fourth quarter of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Flu Collaboration Program Updates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LUNAR-qsFLU (Quadrivalent Seasonal Influenza)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LUNAR-qsFLU (qs; quadrivalent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LUNAR-qsFLU has been designed to take advantage of our expertise in both LUNAR 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objective of creating a highly effective influenza vaccine for use in general and high-risk populations. Working with CSL Seqirus, we generated a comprehensive non-clinical data package to support the initiation of the Phase 1 clinical trial with a novel influenza mRNA vaccine candidate. A Phase 1 dose-finding safety and immunogenicity study was initiated in January 2024 in Australia. As of August 1, 2024, 100 healthy young adults and 35 older adults were recruited in the study and received one of four dose levels of the study vaccine or a licensed influenza vaccine.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Pandemic Influenza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LUNAR-pandFLU program continues to progress under the award from the Biomedical Advanced Research and Development Authority (“BARDA”) that we obtained in 2022. The program includes all non-clinical, manufacturing, and regulatory support to advance a vaccine to protect against disease caused by H5N1 highly-pathogenic avian influenza. A pre-IND meeting was granted and Written Response Only (“WRO”) was received for integration into future development plans. Nonclinical safety studies have been completed that will enable the Phase 1 clinical trial. Enrollment for a Phase 1 clinical trial designed to evaluate the safety and immunogenicity of ARCT-2304 (LUNAR-pandFLU candidate vaccine) is expected to begin before the end of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chart represents our current pipeline of Arcturus-owned mRNA therapeutic candidates: </w:t>
      </w:r>
    </w:p>
    <w:p>
      <w:pPr>
        <w:pStyle w:val="TextBody"/>
        <w:bidi w:val="0"/>
        <w:spacing w:before="120" w:after="283"/>
        <w:jc w:val="center"/>
        <w:rPr/>
      </w:pPr>
      <w:r>
        <w:rPr/>
        <w:drawing>
          <wp:inline distT="0" distB="0" distL="0" distR="0">
            <wp:extent cx="6657975" cy="1657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57975" cy="1657350"/>
                    </a:xfrm>
                    <a:prstGeom prst="rect">
                      <a:avLst/>
                    </a:prstGeom>
                  </pic:spPr>
                </pic:pic>
              </a:graphicData>
            </a:graphic>
          </wp:inline>
        </w:drawing>
      </w: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LUNAR-OTC/ARCT-810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1b study in stable OTC-deficient adults completed dosing in the United States in August 2023. The trial was designed to assess safety, tolerability and pharmacokinetics of a single dose of ARCT-810, as well as exploratory biomarkers of drug activity. The Phase 1b study was a single ascending dose, placebo-controlled study that enrolled 16 adults with mild OTCD. ARCT-810 was generally safe and well tolerated at doses ranging from 0.1-0.5mg/kg and no severe adverse events were observed. Sporadic infusion-related reactions (IRRs) could be managed with symptomatic treatment and appear to be less frequent with slower infusion rates. In plasma, ARCT-810 mRNA could be detected up to 4 weeks, while ionizable lipid was no longer measurable after 48 hours, indicating rapid degradation of the lipid nanoparticle that was utilized to deliver ARCT-810 mRNA.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2 double-blind multiple-dose study of ARCT-810 in OTC-deficient adolescents and adults in the European Union and United Kingdom initiated dosing in December 2022. In July 2024, the Phase 2 study completed enrollment of eight subjects, including adolescents and adults, at the 0.3 mg/kg dose level. The participants in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group are randomized 3:1 to receive 6 doses of ARCT-810 or placebo administered every 14 days. Treatment and follow-up are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expanding the Phase 2 clinical program of ARCT-810 by enrolling patients in the U.S. with more serious disease. Patient screening has been initiated in the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LUNAR-CF/ARCT-032 – Our program for cystic fibrosis is being supported in part by the Cystic Fibrosis Foundation (“CFF”). In 2023 we initiated and successfully achieved the recruitment target in a Phase 1 single ascending dose study of ARCT-032 (LUNAR-CF), our mRNA therapeutic candidate for cystic fibrosis (CF), in 32 healthy participants (eight subjects in each of four dose cohorts). In August 2023 we received regulatory approval of a protocol amendment to transition to a Phase 1b clinical study of ARCT-032 in up to eight adults with CF, with each participant receiving two administrations of ARCT-032.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On June 7, 2024, we presented Phase 1 interim data of ARCT-032 at the 47</w:t>
      </w:r>
      <w:r>
        <w:rPr>
          <w:rFonts w:ascii="Times New Roman" w:hAnsi="Times New Roman"/>
          <w:color w:val="000000"/>
          <w:sz w:val="13"/>
        </w:rPr>
        <w:t>th</w:t>
      </w:r>
      <w:r>
        <w:rPr>
          <w:color w:val="000000"/>
        </w:rPr>
        <w:t xml:space="preserve"> </w:t>
      </w:r>
      <w:r>
        <w:rPr>
          <w:rFonts w:ascii="Times New Roman" w:hAnsi="Times New Roman"/>
          <w:color w:val="000000"/>
          <w:sz w:val="20"/>
        </w:rPr>
        <w:t>Annual European Cystic Fibrosis Conference. ARCT-032 was generally safe and well tolerated with no serious or severe adverse events in healthy volunteers and in the first four dosed participants with CF in Phase 1b, of which one had 2 Class I mutations and the other three had F508del mutations and were being treated with Trikafta</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submitted an IND application at the end of July 2024 for an ARCT-032 Phase 2 multiple ascending dose study designed to identify a safe and effective dose in Class I (null) and other CF participants who do not benefit from CFTR modulators. This study is supported by safety and tolerability data collected in healthy volunteers (N = 32) and the ongoing two-administration Phase 1b study. No serious adverse events (SAEs) have been observed in any clinical trial participants to date. No febrile reactions have been observed within the target dose range of the planned Phase 2 study. The Phase 1b study has completed dosing and follow-up visits. Of the seven total CF participants in Phase 1b, six are receiving CFTR modulator treatment while one subject has Class I mutations and therefore does not benefit from modulator therapy. The Class I CF subject had low lung function at baseline (ppFEV1 below 50%) and showed an improvement of 4% in ppFEV1 on Day 8, after receiving two well-tolerated administrations, with no febrile reactions..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European Commission (EC), based on a positive opinion issued by the European Medicines Agency (EMA), granted Orphan Medicinal Product Designation for ARCT-032 to treat CF. ARCT-032 was granted Rare Pediatric Disease Designation in October 2023, and Orphan Drug Designation in November 2023 by the FDA.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Updates on Collaboration Agreements</w:t>
      </w:r>
    </w:p>
    <w:p>
      <w:pPr>
        <w:pStyle w:val="TextBody"/>
        <w:bidi w:val="0"/>
        <w:spacing w:before="120" w:after="283"/>
        <w:jc w:val="left"/>
        <w:rPr>
          <w:rFonts w:ascii="Times New Roman" w:hAnsi="Times New Roman"/>
          <w:sz w:val="20"/>
        </w:rPr>
      </w:pPr>
      <w:r>
        <w:rPr>
          <w:rFonts w:ascii="Times New Roman" w:hAnsi="Times New Roman"/>
          <w:i/>
          <w:color w:val="000000"/>
          <w:sz w:val="20"/>
        </w:rPr>
        <w:t>CSL 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entered into Amendment Number Two to Collaboration and License Agreement between CSL and the Company to reflect updates to the development program and other adjustments consistent with our prior disclosures regarding the Collaboration and License Agreement (“Amendment Number Two”). Amendment Number Two, among other things, adjusts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Updates on Research and Platform Activities</w:t>
      </w:r>
    </w:p>
    <w:p>
      <w:pPr>
        <w:pStyle w:val="TextBody"/>
        <w:bidi w:val="0"/>
        <w:spacing w:before="120" w:after="283"/>
        <w:jc w:val="left"/>
        <w:rPr>
          <w:rFonts w:ascii="Times New Roman" w:hAnsi="Times New Roman"/>
          <w:sz w:val="20"/>
        </w:rPr>
      </w:pPr>
      <w:r>
        <w:rPr>
          <w:rFonts w:ascii="Times New Roman" w:hAnsi="Times New Roman"/>
          <w:color w:val="000000"/>
          <w:sz w:val="20"/>
        </w:rPr>
        <w:t>We continue to conduct exploratory platform development activities, including the evaluation of genome editing, and new targeting approaches, where our LUNAR</w:t>
      </w:r>
      <w:r>
        <w:rPr>
          <w:rFonts w:ascii="Times New Roman" w:hAnsi="Times New Roman"/>
          <w:color w:val="000000"/>
          <w:sz w:val="13"/>
        </w:rPr>
        <w:t>®</w:t>
      </w:r>
      <w:r>
        <w:rPr>
          <w:rFonts w:ascii="Times New Roman" w:hAnsi="Times New Roman"/>
          <w:color w:val="000000"/>
          <w:sz w:val="20"/>
        </w:rPr>
        <w:t xml:space="preserve"> and STARR</w:t>
      </w:r>
      <w:r>
        <w:rPr>
          <w:rFonts w:ascii="Times New Roman" w:hAnsi="Times New Roman"/>
          <w:color w:val="000000"/>
          <w:sz w:val="13"/>
        </w:rPr>
        <w:t>®</w:t>
      </w:r>
      <w:r>
        <w:rPr>
          <w:rFonts w:ascii="Times New Roman" w:hAnsi="Times New Roman"/>
          <w:color w:val="000000"/>
          <w:sz w:val="20"/>
        </w:rPr>
        <w:t xml:space="preserve"> platforms could potentially be useful for identification and development of additional products for our portfolio.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Discovery Programs – Vaccine Programs (Lyme Disease and Gonorrhea)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clinical and regulatory validation of LUNAR and STARR technologies provided by the approval of ARCT-154, our next-generation vaccine for COVID-19, we have initiated new vaccine discovery programs for Lyme disease and gonorrhea. The new discovery programs rely on the evidence of superior immunogenicity, durability, and breadth of immune response compared to conventional mRNA vaccines, as observed in the COVID-19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Lyme disease is a bacterial infection and is the most common vector-borne disease in the United States. Infection can spread to joints, the heart and the nervous system. Gonorrhea is a sexually transmitted disease (STD) that can infect the mucous membranes of the reproductive tract. It is the second most commonly reported bacterial sexually transmitted infection in the United States. We selected these diseases based on high unmet medical needs, good understanding of the path forward in vaccine target selection, and demonstration of proof of concept, as well as platform advantages that may be translated in a favorable vaccine product.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Updates on Supply and Manufacturing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As the market for COVID vaccines shifts from multi-dose vial formats to lower and single-dose vial formats, we continue, with our collaborator CSL Seqirus, to evaluate and advance manufacturing process and capabilities and technology transfers, and prepare for stockpiling and commercialization of COVID vaccines.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2023. Our historical results of operations and the year-to-year comparisons of our results of operations that follow are not necessarily indicative of future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w:t>
      </w:r>
    </w:p>
    <w:p>
      <w:pPr>
        <w:pStyle w:val="TextBody"/>
        <w:bidi w:val="0"/>
        <w:jc w:val="left"/>
        <w:rPr/>
      </w:pPr>
      <w:r>
        <w:rPr/>
        <w:t> </w:t>
      </w:r>
    </w:p>
    <w:tbl>
      <w:tblPr>
        <w:tblW w:w="5893" w:type="dxa"/>
        <w:jc w:val="left"/>
        <w:tblInd w:w="0" w:type="dxa"/>
        <w:tblLayout w:type="fixed"/>
        <w:tblCellMar>
          <w:top w:w="28" w:type="dxa"/>
          <w:left w:w="28" w:type="dxa"/>
          <w:bottom w:w="28" w:type="dxa"/>
          <w:right w:w="28" w:type="dxa"/>
        </w:tblCellMar>
      </w:tblPr>
      <w:tblGrid>
        <w:gridCol w:w="1141"/>
        <w:gridCol w:w="146"/>
        <w:gridCol w:w="231"/>
        <w:gridCol w:w="741"/>
        <w:gridCol w:w="160"/>
        <w:gridCol w:w="160"/>
        <w:gridCol w:w="231"/>
        <w:gridCol w:w="741"/>
        <w:gridCol w:w="146"/>
        <w:gridCol w:w="146"/>
        <w:gridCol w:w="211"/>
        <w:gridCol w:w="676"/>
        <w:gridCol w:w="146"/>
        <w:gridCol w:w="146"/>
        <w:gridCol w:w="87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1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by $39.3 million during the three months ended June 30, 2024 as compared to the three months ended June 30, 2023. The increase was primarily attributable to the receipt of a milestone payment from CSL pursuant to the CSL agreement as $45.9 million total revenue was recognized during the second quarter of 2024, compared to $7.6 million total revenue related to CSL during the second quarter of 2023, resulting in an increase of $38.3 million primarily due to the timing and value of milestone achievements and the recognition of revenue from a supply agreement during the current quarter. Additionally, there was an increase in revenue of $2.9 million related to the BARDA Contract during the second quarter of 2024 as compared to the second quarter of 2023. The total increase in revenue was offset by a $1.9 million decrease in revenue recognized from other agreements during the second quarter of 2024 as compared to the second quarter of 2023 due to lower activity or completion of collaboration agreements.</w:t>
      </w:r>
    </w:p>
    <w:p>
      <w:pPr>
        <w:pStyle w:val="TextBody"/>
        <w:bidi w:val="0"/>
        <w:spacing w:before="120" w:after="283"/>
        <w:jc w:val="left"/>
        <w:rPr/>
      </w:pPr>
      <w:r>
        <w:rPr/>
        <w:t> </w:t>
      </w:r>
    </w:p>
    <w:tbl>
      <w:tblPr>
        <w:tblW w:w="5943" w:type="dxa"/>
        <w:jc w:val="left"/>
        <w:tblInd w:w="0" w:type="dxa"/>
        <w:tblLayout w:type="fixed"/>
        <w:tblCellMar>
          <w:top w:w="28" w:type="dxa"/>
          <w:left w:w="28" w:type="dxa"/>
          <w:bottom w:w="28" w:type="dxa"/>
          <w:right w:w="28" w:type="dxa"/>
        </w:tblCellMar>
      </w:tblPr>
      <w:tblGrid>
        <w:gridCol w:w="1141"/>
        <w:gridCol w:w="146"/>
        <w:gridCol w:w="211"/>
        <w:gridCol w:w="677"/>
        <w:gridCol w:w="146"/>
        <w:gridCol w:w="146"/>
        <w:gridCol w:w="211"/>
        <w:gridCol w:w="677"/>
        <w:gridCol w:w="146"/>
        <w:gridCol w:w="146"/>
        <w:gridCol w:w="211"/>
        <w:gridCol w:w="631"/>
        <w:gridCol w:w="166"/>
        <w:gridCol w:w="146"/>
        <w:gridCol w:w="212"/>
        <w:gridCol w:w="614"/>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by $2.9 million during the six months ended June 30, 2024 as compared to the six months ended June 30, 2023. We received revenue under the CSL agreement of $78.3 million during the six months ended June 30, 2024, compared to $85.8 million total revenue related to CSL during the six months ended June 30, 2023, resulting in a decrease of $7.5 million primarily due to the timing and value of milestone achievements and the achievement of a conditional payment during the first half of 2023, offset by the recognition of revenue from a supply agreement during the current year. Additionally, there was a decrease of $3.2 million in revenue recognized under other agreements during the six months ended June 30, 2024 as compared to the six months ended June 30, 2023 due to lower activity or completion of collaboration agreements. The total decrease in revenue was offset by a $7.8 million increase in revenue recognized from the BARDA Contract during the six months ended June 30, 2024 as compared to the six months ended June 30,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10916"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571"/>
        <w:gridCol w:w="166"/>
        <w:gridCol w:w="146"/>
        <w:gridCol w:w="197"/>
        <w:gridCol w:w="629"/>
        <w:gridCol w:w="271"/>
        <w:gridCol w:w="146"/>
        <w:gridCol w:w="211"/>
        <w:gridCol w:w="781"/>
        <w:gridCol w:w="146"/>
        <w:gridCol w:w="146"/>
        <w:gridCol w:w="211"/>
        <w:gridCol w:w="781"/>
        <w:gridCol w:w="146"/>
        <w:gridCol w:w="146"/>
        <w:gridCol w:w="211"/>
        <w:gridCol w:w="571"/>
        <w:gridCol w:w="146"/>
        <w:gridCol w:w="146"/>
        <w:gridCol w:w="237"/>
        <w:gridCol w:w="589"/>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jc w:val="left"/>
        <w:rPr/>
      </w:pPr>
      <w:r>
        <w:rPr/>
        <w:t> </w:t>
      </w:r>
    </w:p>
    <w:tbl>
      <w:tblPr>
        <w:tblW w:w="10886" w:type="dxa"/>
        <w:jc w:val="left"/>
        <w:tblInd w:w="0" w:type="dxa"/>
        <w:tblLayout w:type="fixed"/>
        <w:tblCellMar>
          <w:top w:w="28" w:type="dxa"/>
          <w:left w:w="28" w:type="dxa"/>
          <w:bottom w:w="28" w:type="dxa"/>
          <w:right w:w="28" w:type="dxa"/>
        </w:tblCellMar>
      </w:tblPr>
      <w:tblGrid>
        <w:gridCol w:w="1521"/>
        <w:gridCol w:w="146"/>
        <w:gridCol w:w="196"/>
        <w:gridCol w:w="601"/>
        <w:gridCol w:w="146"/>
        <w:gridCol w:w="146"/>
        <w:gridCol w:w="196"/>
        <w:gridCol w:w="601"/>
        <w:gridCol w:w="146"/>
        <w:gridCol w:w="146"/>
        <w:gridCol w:w="196"/>
        <w:gridCol w:w="571"/>
        <w:gridCol w:w="166"/>
        <w:gridCol w:w="146"/>
        <w:gridCol w:w="192"/>
        <w:gridCol w:w="634"/>
        <w:gridCol w:w="241"/>
        <w:gridCol w:w="146"/>
        <w:gridCol w:w="196"/>
        <w:gridCol w:w="691"/>
        <w:gridCol w:w="146"/>
        <w:gridCol w:w="146"/>
        <w:gridCol w:w="196"/>
        <w:gridCol w:w="691"/>
        <w:gridCol w:w="146"/>
        <w:gridCol w:w="146"/>
        <w:gridCol w:w="196"/>
        <w:gridCol w:w="571"/>
        <w:gridCol w:w="166"/>
        <w:gridCol w:w="146"/>
        <w:gridCol w:w="192"/>
        <w:gridCol w:w="634"/>
        <w:gridCol w:w="486"/>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External pipeline development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486" w:type="dxa"/>
            <w:tcBorders/>
            <w:shd w:fill="CFF0FC" w:val="clear"/>
            <w:vAlign w:val="center"/>
          </w:tcPr>
          <w:p>
            <w:pPr>
              <w:pStyle w:val="TableContents"/>
              <w:bidi w:val="0"/>
              <w:spacing w:before="0" w:after="283"/>
              <w:ind w:left="0" w:right="0" w:firstLine="200"/>
              <w:jc w:val="right"/>
              <w:rPr/>
            </w:pPr>
            <w:r>
              <w:rPr/>
              <w:t> </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LUNAR-COVID,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LUNAR-OTC,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48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BARDA</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86" w:type="dxa"/>
            <w:tcBorders/>
            <w:shd w:fill="FFFFFF" w:val="clear"/>
            <w:vAlign w:val="center"/>
          </w:tcPr>
          <w:p>
            <w:pPr>
              <w:pStyle w:val="TableContents"/>
              <w:bidi w:val="0"/>
              <w:spacing w:before="0" w:after="283"/>
              <w:ind w:left="0" w:right="0" w:firstLine="200"/>
              <w:jc w:val="righ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Early-stage programs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48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Discovery technologies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4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External platform development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486" w:type="dxa"/>
            <w:tcBorders/>
            <w:shd w:fill="CFF0FC" w:val="clear"/>
            <w:vAlign w:val="center"/>
          </w:tcPr>
          <w:p>
            <w:pPr>
              <w:pStyle w:val="TableContents"/>
              <w:bidi w:val="0"/>
              <w:spacing w:before="0" w:after="283"/>
              <w:ind w:left="0" w:right="0" w:firstLine="200"/>
              <w:jc w:val="right"/>
              <w:rPr/>
            </w:pPr>
            <w:r>
              <w:rPr/>
              <w:t> </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Personnel related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48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Facilities and equipment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4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research and development expenses,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4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$58.7 million for the three months ended June 30, 2024, compared with $52.7 million for the three months ended June 30, 2023, primarily reflecting increased clinical related expenses of $6.3 million, increased manufacturing expenses of $0.8 million and increased personnel expenses of $0.5 million. The increases were offset by a $1.0 million increase in contra research and development expenses related to the agreement with the CFF and a $0.6 million decrease in facilities and equipment expenses. Research and development expenses were $112.2 million for the six months ended June 30, 2024, compared with $104.4 million in the six months ended June 30, 2023, primarily reflecting increased clinical related expenses of $6.3 million, increased personnel related expenses of $2.8 million, increased facilities and equipment expenses of $0.8 million and increased manufacturing expenses of $0.3 million. The increases were offset by $1.4 million in consulting expenses and a $1.0 million increase in contra research and development expenses related to the agreement with the CFF. We expect that our research and development efforts and associated costs will continue to be substantial over the next several years as our pipeline progresses.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for early-stage programs and discovery technologies primarily consist of external manufacturing costs, lab supplies, equipment, and consulting and professional fees. Both early-stage programs and discovery technologies expenses are expected to steadily increase over the coming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related expenses primarily consist of employee salaries and benefits, share-based compensation and consultants. Although such expenses increased during 2024 as compared to 2023, we expect that they will not increase over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equipment expenses primarily consist of rent expense, common area maintenance charges, shipping costs, various costs of our offices and laboratories and depreciation expenses. Facilities and equipment expenses are not expected to increase during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primarily consist of salaries and related benefits for our executive, administrative, legal and accounting functions and professional service fees for legal and accounting services as well as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$12.3 million for the three months ended June 30, 2024 compared with $13.2 million for the three months ended June 30, 2023. The decrease in expenses resulted primarily from decreased personnel expenses of $0.6 million, decreased facilities expenses of $0.3 million and decreased travel expenses of $0.2 million. The overall decrease was offset by an increase of $0.2 million in legal expenses. General and administrative expenses were $27.2 million for the six months ended June 30, 2024 compared with $27.0 million in the six months ended June 30, 2023. The increase in expenses resulted primarily from a $0.5 million increase in accounting and legal fees, a $0.5 million increase in supplies and a $0.1 million increase in software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was offset by a decrease of $0.6 million in personnel related expenses and a decrease of $0.3 million in insurance costs. The Company does not expect that general and administrative expenses will increase on a yearly basis from the current quarter June 30, 2024 expense trend.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(expense),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5"/>
        <w:gridCol w:w="146"/>
        <w:gridCol w:w="226"/>
        <w:gridCol w:w="612"/>
        <w:gridCol w:w="156"/>
        <w:gridCol w:w="156"/>
        <w:gridCol w:w="226"/>
        <w:gridCol w:w="612"/>
        <w:gridCol w:w="146"/>
        <w:gridCol w:w="146"/>
        <w:gridCol w:w="250"/>
        <w:gridCol w:w="501"/>
        <w:gridCol w:w="146"/>
        <w:gridCol w:w="146"/>
        <w:gridCol w:w="197"/>
        <w:gridCol w:w="629"/>
        <w:gridCol w:w="271"/>
        <w:gridCol w:w="146"/>
        <w:gridCol w:w="218"/>
        <w:gridCol w:w="592"/>
        <w:gridCol w:w="151"/>
        <w:gridCol w:w="151"/>
        <w:gridCol w:w="218"/>
        <w:gridCol w:w="592"/>
        <w:gridCol w:w="166"/>
        <w:gridCol w:w="146"/>
        <w:gridCol w:w="211"/>
        <w:gridCol w:w="571"/>
        <w:gridCol w:w="146"/>
        <w:gridCol w:w="146"/>
        <w:gridCol w:w="168"/>
        <w:gridCol w:w="658"/>
        <w:gridCol w:w="324"/>
      </w:tblGrid>
      <w:tr>
        <w:trPr/>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generated on cash and cash equivalents. The increase in interest income for the three months ended June 30, 2024 as compared to the three months ended June 30, 2023 was primarily the result of increased interest earned on investment accounts. Interest expense during the six months ended June 30, 2023 was incurred in conjunction with the Western Alliance Agreement and the Singapore Loan, both of which have since been terminated.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and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7"/>
        <w:gridCol w:w="146"/>
        <w:gridCol w:w="214"/>
        <w:gridCol w:w="488"/>
        <w:gridCol w:w="168"/>
        <w:gridCol w:w="148"/>
        <w:gridCol w:w="214"/>
        <w:gridCol w:w="427"/>
        <w:gridCol w:w="146"/>
        <w:gridCol w:w="146"/>
        <w:gridCol w:w="228"/>
        <w:gridCol w:w="523"/>
        <w:gridCol w:w="166"/>
        <w:gridCol w:w="146"/>
        <w:gridCol w:w="826"/>
        <w:gridCol w:w="146"/>
        <w:gridCol w:w="211"/>
        <w:gridCol w:w="482"/>
        <w:gridCol w:w="166"/>
        <w:gridCol w:w="146"/>
        <w:gridCol w:w="211"/>
        <w:gridCol w:w="678"/>
        <w:gridCol w:w="166"/>
        <w:gridCol w:w="146"/>
        <w:gridCol w:w="211"/>
        <w:gridCol w:w="736"/>
        <w:gridCol w:w="166"/>
        <w:gridCol w:w="146"/>
        <w:gridCol w:w="155"/>
        <w:gridCol w:w="671"/>
        <w:gridCol w:w="325"/>
      </w:tblGrid>
      <w:tr>
        <w:trPr/>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4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to 2024</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7"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from foreign currency</w:t>
            </w:r>
          </w:p>
        </w:tc>
        <w:tc>
          <w:tcPr>
            <w:tcW w:w="146" w:type="dxa"/>
            <w:tcBorders/>
            <w:shd w:fill="D1F8FB" w:val="clear"/>
            <w:vAlign w:val="center"/>
          </w:tcPr>
          <w:p>
            <w:pPr>
              <w:pStyle w:val="TableContents"/>
              <w:bidi w:val="0"/>
              <w:spacing w:before="0" w:after="283"/>
              <w:jc w:val="left"/>
              <w:rPr/>
            </w:pPr>
            <w:r>
              <w:rPr/>
              <w:t> </w:t>
            </w:r>
          </w:p>
        </w:tc>
        <w:tc>
          <w:tcPr>
            <w:tcW w:w="214"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8"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D1F8FB" w:val="clear"/>
            <w:vAlign w:val="center"/>
          </w:tcPr>
          <w:p>
            <w:pPr>
              <w:pStyle w:val="TableContents"/>
              <w:bidi w:val="0"/>
              <w:spacing w:before="0" w:after="283"/>
              <w:jc w:val="left"/>
              <w:rPr/>
            </w:pPr>
            <w:r>
              <w:rPr/>
              <w:t> </w:t>
            </w:r>
          </w:p>
        </w:tc>
        <w:tc>
          <w:tcPr>
            <w:tcW w:w="214"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D1F8FB" w:val="clear"/>
            <w:vAlign w:val="center"/>
          </w:tcPr>
          <w:p>
            <w:pPr>
              <w:pStyle w:val="TableContents"/>
              <w:bidi w:val="0"/>
              <w:spacing w:before="0" w:after="283"/>
              <w:jc w:val="left"/>
              <w:rPr/>
            </w:pPr>
            <w:r>
              <w:rPr/>
              <w:t> </w:t>
            </w:r>
          </w:p>
        </w:tc>
        <w:tc>
          <w:tcPr>
            <w:tcW w:w="146" w:type="dxa"/>
            <w:tcBorders/>
            <w:shd w:fill="D1F8FB" w:val="clear"/>
            <w:vAlign w:val="center"/>
          </w:tcPr>
          <w:p>
            <w:pPr>
              <w:pStyle w:val="TableContents"/>
              <w:bidi w:val="0"/>
              <w:spacing w:before="0" w:after="283"/>
              <w:jc w:val="left"/>
              <w:rPr/>
            </w:pPr>
            <w:r>
              <w:rPr/>
              <w:t> </w:t>
            </w:r>
          </w:p>
        </w:tc>
        <w:tc>
          <w:tcPr>
            <w:tcW w:w="228"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826"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211"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211"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211"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826" w:type="dxa"/>
            <w:gridSpan w:val="2"/>
            <w:tcBorders/>
            <w:shd w:fill="D1F8FB"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325" w:type="dxa"/>
            <w:tcBorders/>
            <w:shd w:fill="D1F8FB" w:val="clear"/>
            <w:vAlign w:val="center"/>
          </w:tcPr>
          <w:p>
            <w:pPr>
              <w:pStyle w:val="TableContents"/>
              <w:bidi w:val="0"/>
              <w:spacing w:before="0" w:after="283"/>
              <w:jc w:val="right"/>
              <w:rPr/>
            </w:pPr>
            <w:r>
              <w:rPr/>
              <w:t> </w:t>
            </w:r>
          </w:p>
        </w:tc>
      </w:tr>
      <w:tr>
        <w:trPr/>
        <w:tc>
          <w:tcPr>
            <w:tcW w:w="1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pPr>
            <w:r>
              <w:rPr/>
              <w:t> </w:t>
            </w:r>
          </w:p>
        </w:tc>
      </w:tr>
      <w:tr>
        <w:trPr/>
        <w:tc>
          <w:tcPr>
            <w:tcW w:w="1457"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D1F8FB" w:val="clear"/>
            <w:vAlign w:val="center"/>
          </w:tcPr>
          <w:p>
            <w:pPr>
              <w:pStyle w:val="TableContents"/>
              <w:bidi w:val="0"/>
              <w:spacing w:before="0" w:after="283"/>
              <w:jc w:val="left"/>
              <w:rPr/>
            </w:pPr>
            <w:r>
              <w:rPr/>
              <w:t> </w:t>
            </w:r>
          </w:p>
        </w:tc>
        <w:tc>
          <w:tcPr>
            <w:tcW w:w="214"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8"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D1F8FB" w:val="clear"/>
            <w:vAlign w:val="center"/>
          </w:tcPr>
          <w:p>
            <w:pPr>
              <w:pStyle w:val="TableContents"/>
              <w:bidi w:val="0"/>
              <w:spacing w:before="0" w:after="283"/>
              <w:jc w:val="left"/>
              <w:rPr/>
            </w:pPr>
            <w:r>
              <w:rPr/>
              <w:t> </w:t>
            </w:r>
          </w:p>
        </w:tc>
        <w:tc>
          <w:tcPr>
            <w:tcW w:w="214"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1F8FB" w:val="clear"/>
            <w:vAlign w:val="center"/>
          </w:tcPr>
          <w:p>
            <w:pPr>
              <w:pStyle w:val="TableContents"/>
              <w:bidi w:val="0"/>
              <w:spacing w:before="0" w:after="283"/>
              <w:jc w:val="left"/>
              <w:rPr/>
            </w:pPr>
            <w:r>
              <w:rPr/>
              <w:t> </w:t>
            </w:r>
          </w:p>
        </w:tc>
        <w:tc>
          <w:tcPr>
            <w:tcW w:w="228"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826"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211"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211"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33,774</w:t>
            </w:r>
          </w:p>
        </w:tc>
        <w:tc>
          <w:tcPr>
            <w:tcW w:w="16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1F8FB" w:val="clear"/>
            <w:vAlign w:val="center"/>
          </w:tcPr>
          <w:p>
            <w:pPr>
              <w:pStyle w:val="TableContents"/>
              <w:bidi w:val="0"/>
              <w:spacing w:before="0" w:after="283"/>
              <w:jc w:val="left"/>
              <w:rPr/>
            </w:pPr>
            <w:r>
              <w:rPr/>
              <w:t> </w:t>
            </w:r>
          </w:p>
        </w:tc>
        <w:tc>
          <w:tcPr>
            <w:tcW w:w="211"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(34,215</w:t>
            </w:r>
          </w:p>
        </w:tc>
        <w:tc>
          <w:tcPr>
            <w:tcW w:w="166" w:type="dxa"/>
            <w:tcBorders>
              <w:bottom w:val="double" w:sz="6" w:space="0" w:color="000000"/>
            </w:tcBorders>
            <w:shd w:fill="D1F8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1F8FB" w:val="clear"/>
            <w:vAlign w:val="center"/>
          </w:tcPr>
          <w:p>
            <w:pPr>
              <w:pStyle w:val="TableContents"/>
              <w:bidi w:val="0"/>
              <w:spacing w:before="0" w:after="283"/>
              <w:jc w:val="left"/>
              <w:rPr/>
            </w:pPr>
            <w:r>
              <w:rPr/>
              <w:t> </w:t>
            </w:r>
          </w:p>
        </w:tc>
        <w:tc>
          <w:tcPr>
            <w:tcW w:w="155" w:type="dxa"/>
            <w:tcBorders/>
            <w:shd w:fill="D1F8FB" w:val="clear"/>
            <w:vAlign w:val="center"/>
          </w:tcPr>
          <w:p>
            <w:pPr>
              <w:pStyle w:val="TableContents"/>
              <w:bidi w:val="0"/>
              <w:spacing w:before="0" w:after="283"/>
              <w:jc w:val="left"/>
              <w:rPr/>
            </w:pPr>
            <w:r>
              <w:rPr/>
              <w:t> </w:t>
            </w:r>
          </w:p>
        </w:tc>
        <w:tc>
          <w:tcPr>
            <w:tcW w:w="671" w:type="dxa"/>
            <w:tcBorders/>
            <w:shd w:fill="D1F8FB"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25" w:type="dxa"/>
            <w:tcBorders/>
            <w:shd w:fill="D1F8FB"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Greater than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and expense items primarily relate to gains and losses from foreign currency transactions. Additionally, we recorded a gain on debt extinguishment related to the Singapore Loan of $34.0 million during the first quarter of 2023 as a result of the Singapore Loan being forgiven.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June 30, 2024,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the Company’s inception through the quarter ended June 30, 2024, the Company has funded its operations principally with the proceeds from the sale of capital stock, long-term debt and revenues earned through collaboration agreements and government contracts. Through the second quarter of 2024, we have achieved a total of approximately $437.1 million in upfront payments and milestones from CSL Seqirus, including a milestone of $17.0 million achieved in the current quarter with payment anticipated in the third quarter of 2024. At June 30, 2024, we had $317.2 million in cash and cash equivalents and restricted cash.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the CSL Collaboration Agreement with CSL Seqirus, a part of CSL Limited, one of the world’s leading influenza vaccine providers, for the global exclusive rights to research, develop, manufacture and commercialize mRNA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Seqirus received exclusive global rights to our technology for vaccines against SARS-CoV-2 (COVID-19), influenza and three other respiratory infectious diseases and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w:t>
      </w:r>
    </w:p>
    <w:p>
      <w:pPr>
        <w:pStyle w:val="TextBody"/>
        <w:bidi w:val="0"/>
        <w:spacing w:before="120" w:after="283"/>
        <w:jc w:val="left"/>
        <w:rPr>
          <w:rFonts w:ascii="Times New Roman" w:hAnsi="Times New Roman"/>
          <w:sz w:val="20"/>
        </w:rPr>
      </w:pPr>
      <w:r>
        <w:rPr>
          <w:rFonts w:ascii="Times New Roman" w:hAnsi="Times New Roman"/>
          <w:i/>
          <w:color w:val="000000"/>
          <w:sz w:val="20"/>
        </w:rPr>
        <w:t>Wells Fargo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21, 2023, the Company’s wholly-owned subsidiary, Arcturus Therapeutics, Inc. entered into a credit agreement with Wells Fargo Bank, National Association (“Wells Fargo”) whereby Wells Fargo agreed to make a $50.0 million revolving credit line available to the Company (the “Wells Fargo Loan”) and each Wells Fargo Loan evidenced by a revolving line of credit note (the “Note”).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As of June 30, 2024, no borrowings were made against the Wells Fargo Note.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agreement was originally two years, with an option for one-year renewals subject to Wells Fargo approval and the Company furnishing to Wells Fargo a non-refundable commitment fee equal to 0.25% of the Wells Fargo Loan amount for each such renewal. In June 2024, Arcturus Therapeutics and Wells Fargo entered into an amendment to the Note, whereby the term of the Note was extended by one year to April 2026. There is no penalty for terminating the agreement. There is no penalty for terminating the facility prior to the maturity date of the Wells Fargo Note. As collateral, the Company has agreed to pledge $55.0 million in cash to be held at the Company’s securities accounts with Wells Fargo Securities, LLC, an affiliate of Wells Fargo, pursuant to a security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Vinbiocare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cash balance is expected to be utilized during fiscal year 2024 to fund (i) advances to our LUNAR-CF program in clinical trials, (ii) the continued Phase 2 trial of ARCT-810, our LUNAR-OTC candidate, (iii) expenses incurred prior to customer payments under the CSL Collaboration Agreement and BARDA Contract and (iv) continued exploratory activities related to our platform and other general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for OTC and CF and identifying and developing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other strategic alliance, licensing and other arrangements that we may establish, including those with CSL Seqirus and CSL Seqirus’ arrangement with Meiji, and any related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and successful completion of preclinical studies and clinical trials for our product candidates, including OTC and CF;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Item 7, Management’s Discussion and Analysis of Financial Condition and Results of Operations, included in the 2023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do not have any foreign currency or other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2024, our disclosure controls and procedures were not effective due to the material weaknesses in internal control over financial reporting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Weaknesses in Internal Control over Financing Reporting Existing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concluded that the material weaknesses disclosed in the Company’s Annual Report on Form 10-K for the fiscal year ended December 31, 2024 continued to exist as of June 30, 2024. Specifically, management concluded that the following material weaknesses exist as of June 30,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related to information technology general controls (“ITGCs”) that support our financial reporting processes; Management determined that we did not maintain effective controls over (i) user access to ensure appropriate segregation of duties and adequately restrict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 As a result, our related IT dependent manual and application controls that rely upon the affected ITGCs, or information coming from IT systems with affected ITGCs, were also deemed ineffective.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related to revenue recognition. Management determined that certain control activities within the area of revenue did not operate effectively, specifically controls over the review of costs incurred in satisfaction of our performance obligations under collaboration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identified material weaknesses,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pStyle w:val="TextBody"/>
        <w:bidi w:val="0"/>
        <w:spacing w:before="120" w:after="283"/>
        <w:jc w:val="left"/>
        <w:rPr>
          <w:rFonts w:ascii="Times New Roman" w:hAnsi="Times New Roman"/>
          <w:sz w:val="20"/>
        </w:rPr>
      </w:pPr>
      <w:r>
        <w:rPr>
          <w:rFonts w:ascii="Times New Roman" w:hAnsi="Times New Roman"/>
          <w:b/>
          <w:i/>
          <w:color w:val="000000"/>
          <w:sz w:val="20"/>
        </w:rPr>
        <w:t>Plan for Remediation of Material Weaknesses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remediation efforts are ongoing, and we will continue our initiatives to implement measures designed to ensure that control deficiencies contributing to the material weaknesses are remediated, such that these controls are designed, implemented, and operating effectively. We are committed to making the necessary changes and improvements to our system of controls to address the material weaknesses in internal control over financial reporting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renewed emphasis of designing and implementing improved processes and controls involves but is not limited to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available resources with experience designing and implementing control activities, including ITGCs and automated controls, both by hiring internally and the use of third-party consultations and specialists.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Adjust access profiles in IT systems and relevant software, and adjust access review controls accordingly.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Refine the control to identify access profiles in IT systems and software that result in risks of segregation of duties.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Perform ongoing training with control performers to improve documentation that supports effective control activities, including evidence over the completeness and accuracy of information produced by the Company.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Add additional technical accounting resource to review our revenue accounting along with financial disclosures for collaboration arrangements on a quarterly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weaknesses. However, control weaknesses are not considered remediated until new internal controls have been operational for a period of time, are tested, and management concludes that these controls are operating effectively. We expect to complete the remediation activities in the fiscal year 2024. We will continue to monitor the effectiveness of these remediation measures, and we will make any changes to the design of this plan and take such other actions that we deem appropriate given the circumstances.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bookmarkStart w:id="16" w:name="ii_item1a"/>
      <w:bookmarkEnd w:id="16"/>
      <w:r>
        <w:rPr>
          <w:rFonts w:ascii="Times New Roman" w:hAnsi="Times New Roman"/>
          <w:color w:val="000000"/>
          <w:sz w:val="20"/>
        </w:rPr>
        <w:t xml:space="preserve">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 </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risks, including those described in Item 1A of our Annual Report on Form 10-K for the fiscal year ended December 31, 2023, which we strongly encourage you to review. There have been no material changes from the risk factors described in our Annual Report on Form 10-K for the year ended December 31, 2023 filed with the Commission on March 14, 2024.</w:t>
      </w:r>
    </w:p>
    <w:p>
      <w:pPr>
        <w:pStyle w:val="TextBody"/>
        <w:bidi w:val="0"/>
        <w:spacing w:before="3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none of our directors or officers adopted or terminated a "Rule 10b5-1 trading arrangement" (as defined in Item 408 of Regulation S-K of the Exchange Act) intended to satisfy the affirmative defense conditions of Rule 10b5-1(c) under the Exchange Act, other than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Lance Kurata, our Chief Legal Officer, adopted a Rule 10b5-1 trading arrangement as of June 12, 2024. Mr. Kurata's trading arrangement provides for the exercise of up to an aggregate of 35,000 options to purchase shares of common stock and subsequent sale of such underlying shares of common stock, until June 12, 2025.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9097"/>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7"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962" w:type="dxa"/>
            <w:tcBorders/>
            <w:vAlign w:val="center"/>
          </w:tcPr>
          <w:p>
            <w:pPr>
              <w:pStyle w:val="TableContents"/>
              <w:bidi w:val="0"/>
              <w:spacing w:before="0" w:after="283"/>
              <w:jc w:val="left"/>
              <w:rPr/>
            </w:pPr>
            <w:r>
              <w:rPr/>
              <w:t> </w:t>
            </w:r>
          </w:p>
        </w:tc>
        <w:tc>
          <w:tcPr>
            <w:tcW w:w="9243" w:type="dxa"/>
            <w:gridSpan w:val="2"/>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8">
              <w:r>
                <w:rPr>
                  <w:rStyle w:val="InternetLink"/>
                  <w:rFonts w:ascii="Times New Roman" w:hAnsi="Times New Roman"/>
                  <w:color w:val="0000FF"/>
                  <w:sz w:val="20"/>
                </w:rPr>
                <w:t xml:space="preserve"> </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2019 Omnibus Equity Incentive Plan. Incorporated by reference Exhibit 4.3 to the Registration Statement on Form S-8 filed on August 5, 2020 (File No. 333-240397).</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7"/>
        <w:gridCol w:w="146"/>
        <w:gridCol w:w="9412"/>
      </w:tblGrid>
      <w:tr>
        <w:trPr/>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2" w:type="dxa"/>
            <w:tcBorders/>
            <w:vAlign w:val="center"/>
          </w:tcPr>
          <w:p>
            <w:pPr>
              <w:pStyle w:val="TableContents"/>
              <w:bidi w:val="0"/>
              <w:spacing w:before="0" w:after="283"/>
              <w:jc w:val="left"/>
              <w:rPr>
                <w:sz w:val="4"/>
                <w:szCs w:val="4"/>
              </w:rPr>
            </w:pPr>
            <w:r>
              <w:rPr>
                <w:sz w:val="4"/>
                <w:szCs w:val="4"/>
              </w:rPr>
            </w:r>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color w:val="0000FF"/>
                <w:sz w:val="20"/>
              </w:rPr>
              <w:t xml:space="preserve"> </w:t>
            </w:r>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2020 Employee Stock Purchase Plan. Incorporated by reference to Exhibit 4.3 to Form S-8 filed on August 5, 2020 (File No. 333-240392).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Arcturus Therapeutics Holdings Inc. 2021 Inducement Equity Incentive Plan. Incorporated by reference to Exhibit 4.1 to the Registration Statement on Form S-8 filed on October 20, 2021 (File No. 333-260391).</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Amended and Restated 2019 Omnibus Equity Incentive Plan, as amended. Incorporated by reference to Exhibit 4.3 to the Registration Statement on Form S-8 filed on June 30, 2022.</w:t>
              </w:r>
            </w:hyperlink>
            <w:hyperlink r:id="rId35">
              <w:r>
                <w:rPr>
                  <w:rStyle w:val="InternetLink"/>
                  <w:rFonts w:ascii="Times New Roman" w:hAnsi="Times New Roman"/>
                  <w:color w:val="0000FF"/>
                  <w:sz w:val="20"/>
                </w:rPr>
                <w:t xml:space="preserve"> </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37">
              <w:r>
                <w:rPr>
                  <w:rStyle w:val="InternetLink"/>
                  <w:rFonts w:ascii="Times New Roman" w:hAnsi="Times New Roman"/>
                  <w:color w:val="0000FF"/>
                  <w:sz w:val="20"/>
                </w:rPr>
                <w:t xml:space="preserve"> </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Study Support Agreement, dated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41">
              <w:r>
                <w:rPr>
                  <w:rStyle w:val="InternetLink"/>
                  <w:rFonts w:ascii="Times New Roman" w:hAnsi="Times New Roman"/>
                  <w:color w:val="0000FF"/>
                  <w:sz w:val="20"/>
                </w:rPr>
                <w:t xml:space="preserve"> </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r>
        <w:trPr/>
        <w:tc>
          <w:tcPr>
            <w:tcW w:w="6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3">
              <w:r>
                <w:rPr>
                  <w:rStyle w:val="InternetLink"/>
                  <w:rFonts w:ascii="Times New Roman" w:hAnsi="Times New Roman"/>
                  <w:color w:val="0000FF"/>
                  <w:sz w:val="20"/>
                </w:rPr>
                <w:t xml:space="preserve"> </w:t>
              </w:r>
            </w:hyperlink>
          </w:p>
        </w:tc>
      </w:tr>
      <w:tr>
        <w:trPr/>
        <w:tc>
          <w:tcPr>
            <w:tcW w:w="6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2"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
        <w:gridCol w:w="146"/>
        <w:gridCol w:w="9395"/>
      </w:tblGrid>
      <w:tr>
        <w:trPr/>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5">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7">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hyperlink r:id="rId49">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hyperlink r:id="rId51">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Amendment Number Two to Collaboration and License Agreement, dated March 29, 2024, by and between Arcturus Therapeutics, Inc. and Seqirus Inc. Incorporated by reference to Exhibit 10.33 to Quarterly Report on Form 10-Q filed on May 8, 2024 (File No. 001-38942).</w:t>
              </w:r>
            </w:hyperlink>
            <w:hyperlink r:id="rId53">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Amended and Restated 2019 Omnibus Equity Incentive Plan, as amended. Incorporated by reference to Exhibit 10.1 to the Current Report on Form 8-K filed on June 14, 2024 (File No. 001-38942).</w:t>
              </w:r>
            </w:hyperlink>
            <w:hyperlink r:id="rId55">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w:anchor="arct-ex10_35.htm">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w:t>
              </w:r>
            </w:hyperlink>
            <w:hyperlink w:anchor="arct-ex10_35.htm">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Officer pursuant to Rule 13a-14(a) or 15d-14(a) under the Securities Exchange Act of 1934, as amended.</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Quarterly Report on Form 10-Q for the fiscal quarter ended June 30, 2024 formatted in Inline Extensible Business Reporting Language (Inline XBRL):</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 Inline XBRL Taxonomy Extension Calculation Linkbase</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 Inline XBRL Taxonomy Extension Definition Linkbase</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 Inline XBRL Taxonomy Extension Label Linkbase</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 Inline XBRL Taxonomy Extension Presentation Linkbase</w:t>
            </w:r>
          </w:p>
        </w:tc>
      </w:tr>
      <w:tr>
        <w:trPr/>
        <w:tc>
          <w:tcPr>
            <w:tcW w:w="6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6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confidential portions of this exhibit have been redacted from the publicly filed document because such portions are (i) not material and (ii) would be competitively harmful of publicly disclosed.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compensatory plan, contract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
      <w:bookmarkEnd w:id="23"/>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36" w:type="dxa"/>
        <w:jc w:val="left"/>
        <w:tblInd w:w="0" w:type="dxa"/>
        <w:tblLayout w:type="fixed"/>
        <w:tblCellMar>
          <w:top w:w="28" w:type="dxa"/>
          <w:left w:w="28" w:type="dxa"/>
          <w:bottom w:w="28" w:type="dxa"/>
          <w:right w:w="28" w:type="dxa"/>
        </w:tblCellMar>
      </w:tblPr>
      <w:tblGrid>
        <w:gridCol w:w="1846"/>
        <w:gridCol w:w="460"/>
        <w:gridCol w:w="3830"/>
      </w:tblGrid>
      <w:tr>
        <w:trPr/>
        <w:tc>
          <w:tcPr>
            <w:tcW w:w="18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4290"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290" w:type="dxa"/>
            <w:gridSpan w:val="2"/>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4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8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Andy Sassine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Andy Sassine</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bookmarkStart w:id="24" w:name="arct-ex10_35.htm"/>
      <w:bookmarkStart w:id="25" w:name="ksarctex10_35"/>
      <w:bookmarkEnd w:id="24"/>
      <w:bookmarkEnd w:id="25"/>
      <w:r>
        <w:rPr>
          <w:rFonts w:ascii="Times New Roman" w:hAnsi="Times New Roman"/>
          <w:color w:val="000000"/>
          <w:sz w:val="24"/>
        </w:rPr>
        <w:t>CERTAIN CONFIDENTIAL INFORMATION CONTAINED IN THIS DOCUMENT, MARKED BY [***], HAS BEEN OMITTED BECAUSE IT IS BOTH (I) NOT MATERIAL AND (II) IS THE TYPE THAT THE REGISTRANT TREATS AS PRIVATE OR CONFIDENTIAL</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10.35</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First Amendment to Credit Agreement</w:t>
        <w:br/>
        <w:t>and First Amendment to Revolving Line of Credit Note</w:t>
      </w:r>
    </w:p>
    <w:p>
      <w:pPr>
        <w:pStyle w:val="TextBody"/>
        <w:bidi w:val="0"/>
        <w:spacing w:before="0" w:after="240"/>
        <w:jc w:val="both"/>
        <w:rPr>
          <w:rFonts w:ascii="Times New Roman" w:hAnsi="Times New Roman"/>
          <w:sz w:val="20"/>
        </w:rPr>
      </w:pPr>
      <w:r>
        <w:rPr>
          <w:rFonts w:ascii="Times New Roman" w:hAnsi="Times New Roman"/>
          <w:color w:val="000000"/>
          <w:sz w:val="24"/>
        </w:rPr>
        <w:t>This First Amendment to Credit Agreement and First Amendment to Revolving Line of Credit Note (the “</w:t>
      </w:r>
      <w:r>
        <w:rPr>
          <w:rFonts w:ascii="Times New Roman" w:hAnsi="Times New Roman"/>
          <w:i/>
          <w:color w:val="000000"/>
          <w:sz w:val="24"/>
        </w:rPr>
        <w:t>Amendment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 entered into as of June 26, 2024 (the “</w:t>
      </w:r>
      <w:r>
        <w:rPr>
          <w:rFonts w:ascii="Times New Roman" w:hAnsi="Times New Roman"/>
          <w:i/>
          <w:color w:val="000000"/>
          <w:sz w:val="24"/>
        </w:rPr>
        <w:t>Amendment 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by and among ARCTURUS THERAPEUTICS, INC., a Delaware corporation (“</w:t>
      </w:r>
      <w:r>
        <w:rPr>
          <w:rFonts w:ascii="Times New Roman" w:hAnsi="Times New Roman"/>
          <w:i/>
          <w:color w:val="000000"/>
          <w:sz w:val="24"/>
        </w:rPr>
        <w:t>Borrower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WELLS FARGO BANK, NATIONAL ASSOCIATION (the “</w:t>
      </w:r>
      <w:r>
        <w:rPr>
          <w:rFonts w:ascii="Times New Roman" w:hAnsi="Times New Roman"/>
          <w:i/>
          <w:color w:val="000000"/>
          <w:sz w:val="24"/>
        </w:rPr>
        <w:t>Bank</w:t>
      </w:r>
      <w:r>
        <w:rPr>
          <w:rFonts w:ascii="Times New Roman" w:hAnsi="Times New Roman"/>
          <w:color w:val="000000"/>
          <w:sz w:val="20"/>
        </w:rPr>
        <w:t>”</w:t>
      </w:r>
      <w:r>
        <w:rPr>
          <w:rFonts w:ascii="Times New Roman" w:hAnsi="Times New Roman"/>
          <w:color w:val="000000"/>
          <w:sz w:val="24"/>
        </w:rPr>
        <w:t>)</w:t>
      </w:r>
      <w:r>
        <w:rPr>
          <w:rFonts w:ascii="Times New Roman" w:hAnsi="Times New Roman"/>
          <w:i/>
          <w:color w:val="000000"/>
          <w:sz w:val="24"/>
        </w:rPr>
        <w:t>.</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Recitals</w:t>
      </w:r>
      <w:r>
        <w:rPr>
          <w:rFonts w:ascii="Times New Roman" w:hAnsi="Times New Roman"/>
          <w:b/>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Borrower and the Bank are party to that certain Credit Agreement dated as of April 21, 2023 (as amended, modified, restated, or supplemented from time to time prior to the date hereof, the “</w:t>
      </w:r>
      <w:r>
        <w:rPr>
          <w:rFonts w:ascii="Times New Roman" w:hAnsi="Times New Roman"/>
          <w:i/>
          <w:color w:val="000000"/>
          <w:sz w:val="24"/>
        </w:rPr>
        <w:t>Existing Credit Agreement</w:t>
      </w:r>
      <w:r>
        <w:rPr>
          <w:rFonts w:ascii="Times New Roman" w:hAnsi="Times New Roman"/>
          <w:color w:val="000000"/>
          <w:sz w:val="20"/>
        </w:rPr>
        <w:t xml:space="preserve">” </w:t>
      </w:r>
      <w:r>
        <w:rPr>
          <w:rFonts w:ascii="Times New Roman" w:hAnsi="Times New Roman"/>
          <w:color w:val="000000"/>
          <w:sz w:val="24"/>
        </w:rPr>
        <w:t>and the Existing Credit Agreement as amended hereby, the “</w:t>
      </w:r>
      <w:r>
        <w:rPr>
          <w:rFonts w:ascii="Times New Roman" w:hAnsi="Times New Roman"/>
          <w:i/>
          <w:color w:val="000000"/>
          <w:sz w:val="24"/>
        </w:rPr>
        <w:t>Credit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i/>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Pursuant to the terms of the Existing Credit Agreement, the Borrower delivered to Bank that certain Revolving Line of Credit Note dated as of April 21, 2023 (as amended, modified, restated, or supplemented from time to time prior to the date hereof, the “</w:t>
      </w:r>
      <w:r>
        <w:rPr>
          <w:rFonts w:ascii="Times New Roman" w:hAnsi="Times New Roman"/>
          <w:i/>
          <w:color w:val="000000"/>
          <w:sz w:val="24"/>
        </w:rPr>
        <w:t>Existing Note</w:t>
      </w:r>
      <w:r>
        <w:rPr>
          <w:rFonts w:ascii="Times New Roman" w:hAnsi="Times New Roman"/>
          <w:color w:val="000000"/>
          <w:sz w:val="20"/>
        </w:rPr>
        <w:t xml:space="preserve">” </w:t>
      </w:r>
      <w:r>
        <w:rPr>
          <w:rFonts w:ascii="Times New Roman" w:hAnsi="Times New Roman"/>
          <w:color w:val="000000"/>
          <w:sz w:val="24"/>
        </w:rPr>
        <w:t>and the Existing Note as amended hereby, the “</w:t>
      </w:r>
      <w:r>
        <w:rPr>
          <w:rFonts w:ascii="Times New Roman" w:hAnsi="Times New Roman"/>
          <w:i/>
          <w:color w:val="000000"/>
          <w:sz w:val="24"/>
        </w:rPr>
        <w:t>Note</w:t>
      </w:r>
      <w:r>
        <w:rPr>
          <w:rFonts w:ascii="Times New Roman" w:hAnsi="Times New Roman"/>
          <w:color w:val="000000"/>
          <w:sz w:val="20"/>
        </w:rPr>
        <w:t>”</w:t>
      </w:r>
      <w:r>
        <w:rPr>
          <w:rFonts w:ascii="Times New Roman" w:hAnsi="Times New Roman"/>
          <w:color w:val="000000"/>
          <w:sz w:val="24"/>
        </w:rPr>
        <w:t>)</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has requested that the Bank amend the Existing Credit Agreement and the Existing Note, in each case, to extend the Maturity Date, and the Bank is willing to do so under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is hereby acknowledged, the parties hereto agree as follows: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1.</w:t>
      </w:r>
    </w:p>
    <w:p>
      <w:pPr>
        <w:pStyle w:val="TextBody"/>
        <w:bidi w:val="0"/>
        <w:spacing w:before="0" w:after="240"/>
        <w:jc w:val="both"/>
        <w:rPr/>
      </w:pPr>
      <w:r>
        <w:rPr>
          <w:rFonts w:ascii="Times New Roman" w:hAnsi="Times New Roman"/>
          <w:i/>
          <w:color w:val="000000"/>
          <w:sz w:val="24"/>
        </w:rPr>
        <w:t xml:space="preserve">Incorporation of Recitals; Defined Terms. </w:t>
      </w:r>
      <w:r>
        <w:rPr>
          <w:rFonts w:ascii="Times New Roman" w:hAnsi="Times New Roman"/>
          <w:color w:val="000000"/>
          <w:sz w:val="24"/>
        </w:rPr>
        <w:t>The Borrower acknowledges that the Recitals set forth above are true and correct. This Amendment shall constitute a Loan Document, and the Recitals shall be construed as part of this Amendment. Each capitalized term used but not otherwise defined herein, including capitalized terms used in the introductory paragraph hereof and the Recitals, has the meaning assigned to it in the Existing Credit Agreement.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2.</w:t>
      </w:r>
    </w:p>
    <w:p>
      <w:pPr>
        <w:pStyle w:val="TextBody"/>
        <w:bidi w:val="0"/>
        <w:spacing w:before="0" w:after="240"/>
        <w:jc w:val="both"/>
        <w:rPr/>
      </w:pPr>
      <w:r>
        <w:rPr>
          <w:rFonts w:ascii="Times New Roman" w:hAnsi="Times New Roman"/>
          <w:i/>
          <w:color w:val="000000"/>
          <w:sz w:val="24"/>
        </w:rPr>
        <w:t xml:space="preserve">Amendments to Existing Credit Agreement. </w:t>
      </w:r>
      <w:r>
        <w:rPr>
          <w:rFonts w:ascii="Times New Roman" w:hAnsi="Times New Roman"/>
          <w:color w:val="000000"/>
          <w:sz w:val="24"/>
        </w:rPr>
        <w:t>Subject to the satisfaction of the conditions precedent set forth in Section 4 below, the defined term “Maturity Date” set forth in Section 1.1 of the Existing Credit Agreement is hereby amended and restated in its entirety as follows:</w:t>
      </w:r>
    </w:p>
    <w:p>
      <w:pPr>
        <w:pStyle w:val="TextBody"/>
        <w:bidi w:val="0"/>
        <w:spacing w:before="0" w:after="240"/>
        <w:jc w:val="both"/>
        <w:rPr>
          <w:color w:val="000000"/>
        </w:rPr>
      </w:pPr>
      <w:r>
        <w:rPr>
          <w:color w:val="000000"/>
        </w:rPr>
        <w:t>“</w:t>
      </w:r>
      <w:r>
        <w:rPr>
          <w:rFonts w:ascii="Times New Roman" w:hAnsi="Times New Roman"/>
          <w:color w:val="000000"/>
          <w:sz w:val="24"/>
        </w:rPr>
        <w:t>Maturity Date” means April 21, 2026; provided, however, that if such date is not a Business Day, the Maturity Date shall be the immediately preceding Business Day.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3.</w:t>
      </w:r>
    </w:p>
    <w:p>
      <w:pPr>
        <w:pStyle w:val="TextBody"/>
        <w:bidi w:val="0"/>
        <w:spacing w:before="0" w:after="240"/>
        <w:jc w:val="both"/>
        <w:rPr/>
      </w:pPr>
      <w:r>
        <w:rPr>
          <w:rFonts w:ascii="Times New Roman" w:hAnsi="Times New Roman"/>
          <w:i/>
          <w:color w:val="000000"/>
          <w:sz w:val="24"/>
        </w:rPr>
        <w:t xml:space="preserve">Amendments to Existing Note. </w:t>
      </w:r>
      <w:r>
        <w:rPr>
          <w:rFonts w:ascii="Times New Roman" w:hAnsi="Times New Roman"/>
          <w:color w:val="000000"/>
          <w:sz w:val="24"/>
        </w:rPr>
        <w:t>Subject to the satisfaction of the conditions precedent set forth in Section 4 below, the last sentence of clause (a) of the section titled “BORROWING AND REPAYMENT” of the Existing Note is hereby amended and restated in its entirety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outstanding principal balance of this Note shall be due and payable in full on April 21, 2026.</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4.</w:t>
      </w:r>
    </w:p>
    <w:p>
      <w:pPr>
        <w:pStyle w:val="TextBody"/>
        <w:bidi w:val="0"/>
        <w:spacing w:before="0" w:after="240"/>
        <w:jc w:val="both"/>
        <w:rPr/>
      </w:pPr>
      <w:r>
        <w:rPr>
          <w:rFonts w:ascii="Times New Roman" w:hAnsi="Times New Roman"/>
          <w:i/>
          <w:color w:val="000000"/>
          <w:sz w:val="24"/>
        </w:rPr>
        <w:t xml:space="preserve">Conditions Precedent. </w:t>
      </w:r>
      <w:r>
        <w:rPr>
          <w:rFonts w:ascii="Times New Roman" w:hAnsi="Times New Roman"/>
          <w:color w:val="000000"/>
          <w:sz w:val="24"/>
        </w:rPr>
        <w:t>The effectiveness of this Amendment is subject to the satisfaction of the following conditions precedent: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and the Bank shall have executed and delivered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 shall have received, a certificate from the Secretary of Borrower certifying that (a) the resolutions, organizational documents and incumbency previously provided to the Bank pursuant to Section 4.1(a)(ii) of the Existing Credit Agreement remain in full force and effect and have not been amended or otherwise modified from such delivered documents, and (b) the Borrower is in good standing, as certified as of a recent date by the Secretary of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 shall have received payment in full of the extension commitment fee of $[***], which shall be due and payable to the Bank on the date hereof, and counsel to the Bank shall have received all reasonable and documented fees and out-of-pocket expenses to the extent accrued and unpaid prior to the Amendment Effective Date.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5.</w:t>
      </w:r>
    </w:p>
    <w:p>
      <w:pPr>
        <w:pStyle w:val="TextBody"/>
        <w:bidi w:val="0"/>
        <w:spacing w:before="0" w:after="240"/>
        <w:jc w:val="both"/>
        <w:rPr/>
      </w:pPr>
      <w:r>
        <w:rPr>
          <w:rFonts w:ascii="Times New Roman" w:hAnsi="Times New Roman"/>
          <w:i/>
          <w:color w:val="000000"/>
          <w:sz w:val="24"/>
        </w:rPr>
        <w:t xml:space="preserve">Acknowledgement of Liens. </w:t>
      </w:r>
      <w:r>
        <w:rPr>
          <w:rFonts w:ascii="Times New Roman" w:hAnsi="Times New Roman"/>
          <w:color w:val="000000"/>
          <w:sz w:val="24"/>
        </w:rPr>
        <w:t>The Borrower hereby acknowledges, confirms, and agrees that the Bank has a valid, enforceable (except as enforceability may be limited by applicable bankruptcy, insolvency, or similar laws affecting the enforcement of creditors’ rights generally or by equitable principles relating to enforceability) and perfected first-priority lien upon and security interest in the Collateral granted to the Bank pursuant to the Loan Documents, and nothing herein contained shall in any manner affect or impair the priority of the Liens created and provided for thereby as to the Obligations which would be secured thereby prior to giving effect to this Amendment.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6.</w:t>
      </w:r>
    </w:p>
    <w:p>
      <w:pPr>
        <w:pStyle w:val="TextBody"/>
        <w:bidi w:val="0"/>
        <w:spacing w:before="0" w:after="240"/>
        <w:jc w:val="both"/>
        <w:rPr/>
      </w:pPr>
      <w:r>
        <w:rPr>
          <w:rFonts w:ascii="Times New Roman" w:hAnsi="Times New Roman"/>
          <w:i/>
          <w:color w:val="000000"/>
          <w:sz w:val="24"/>
        </w:rPr>
        <w:t xml:space="preserve">Representations and Warranties of Borrower. </w:t>
      </w:r>
      <w:r>
        <w:rPr>
          <w:rFonts w:ascii="Times New Roman" w:hAnsi="Times New Roman"/>
          <w:color w:val="000000"/>
          <w:sz w:val="24"/>
        </w:rPr>
        <w:t xml:space="preserve">To induce the Bank to enter into this Amendment, the Borrower hereby represents and warrants to the Bank that, as of the date hereof: (a) after giving effect to this Amendment, each representation and warranty of the Borrower in each Loan Document, including those in Article III of the Existing Credit Agreement, is true and correct (or, in the case of any representation or warranty not qualified as to materiality, true and correct in all material respects) as of the date hereof, except to the extent that such representation or warranty expressly relates to an earlier date, in which case it is true and correct (or, in the case of any representation or warranty not qualified as to materiality, true and correct in all material respects) as of such earlier date, (b) after giving effect to this Amendment, no Event of Default, and no condition, event or act which with the giving of notice or the passage of time or both would constitute such an Event of Default, has occurred and is continuing or exists, or would result herefrom, and (c) the Borrower has the power and authority to execute, deliver, and perform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and has taken all necessary action to authorize their execution, delivery, and performance of this Amendment.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Section 7.</w:t>
      </w:r>
    </w:p>
    <w:p>
      <w:pPr>
        <w:pStyle w:val="TextBody"/>
        <w:bidi w:val="0"/>
        <w:spacing w:before="0" w:after="240"/>
        <w:jc w:val="both"/>
        <w:rPr/>
      </w:pPr>
      <w:r>
        <w:rPr>
          <w:rFonts w:ascii="Times New Roman" w:hAnsi="Times New Roman"/>
          <w:i/>
          <w:color w:val="000000"/>
          <w:sz w:val="24"/>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i/>
          <w:color w:val="000000"/>
          <w:sz w:val="24"/>
        </w:rPr>
        <w:t xml:space="preserve">Successors and Assigns. </w:t>
      </w:r>
      <w:r>
        <w:rPr>
          <w:rFonts w:ascii="Times New Roman" w:hAnsi="Times New Roman"/>
          <w:color w:val="000000"/>
          <w:sz w:val="24"/>
        </w:rPr>
        <w:t>This Amendment shall be binding on and shall inure to the benefit of the Borrower and the Bank and their respective successors and assigns. The terms and provisions of this Amendment are for the purpose of defining the relative rights and obligations of the Borrower and the Bank with respect to the transactions contemplated hereby, and there shall be no third-party beneficiaries of any of the terms and provisions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i/>
          <w:color w:val="000000"/>
          <w:sz w:val="24"/>
        </w:rPr>
        <w:t xml:space="preserve">Entire Agreement. </w:t>
      </w:r>
      <w:r>
        <w:rPr>
          <w:rFonts w:ascii="Times New Roman" w:hAnsi="Times New Roman"/>
          <w:color w:val="000000"/>
          <w:sz w:val="24"/>
        </w:rPr>
        <w:t>This Amendment constitutes the entire agreement of the parties with respect to the subject matter hereof and supersedes all other understandings, oral or written, with respect to the subject matter hereof. Except as specifically amended hereby, all of the terms and conditions set forth in the Existing Credit Agreement and the Existing Note shall stand and remain unchanged and in full force and effect. On and after the date hereof, each reference in the Existing Credit Agreement to “this Agreement”, “hereunder”, “hereof”, “herein”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as amended hereby. On and after the date hereof, each reference in the Existing Note to “this Note”, “hereunder”, “hereof’, “herein” or words of like import referring to the Existing Note, and each reference in the other Loan Documents to the “Note”, “thereunder”, “thereof” or words of like import referring to the Existing Note shall mean and be a reference to the Existing Note as amended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pPr>
      <w:r>
        <w:rPr>
          <w:rFonts w:ascii="Times New Roman" w:hAnsi="Times New Roman"/>
          <w:i/>
          <w:color w:val="000000"/>
          <w:sz w:val="24"/>
        </w:rPr>
        <w:t xml:space="preserve">Headings. </w:t>
      </w:r>
      <w:r>
        <w:rPr>
          <w:rFonts w:ascii="Times New Roman" w:hAnsi="Times New Roman"/>
          <w:color w:val="000000"/>
          <w:sz w:val="24"/>
        </w:rPr>
        <w:t>Section and sub-section headings in this Amendment are included herein for convenience of reference only and shall not constitute a part of this Amendment for any other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pPr>
      <w:r>
        <w:rPr>
          <w:rFonts w:ascii="Times New Roman" w:hAnsi="Times New Roman"/>
          <w:i/>
          <w:color w:val="000000"/>
          <w:sz w:val="24"/>
        </w:rPr>
        <w:t xml:space="preserve">Severability. </w:t>
      </w:r>
      <w:r>
        <w:rPr>
          <w:rFonts w:ascii="Times New Roman" w:hAnsi="Times New Roman"/>
          <w:color w:val="000000"/>
          <w:sz w:val="24"/>
        </w:rPr>
        <w:t>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pPr>
      <w:r>
        <w:rPr>
          <w:rFonts w:ascii="Times New Roman" w:hAnsi="Times New Roman"/>
          <w:i/>
          <w:color w:val="000000"/>
          <w:sz w:val="24"/>
        </w:rPr>
        <w:t xml:space="preserve">Conflict of Terms. </w:t>
      </w:r>
      <w:r>
        <w:rPr>
          <w:rFonts w:ascii="Times New Roman" w:hAnsi="Times New Roman"/>
          <w:color w:val="000000"/>
          <w:sz w:val="24"/>
        </w:rPr>
        <w:t>Except as otherwise provided in this Amendment, if any provision contained in this Amendment conflicts with, or is inconsistent with, any provision in any of the Loan Documents, the provision contained in this Amendment shall govern and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both"/>
        <w:rPr/>
      </w:pPr>
      <w:r>
        <w:rPr>
          <w:rFonts w:ascii="Times New Roman" w:hAnsi="Times New Roman"/>
          <w:i/>
          <w:color w:val="000000"/>
          <w:sz w:val="24"/>
        </w:rPr>
        <w:t xml:space="preserve">Counterparts. </w:t>
      </w:r>
      <w:r>
        <w:rPr>
          <w:rFonts w:ascii="Times New Roman" w:hAnsi="Times New Roman"/>
          <w:color w:val="000000"/>
          <w:sz w:val="24"/>
        </w:rPr>
        <w:t xml:space="preserve">This Amendment may be executed in any number of separate counterparts, each of which shall collectively and separately constitute one agreement. Delivery of an executed signature page to this Amendment by facsimile transmission or by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transmission of an Adobe portable document format file (also known as a “PDF” file) shall be effective as delivery of a manually executed counterpart hereof.</w:t>
      </w:r>
    </w:p>
    <w:p>
      <w:pPr>
        <w:pStyle w:val="TextBody"/>
        <w:bidi w:val="0"/>
        <w:spacing w:before="0" w:after="600"/>
        <w:jc w:val="both"/>
        <w:rPr>
          <w:rFonts w:ascii="Times New Roman" w:hAnsi="Times New Roman"/>
          <w:color w:val="000000"/>
          <w:sz w:val="24"/>
        </w:rPr>
      </w:pPr>
      <w:r>
        <w:rPr>
          <w:rFonts w:ascii="Times New Roman" w:hAnsi="Times New Roman"/>
          <w:color w:val="000000"/>
          <w:sz w:val="24"/>
        </w:rPr>
        <w:t>7.7.</w:t>
      </w:r>
    </w:p>
    <w:p>
      <w:pPr>
        <w:pStyle w:val="TextBody"/>
        <w:bidi w:val="0"/>
        <w:spacing w:before="0" w:after="600"/>
        <w:jc w:val="both"/>
        <w:rPr>
          <w:rFonts w:ascii="Times New Roman" w:hAnsi="Times New Roman"/>
          <w:color w:val="000000"/>
          <w:sz w:val="24"/>
        </w:rPr>
      </w:pPr>
      <w:r>
        <w:rPr>
          <w:rFonts w:ascii="Times New Roman" w:hAnsi="Times New Roman"/>
          <w:color w:val="000000"/>
          <w:sz w:val="24"/>
        </w:rPr>
        <w:t>Incorporation of Credit Agreement. The provisions contained in Sections 8.10 (Governing Law), 8.13 (Arbitration) and 8.15 (Acknowledgement Regarding Any Supported QFCs) of the Credit Agreement are incorporated herein by reference to the same extent as if reproduced herein in their entirety, except with reference to this Amendment rather than the Credit Agreement.</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[Signature Pages to Follow]</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IN WITNESS WHEREOF, the parties hereto have caused their duly authorized officers to execute and deliver this Amendment as of the date first set forth above.</w:t>
      </w:r>
    </w:p>
    <w:p>
      <w:pPr>
        <w:pStyle w:val="TextBody"/>
        <w:bidi w:val="0"/>
        <w:spacing w:before="0" w:after="360"/>
        <w:jc w:val="both"/>
        <w:rPr/>
      </w:pPr>
      <w:r>
        <w:rPr>
          <w:color w:val="000000"/>
        </w:rPr>
        <w:t>“</w:t>
      </w:r>
      <w:r>
        <w:rPr>
          <w:rFonts w:ascii="Times New Roman" w:hAnsi="Times New Roman"/>
          <w:i/>
          <w:smallCaps/>
          <w:color w:val="000000"/>
          <w:sz w:val="24"/>
        </w:rPr>
        <w:t>Borrower</w:t>
      </w:r>
      <w:r>
        <w:rPr>
          <w:rFonts w:ascii="Times New Roman" w:hAnsi="Times New Roman"/>
          <w:color w:val="000000"/>
          <w:sz w:val="20"/>
        </w:rPr>
        <w:t>”</w:t>
      </w:r>
    </w:p>
    <w:p>
      <w:pPr>
        <w:pStyle w:val="TextBody"/>
        <w:bidi w:val="0"/>
        <w:spacing w:before="0" w:after="600"/>
        <w:jc w:val="both"/>
        <w:rPr>
          <w:rFonts w:ascii="Times New Roman" w:hAnsi="Times New Roman"/>
          <w:smallCaps/>
          <w:color w:val="000000"/>
          <w:sz w:val="24"/>
        </w:rPr>
      </w:pPr>
      <w:r>
        <w:rPr>
          <w:rFonts w:ascii="Times New Roman" w:hAnsi="Times New Roman"/>
          <w:smallCaps/>
          <w:color w:val="000000"/>
          <w:sz w:val="24"/>
        </w:rPr>
        <w:t>Arcturus Therapeutics, Inc.</w:t>
      </w:r>
    </w:p>
    <w:p>
      <w:pPr>
        <w:pStyle w:val="TextBody"/>
        <w:bidi w:val="0"/>
        <w:spacing w:before="0" w:after="4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Lance Kurata </w:t>
      </w:r>
    </w:p>
    <w:p>
      <w:pPr>
        <w:pStyle w:val="TextBody"/>
        <w:bidi w:val="0"/>
        <w:spacing w:before="0" w:after="4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Lance Kurata </w:t>
      </w:r>
    </w:p>
    <w:p>
      <w:pPr>
        <w:pStyle w:val="TextBody"/>
        <w:bidi w:val="0"/>
        <w:spacing w:before="0" w:after="360"/>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Chief Legal Officer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xml:space="preserve">[Signature Page to First Amendment to Credit Agreement </w:t>
        <w:br/>
        <w:t>and First Amendment to Revolving Line of Credit Note]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pPr>
      <w:r>
        <w:rPr>
          <w:color w:val="000000"/>
        </w:rPr>
        <w:t>“</w:t>
      </w:r>
      <w:r>
        <w:rPr>
          <w:rFonts w:ascii="Times New Roman" w:hAnsi="Times New Roman"/>
          <w:i/>
          <w:smallCaps/>
          <w:color w:val="000000"/>
          <w:sz w:val="24"/>
        </w:rPr>
        <w:t>Bank</w:t>
      </w:r>
      <w:r>
        <w:rPr>
          <w:rFonts w:ascii="Times New Roman" w:hAnsi="Times New Roman"/>
          <w:color w:val="000000"/>
          <w:sz w:val="20"/>
        </w:rPr>
        <w:t>”</w:t>
      </w:r>
    </w:p>
    <w:p>
      <w:pPr>
        <w:pStyle w:val="TextBody"/>
        <w:bidi w:val="0"/>
        <w:spacing w:before="0" w:after="600"/>
        <w:jc w:val="left"/>
        <w:rPr>
          <w:rFonts w:ascii="Times New Roman" w:hAnsi="Times New Roman"/>
          <w:smallCaps/>
          <w:color w:val="000000"/>
          <w:sz w:val="24"/>
        </w:rPr>
      </w:pPr>
      <w:r>
        <w:rPr>
          <w:rFonts w:ascii="Times New Roman" w:hAnsi="Times New Roman"/>
          <w:smallCaps/>
          <w:color w:val="000000"/>
          <w:sz w:val="24"/>
        </w:rPr>
        <w:t>Wells Fargo Bank, National Association</w:t>
      </w:r>
    </w:p>
    <w:p>
      <w:pPr>
        <w:pStyle w:val="TextBody"/>
        <w:bidi w:val="0"/>
        <w:spacing w:before="0" w:after="4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Derek Jensen </w:t>
      </w:r>
    </w:p>
    <w:p>
      <w:pPr>
        <w:pStyle w:val="TextBody"/>
        <w:bidi w:val="0"/>
        <w:spacing w:before="0" w:after="4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Derek Jensen </w:t>
      </w:r>
    </w:p>
    <w:p>
      <w:pPr>
        <w:pStyle w:val="TextBody"/>
        <w:bidi w:val="0"/>
        <w:spacing w:before="0" w:after="360"/>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 xml:space="preserve">Vice President </w:t>
      </w:r>
    </w:p>
    <w:p>
      <w:pPr>
        <w:pStyle w:val="TextBody"/>
        <w:bidi w:val="0"/>
        <w:jc w:val="center"/>
        <w:rPr>
          <w:rFonts w:ascii="Times New Roman" w:hAnsi="Times New Roman"/>
          <w:color w:val="000000"/>
          <w:sz w:val="22"/>
        </w:rPr>
      </w:pPr>
      <w:r>
        <w:rPr>
          <w:rFonts w:ascii="Times New Roman" w:hAnsi="Times New Roman"/>
          <w:color w:val="000000"/>
          <w:sz w:val="22"/>
        </w:rPr>
        <w:t xml:space="preserve">[Signature Page to First Amendment to Credit Agreement </w:t>
        <w:br/>
        <w:t>and First Amendment to Revolving Line of Credit Note]</w:t>
      </w:r>
    </w:p>
    <w:p>
      <w:pPr>
        <w:pStyle w:val="HorizontalLine"/>
        <w:pBdr>
          <w:bottom w:val="double" w:sz="2" w:space="0" w:color="808080"/>
        </w:pBdr>
        <w:bidi w:val="0"/>
        <w:spacing w:before="0" w:after="283"/>
        <w:jc w:val="left"/>
        <w:rPr/>
      </w:pPr>
      <w:r>
        <w:rPr/>
      </w:r>
    </w:p>
    <w:p>
      <w:pPr>
        <w:pStyle w:val="TextBody"/>
        <w:bidi w:val="0"/>
        <w:jc w:val="left"/>
        <w:rPr/>
      </w:pPr>
      <w:bookmarkStart w:id="26" w:name="arct-ex31_1.htm"/>
      <w:bookmarkStart w:id="27" w:name="ksarctex31_1"/>
      <w:bookmarkEnd w:id="26"/>
      <w:bookmarkEnd w:id="27"/>
      <w:r>
        <w:rPr/>
        <w:t> </w:t>
      </w:r>
      <w:r>
        <w:br w:type="page"/>
      </w:r>
    </w:p>
    <w:p>
      <w:pPr>
        <w:pStyle w:val="TextBody"/>
        <w:bidi w:val="0"/>
        <w:jc w:val="right"/>
        <w:rPr>
          <w:rFonts w:ascii="Times New Roman" w:hAnsi="Times New Roman"/>
          <w:b/>
          <w:color w:val="000000"/>
          <w:sz w:val="20"/>
        </w:rPr>
      </w:pPr>
      <w:bookmarkStart w:id="28" w:name="exhibit_index"/>
      <w:bookmarkEnd w:id="28"/>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E. Payne,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rct-ex31_2.htm"/>
      <w:bookmarkStart w:id="30" w:name="ksarct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Andy Sassine,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Arcturus Therapeutics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rct-ex32_1.htm"/>
      <w:bookmarkStart w:id="32" w:name="ksarct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arct-ex32_2.htm"/>
      <w:bookmarkStart w:id="34" w:name="ksarct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Andy Sassine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768224/000119380522001786/e618047_ex1-2.htm" TargetMode="External"/><Relationship Id="rId6" Type="http://schemas.openxmlformats.org/officeDocument/2006/relationships/hyperlink" Target="https://www.sec.gov/Archives/edgar/data/1768224/000119380523001112/e618839_ex1-1.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566049/000119312519077140/d721306ds4.htm" TargetMode="External"/><Relationship Id="rId9" Type="http://schemas.openxmlformats.org/officeDocument/2006/relationships/hyperlink" Target="https://www.sec.gov/Archives/edgar/data/0001768224/000119380520001470/e620104_ex3-1.htm" TargetMode="External"/><Relationship Id="rId10" Type="http://schemas.openxmlformats.org/officeDocument/2006/relationships/hyperlink" Target="https://www.sec.gov/Archives/edgar/data/0001768224/000119380520000569/e619613_ex3-2.htm" TargetMode="External"/><Relationship Id="rId11" Type="http://schemas.openxmlformats.org/officeDocument/2006/relationships/hyperlink" Target="https://www.sec.gov/Archives/edgar/data/1768224/000156459021009872/arct-ex41_391.htm" TargetMode="External"/><Relationship Id="rId12" Type="http://schemas.openxmlformats.org/officeDocument/2006/relationships/hyperlink" Target="https://www.sec.gov/Archives/edgar/data/1768224/000156459020011037/arct-ex101_364.htm" TargetMode="External"/><Relationship Id="rId13" Type="http://schemas.openxmlformats.org/officeDocument/2006/relationships/hyperlink" Target="https://www.sec.gov/Archives/edgar/data/0001768224/000119380520000940/e619825_ex4-3.htm" TargetMode="External"/><Relationship Id="rId14" Type="http://schemas.openxmlformats.org/officeDocument/2006/relationships/hyperlink" Target="https://www.sec.gov/Archives/edgar/data/0001566049/000156459018023735/arct-ex992_6.htm" TargetMode="External"/><Relationship Id="rId15" Type="http://schemas.openxmlformats.org/officeDocument/2006/relationships/hyperlink" Target="https://www.sec.gov/Archives/edgar/data/0001566049/000156459018013460/arct-ex48_879.htm" TargetMode="External"/><Relationship Id="rId16" Type="http://schemas.openxmlformats.org/officeDocument/2006/relationships/hyperlink" Target="https://www.sec.gov/Archives/edgar/data/0001566049/000156459018013460/arct-ex410_883.htm" TargetMode="External"/><Relationship Id="rId17" Type="http://schemas.openxmlformats.org/officeDocument/2006/relationships/hyperlink" Target="https://www.sec.gov/Archives/edgar/data/0001566049/000119312519176908/d721252dex102.htm" TargetMode="External"/><Relationship Id="rId18" Type="http://schemas.openxmlformats.org/officeDocument/2006/relationships/hyperlink" Target="https://www.sec.gov/Archives/edgar/data/0001566049/000156459018013460/arct-ex411_878.htm" TargetMode="External"/><Relationship Id="rId19" Type="http://schemas.openxmlformats.org/officeDocument/2006/relationships/hyperlink" Target="https://www.sec.gov/Archives/edgar/data/0001768224/000156459019032166/arct-ex1016_165.htm" TargetMode="External"/><Relationship Id="rId20" Type="http://schemas.openxmlformats.org/officeDocument/2006/relationships/hyperlink" Target="https://www.sec.gov/Archives/edgar/data/0001566049/000156459018013460/arct-ex412_1677.htm" TargetMode="External"/><Relationship Id="rId21" Type="http://schemas.openxmlformats.org/officeDocument/2006/relationships/hyperlink" Target="https://www.sec.gov/Archives/edgar/data/0001768224/000156459019032166/arct-ex1020_166.htm" TargetMode="External"/><Relationship Id="rId22" Type="http://schemas.openxmlformats.org/officeDocument/2006/relationships/hyperlink" Target="https://www.sec.gov/Archives/edgar/data/0001566049/000156459018016705/arct-ex414_7.htm" TargetMode="External"/><Relationship Id="rId23" Type="http://schemas.openxmlformats.org/officeDocument/2006/relationships/hyperlink" Target="https://www.sec.gov/Archives/edgar/data/0001566049/000156459018013460/arct-ex415_876.htm" TargetMode="External"/><Relationship Id="rId24" Type="http://schemas.openxmlformats.org/officeDocument/2006/relationships/hyperlink" Target="https://www.sec.gov/Archives/edgar/data/0001566049/000156459019008092/arct-ex1013_446.htm" TargetMode="External"/><Relationship Id="rId25" Type="http://schemas.openxmlformats.org/officeDocument/2006/relationships/hyperlink" Target="https://www.sec.gov/Archives/edgar/data/0001566049/000156459018013460/arct-ex46_882.htm" TargetMode="External"/><Relationship Id="rId26" Type="http://schemas.openxmlformats.org/officeDocument/2006/relationships/hyperlink" Target="https://www.sec.gov/Archives/edgar/data/0001768224/000156459020011037/arct-ex1023_426.htm" TargetMode="External"/><Relationship Id="rId27" Type="http://schemas.openxmlformats.org/officeDocument/2006/relationships/hyperlink" Target="https://www.sec.gov/Archives/edgar/data/0001768224/000156459020011037/arct-ex1024_365.htm" TargetMode="External"/><Relationship Id="rId28" Type="http://schemas.openxmlformats.org/officeDocument/2006/relationships/hyperlink" Target="https://www.sec.gov/Archives/edgar/data/0001768224/000119380520000940/e619825_ex4-3.htm" TargetMode="External"/><Relationship Id="rId29" Type="http://schemas.openxmlformats.org/officeDocument/2006/relationships/hyperlink" Target="https://www.sec.gov/Archives/edgar/data/1768224/000156459021009872/arct-ex1029_392.htm" TargetMode="External"/><Relationship Id="rId30" Type="http://schemas.openxmlformats.org/officeDocument/2006/relationships/hyperlink" Target="https://www.sec.gov/Archives/edgar/data/1768224/000156459021009872/arct-ex1030_393.htm" TargetMode="External"/><Relationship Id="rId31" Type="http://schemas.openxmlformats.org/officeDocument/2006/relationships/hyperlink" Target="https://www.sec.gov/Archives/edgar/data/1768224/000119380521000538/e620514_ex10-1.htm" TargetMode="External"/><Relationship Id="rId32" Type="http://schemas.openxmlformats.org/officeDocument/2006/relationships/hyperlink" Target="https://www.sec.gov/Archives/edgar/data/1768224/000156459021055372/arct-ex1035_75.htm" TargetMode="External"/><Relationship Id="rId33" Type="http://schemas.openxmlformats.org/officeDocument/2006/relationships/hyperlink" Target="https://www.sec.gov/Archives/edgar/data/0001768224/000119380521001468/e621018_ex4-1.htm" TargetMode="External"/><Relationship Id="rId34" Type="http://schemas.openxmlformats.org/officeDocument/2006/relationships/hyperlink" Target="https://www.sec.gov/Archives/edgar/data/1768224/000119380522001036/e621786_ex4-3.htm" TargetMode="External"/><Relationship Id="rId35" Type="http://schemas.openxmlformats.org/officeDocument/2006/relationships/hyperlink" Target="https://www.sec.gov/Archives/edgar/data/1768224/000119380522001036/e621786_ex4-3.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095017022023969/arct-ex10_36.htm" TargetMode="External"/><Relationship Id="rId38" Type="http://schemas.openxmlformats.org/officeDocument/2006/relationships/hyperlink" Target="https://www.sec.gov/Archives/edgar/data/1768224/000119380522001480/e617791_ex10-1.htm" TargetMode="External"/><Relationship Id="rId39" Type="http://schemas.openxmlformats.org/officeDocument/2006/relationships/hyperlink" Target="https://www.sec.gov/Archives/edgar/data/1768224/000095017022023969/arct-ex10_38.htm" TargetMode="External"/><Relationship Id="rId40" Type="http://schemas.openxmlformats.org/officeDocument/2006/relationships/hyperlink" Target="https://www.sec.gov/Archives/edgar/data/1768224/000095017023010380/arct-ex10_41.htm" TargetMode="External"/><Relationship Id="rId41" Type="http://schemas.openxmlformats.org/officeDocument/2006/relationships/hyperlink" Target="https://www.sec.gov/Archives/edgar/data/1768224/000095017023010380/arct-ex10_41.htm" TargetMode="External"/><Relationship Id="rId42" Type="http://schemas.openxmlformats.org/officeDocument/2006/relationships/hyperlink" Target="https://www.sec.gov/Archives/edgar/data/1768224/000095017023019773/arct-ex10_28.htm" TargetMode="External"/><Relationship Id="rId43" Type="http://schemas.openxmlformats.org/officeDocument/2006/relationships/hyperlink" Target="https://www.sec.gov/Archives/edgar/data/1768224/000095017023019773/arct-ex10_28.htm" TargetMode="External"/><Relationship Id="rId44" Type="http://schemas.openxmlformats.org/officeDocument/2006/relationships/hyperlink" Target="https://www.sec.gov/Archives/edgar/data/1768224/000095017023019773/arct-ex10_29.htm" TargetMode="External"/><Relationship Id="rId45" Type="http://schemas.openxmlformats.org/officeDocument/2006/relationships/hyperlink" Target="https://www.sec.gov/Archives/edgar/data/1768224/000095017023019773/arct-ex10_29.htm" TargetMode="External"/><Relationship Id="rId46" Type="http://schemas.openxmlformats.org/officeDocument/2006/relationships/hyperlink" Target="https://www.sec.gov/Archives/edgar/data/1768224/000095017023019773/arct-ex10_30.htm" TargetMode="External"/><Relationship Id="rId47" Type="http://schemas.openxmlformats.org/officeDocument/2006/relationships/hyperlink" Target="https://www.sec.gov/Archives/edgar/data/1768224/000095017023019773/arct-ex10_30.htm" TargetMode="External"/><Relationship Id="rId48" Type="http://schemas.openxmlformats.org/officeDocument/2006/relationships/hyperlink" Target="https://www.sec.gov/Archives/edgar/data/1768224/000095017023063778/arct-ex10_31.htm" TargetMode="External"/><Relationship Id="rId49" Type="http://schemas.openxmlformats.org/officeDocument/2006/relationships/hyperlink" Target="https://www.sec.gov/Archives/edgar/data/1768224/000095017023063778/arct-ex10_31.htm" TargetMode="External"/><Relationship Id="rId50" Type="http://schemas.openxmlformats.org/officeDocument/2006/relationships/hyperlink" Target="https://www.sec.gov/Archives/edgar/data/1768224/000095017023063778/arct-ex10_32.htm" TargetMode="External"/><Relationship Id="rId51" Type="http://schemas.openxmlformats.org/officeDocument/2006/relationships/hyperlink" Target="https://www.sec.gov/Archives/edgar/data/1768224/000095017023063778/arct-ex10_32.htm" TargetMode="External"/><Relationship Id="rId52" Type="http://schemas.openxmlformats.org/officeDocument/2006/relationships/hyperlink" Target="https://www.sec.gov/Archives/edgar/data/1768224/000095017024055702/arct-ex10_33.htm" TargetMode="External"/><Relationship Id="rId53" Type="http://schemas.openxmlformats.org/officeDocument/2006/relationships/hyperlink" Target="https://www.sec.gov/Archives/edgar/data/1768224/000095017024055702/arct-ex10_33.htm" TargetMode="External"/><Relationship Id="rId54" Type="http://schemas.openxmlformats.org/officeDocument/2006/relationships/hyperlink" Target="https://www.sec.gov/Archives/edgar/data/1768224/000119380524000806/e663711_ex10-1.htm" TargetMode="External"/><Relationship Id="rId55" Type="http://schemas.openxmlformats.org/officeDocument/2006/relationships/hyperlink" Target="https://www.sec.gov/Archives/edgar/data/1768224/000119380524000806/e663711_ex10-1.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21530</Words>
  <Characters>120379</Characters>
  <CharactersWithSpaces>142311</CharactersWithSpaces>
  <Paragraphs>3906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