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Chivukula Pad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292" w:lineRule="auto"/>
        <w:rPr>
          <w:sz w:val="20"/>
          <w:szCs w:val="20"/>
          <w:color w:val="auto"/>
        </w:rPr>
      </w:pPr>
      <w:r>
        <w:rPr>
          <w:rFonts w:ascii="Arial" w:cs="Arial" w:eastAsia="Arial" w:hAnsi="Arial"/>
          <w:sz w:val="17"/>
          <w:szCs w:val="17"/>
          <w:color w:val="0000FF"/>
        </w:rPr>
        <w:t>C/O ARCTURUS THERAPEUTICS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Arcturus Therapeutics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0000FF"/>
        </w:rPr>
        <w:t xml:space="preserve">ARCT </w:t>
      </w:r>
      <w:r>
        <w:rPr>
          <w:rFonts w:ascii="Arial" w:cs="Arial" w:eastAsia="Arial" w:hAnsi="Arial"/>
          <w:sz w:val="21"/>
          <w:szCs w:val="21"/>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08/03/2021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465"/>
        <w:spacing w:after="0"/>
        <w:rPr>
          <w:sz w:val="20"/>
          <w:szCs w:val="20"/>
          <w:color w:val="auto"/>
        </w:rPr>
      </w:pPr>
      <w:r>
        <w:rPr>
          <w:rFonts w:ascii="Arial" w:cs="Arial" w:eastAsia="Arial" w:hAnsi="Arial"/>
          <w:sz w:val="17"/>
          <w:szCs w:val="17"/>
          <w:color w:val="0000FF"/>
        </w:rPr>
        <w:t>Chief Scientific Officer &amp; COO</w:t>
      </w:r>
    </w:p>
    <w:p>
      <w:pPr>
        <w:spacing w:after="0" w:line="417" w:lineRule="exact"/>
        <w:rPr>
          <w:sz w:val="24"/>
          <w:szCs w:val="24"/>
          <w:color w:val="auto"/>
        </w:rPr>
      </w:pPr>
    </w:p>
    <w:p>
      <w:pPr>
        <w:sectPr>
          <w:pgSz w:w="11900" w:h="16838" w:orient="portrait"/>
          <w:cols w:equalWidth="0" w:num="3">
            <w:col w:w="3640" w:space="280"/>
            <w:col w:w="3220" w:space="595"/>
            <w:col w:w="3345"/>
          </w:cols>
          <w:pgMar w:left="460" w:top="225" w:right="359" w:bottom="1440" w:gutter="0" w:footer="0" w:header="0"/>
          <w:type w:val="continuous"/>
        </w:sectPr>
      </w:pPr>
    </w:p>
    <w:p>
      <w:pPr>
        <w:ind w:left="120"/>
        <w:spacing w:after="0"/>
        <w:rPr>
          <w:sz w:val="20"/>
          <w:szCs w:val="20"/>
          <w:color w:val="auto"/>
        </w:rPr>
      </w:pPr>
      <w:r>
        <w:rPr>
          <w:rFonts w:ascii="Arial" w:cs="Arial" w:eastAsia="Arial" w:hAnsi="Arial"/>
          <w:sz w:val="17"/>
          <w:szCs w:val="17"/>
          <w:color w:val="0000FF"/>
        </w:rPr>
        <w:t>10628 SCIENCE CENTER DRIVE, SUITE 250</w:t>
      </w:r>
    </w:p>
    <w:p>
      <w:pPr>
        <w:spacing w:after="0" w:line="305"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SAN DIEGO</w:t>
            </w:r>
          </w:p>
        </w:tc>
        <w:tc>
          <w:tcPr>
            <w:tcW w:w="960" w:type="dxa"/>
            <w:vAlign w:val="bottom"/>
          </w:tcPr>
          <w:p>
            <w:pPr>
              <w:ind w:left="14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92121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08/03/2021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10,000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40.07</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642,548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the weighted average price of 10,000 shares of common stock of Arcturus Therapeutics Holdings Inc. sold by the Reporting Person in multiple transactions on August 3, 2021 with sale prices ranging from $40.00 to $40.57 per share. The Reporting Person undertakes to provide upon request by the U.S. Securities and Exchange Commission staff, the Issuer, or a security holder of the Issuer, full information regarding the number of shares sold at each separate price.</w:t>
      </w:r>
    </w:p>
    <w:p>
      <w:pPr>
        <w:spacing w:after="0" w:line="3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Arial" w:cs="Arial" w:eastAsia="Arial" w:hAnsi="Arial"/>
                <w:sz w:val="17"/>
                <w:szCs w:val="17"/>
                <w:color w:val="0000FF"/>
                <w:w w:val="99"/>
              </w:rPr>
              <w:t>/s/ Ilan Katz, attorney-in-fact</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08/05/2021</w:t>
            </w:r>
          </w:p>
        </w:tc>
      </w:tr>
      <w:tr>
        <w:trPr>
          <w:trHeight w:val="233"/>
        </w:trPr>
        <w:tc>
          <w:tcPr>
            <w:tcW w:w="2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27317" TargetMode="External"/><Relationship Id="rId13"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2021-08-05T17:04:39Z</dcterms:created>
  <dcterms:modified xsi:type="dcterms:W3CDTF">2021-08-05T17:04:39Z</dcterms:modified>
</cp:coreProperties>
</file>