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333-232281</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July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160020</wp:posOffset>
            </wp:positionV>
            <wp:extent cx="207518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Arcturus Therapeutics Holdings Inc.</w:t>
      </w:r>
    </w:p>
    <w:p>
      <w:pPr>
        <w:spacing w:after="0" w:line="23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945,653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200" w:right="320"/>
        <w:spacing w:after="0" w:line="342" w:lineRule="auto"/>
        <w:rPr>
          <w:sz w:val="20"/>
          <w:szCs w:val="20"/>
          <w:color w:val="auto"/>
        </w:rPr>
      </w:pPr>
      <w:r>
        <w:rPr>
          <w:rFonts w:ascii="Arial" w:cs="Arial" w:eastAsia="Arial" w:hAnsi="Arial"/>
          <w:sz w:val="16"/>
          <w:szCs w:val="16"/>
          <w:color w:val="auto"/>
        </w:rPr>
        <w:t>We are offering 945,653 shares of our Common Stock, or the Shares, to certain institutional investors pursuant to this prospectus supplement and the accompanying prospectus and securities purchase agreement with such investors. Each Share will be sold at a price of $11.50 per share.</w:t>
      </w:r>
    </w:p>
    <w:p>
      <w:pPr>
        <w:spacing w:after="0" w:line="12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Our common stock is traded on the Nasdaq Global Market under the symbol “ARCT.”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left="200" w:right="28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Shares involves a high degree of risk. You should review carefully the risks and uncertainties referenced under the heading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S-6 of this prospectus supplement and page 3 of the accompanying prospectus as well as in our periodic reports filed with the Securities and Exchange Commission and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211455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200" w:right="80"/>
        <w:spacing w:after="0" w:line="259" w:lineRule="auto"/>
        <w:rPr>
          <w:sz w:val="20"/>
          <w:szCs w:val="20"/>
          <w:color w:val="auto"/>
        </w:rPr>
      </w:pPr>
      <w:r>
        <w:rPr>
          <w:rFonts w:ascii="Arial" w:cs="Arial" w:eastAsia="Arial" w:hAnsi="Arial"/>
          <w:sz w:val="18"/>
          <w:szCs w:val="18"/>
          <w:color w:val="auto"/>
        </w:rPr>
        <w:t>We have retained H.C. Wainwright &amp; Co., LLC to act as our exclusive placement agent in connection with the arrangement of this transaction. We have agreed to pay the placement agent the placement agent fee set forth in the table below, which assumes that we sell all of the shares of common stock we are offering. The placement agent is not required to arrange for the sale of any specific number of shares or dollar amount but will use its “reasonable best efforts” to arrange for the sale of the shares.</w:t>
      </w:r>
    </w:p>
    <w:p>
      <w:pPr>
        <w:spacing w:after="0" w:line="214"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60" w:type="dxa"/>
            <w:vAlign w:val="bottom"/>
            <w:gridSpan w:val="3"/>
          </w:tcPr>
          <w:p>
            <w:pPr>
              <w:ind w:left="1760"/>
              <w:spacing w:after="0"/>
              <w:rPr>
                <w:sz w:val="20"/>
                <w:szCs w:val="20"/>
                <w:color w:val="auto"/>
              </w:rPr>
            </w:pPr>
            <w:r>
              <w:rPr>
                <w:rFonts w:ascii="Arial" w:cs="Arial" w:eastAsia="Arial" w:hAnsi="Arial"/>
                <w:sz w:val="18"/>
                <w:szCs w:val="18"/>
                <w:color w:val="auto"/>
                <w:w w:val="83"/>
              </w:rPr>
              <w:t>Per Share</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Total</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10,875,009.50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 xml:space="preserve">Placement agent fees </w:t>
            </w:r>
            <w:r>
              <w:rPr>
                <w:rFonts w:ascii="Arial" w:cs="Arial" w:eastAsia="Arial" w:hAnsi="Arial"/>
                <w:sz w:val="15"/>
                <w:szCs w:val="15"/>
                <w:color w:val="auto"/>
              </w:rPr>
              <w:t>(1)</w:t>
            </w:r>
          </w:p>
        </w:tc>
        <w:tc>
          <w:tcPr>
            <w:tcW w:w="19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652,500.57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9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10,222,508.93</w:t>
            </w:r>
          </w:p>
        </w:tc>
        <w:tc>
          <w:tcPr>
            <w:tcW w:w="40" w:type="dxa"/>
            <w:vAlign w:val="bottom"/>
            <w:shd w:val="clear" w:color="auto" w:fill="CCEEFF"/>
          </w:tcPr>
          <w:p>
            <w:pPr>
              <w:spacing w:after="0"/>
              <w:rPr>
                <w:sz w:val="18"/>
                <w:szCs w:val="18"/>
                <w:color w:val="auto"/>
              </w:rPr>
            </w:pPr>
          </w:p>
        </w:tc>
      </w:tr>
    </w:tbl>
    <w:p>
      <w:pPr>
        <w:spacing w:after="0" w:line="229" w:lineRule="exact"/>
        <w:rPr>
          <w:sz w:val="24"/>
          <w:szCs w:val="24"/>
          <w:color w:val="auto"/>
        </w:rPr>
      </w:pPr>
    </w:p>
    <w:p>
      <w:pPr>
        <w:ind w:left="640" w:right="34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pay the placement agent a cash fee equal to 6.0% of the gross proceeds received in this offering and expenses. See “Plan of Distribution” for additional information.</w:t>
      </w:r>
    </w:p>
    <w:p>
      <w:pPr>
        <w:spacing w:after="0" w:line="166" w:lineRule="exact"/>
        <w:rPr>
          <w:sz w:val="24"/>
          <w:szCs w:val="24"/>
          <w:color w:val="auto"/>
        </w:rPr>
      </w:pPr>
    </w:p>
    <w:p>
      <w:pPr>
        <w:ind w:left="200" w:right="180"/>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8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expect to deliver the Shares against payment on or about August 5, 2019, subject to the satisfaction of certain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H.C. Wainwright &amp; Co.</w:t>
      </w: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The date of this prospectus supplement is August 1, 2019</w:t>
      </w:r>
    </w:p>
    <w:p>
      <w:pPr>
        <w:sectPr>
          <w:pgSz w:w="11900" w:h="16838" w:orient="portrait"/>
          <w:cols w:equalWidth="0" w:num="1">
            <w:col w:w="11220"/>
          </w:cols>
          <w:pgMar w:left="24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6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512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52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THE OFFERING</w:t>
              </w:r>
            </w:hyperlink>
          </w:p>
        </w:tc>
        <w:tc>
          <w:tcPr>
            <w:tcW w:w="72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CAUTIONARY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4520" w:type="dxa"/>
            <w:vAlign w:val="bottom"/>
            <w:tcBorders>
              <w:top w:val="single" w:sz="8" w:color="0000EE"/>
            </w:tcBorders>
            <w:gridSpan w:val="17"/>
          </w:tcPr>
          <w:p>
            <w:pPr>
              <w:spacing w:after="0"/>
              <w:rPr>
                <w:sz w:val="17"/>
                <w:szCs w:val="17"/>
                <w:color w:val="auto"/>
              </w:rPr>
            </w:pPr>
          </w:p>
        </w:tc>
        <w:tc>
          <w:tcPr>
            <w:tcW w:w="27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00" w:type="dxa"/>
            <w:vAlign w:val="bottom"/>
          </w:tcPr>
          <w:p>
            <w:pPr>
              <w:spacing w:after="0"/>
              <w:rPr>
                <w:sz w:val="17"/>
                <w:szCs w:val="17"/>
                <w:color w:val="auto"/>
              </w:rPr>
            </w:pPr>
          </w:p>
        </w:tc>
        <w:tc>
          <w:tcPr>
            <w:tcW w:w="1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CAPITALIZATION</w:t>
              </w:r>
            </w:hyperlink>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22"/>
        </w:trPr>
        <w:tc>
          <w:tcPr>
            <w:tcW w:w="200" w:type="dxa"/>
            <w:vAlign w:val="bottom"/>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190"/>
        </w:trPr>
        <w:tc>
          <w:tcPr>
            <w:tcW w:w="200" w:type="dxa"/>
            <w:vAlign w:val="bottom"/>
          </w:tcPr>
          <w:p>
            <w:pPr>
              <w:spacing w:after="0"/>
              <w:rPr>
                <w:sz w:val="16"/>
                <w:szCs w:val="16"/>
                <w:color w:val="auto"/>
              </w:rPr>
            </w:pPr>
          </w:p>
        </w:tc>
        <w:tc>
          <w:tcPr>
            <w:tcW w:w="8560" w:type="dxa"/>
            <w:vAlign w:val="bottom"/>
            <w:gridSpan w:val="22"/>
          </w:tcPr>
          <w:p>
            <w:pPr>
              <w:spacing w:after="0" w:line="190" w:lineRule="exact"/>
              <w:rPr>
                <w:rFonts w:ascii="Arial" w:cs="Arial" w:eastAsia="Arial" w:hAnsi="Arial"/>
                <w:sz w:val="18"/>
                <w:szCs w:val="18"/>
                <w:color w:val="0000EE"/>
              </w:rPr>
            </w:pPr>
            <w:hyperlink w:anchor="page13">
              <w:r>
                <w:rPr>
                  <w:rFonts w:ascii="Arial" w:cs="Arial" w:eastAsia="Arial" w:hAnsi="Arial"/>
                  <w:sz w:val="18"/>
                  <w:szCs w:val="18"/>
                  <w:color w:val="0000EE"/>
                </w:rPr>
                <w:t>DIVIDEND POLICY</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10</w:t>
            </w:r>
          </w:p>
        </w:tc>
      </w:tr>
      <w:tr>
        <w:trPr>
          <w:trHeight w:val="222"/>
        </w:trPr>
        <w:tc>
          <w:tcPr>
            <w:tcW w:w="200" w:type="dxa"/>
            <w:vAlign w:val="bottom"/>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190"/>
        </w:trPr>
        <w:tc>
          <w:tcPr>
            <w:tcW w:w="200" w:type="dxa"/>
            <w:vAlign w:val="bottom"/>
          </w:tcPr>
          <w:p>
            <w:pPr>
              <w:spacing w:after="0"/>
              <w:rPr>
                <w:sz w:val="16"/>
                <w:szCs w:val="16"/>
                <w:color w:val="auto"/>
              </w:rPr>
            </w:pPr>
          </w:p>
        </w:tc>
        <w:tc>
          <w:tcPr>
            <w:tcW w:w="8560" w:type="dxa"/>
            <w:vAlign w:val="bottom"/>
            <w:gridSpan w:val="22"/>
          </w:tcPr>
          <w:p>
            <w:pPr>
              <w:spacing w:after="0" w:line="190" w:lineRule="exact"/>
              <w:rPr>
                <w:rFonts w:ascii="Arial" w:cs="Arial" w:eastAsia="Arial" w:hAnsi="Arial"/>
                <w:sz w:val="18"/>
                <w:szCs w:val="18"/>
                <w:color w:val="0000EE"/>
              </w:rPr>
            </w:pPr>
            <w:hyperlink w:anchor="page13">
              <w:r>
                <w:rPr>
                  <w:rFonts w:ascii="Arial" w:cs="Arial" w:eastAsia="Arial" w:hAnsi="Arial"/>
                  <w:sz w:val="18"/>
                  <w:szCs w:val="18"/>
                  <w:color w:val="0000EE"/>
                </w:rPr>
                <w:t>DILUTION</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22"/>
        </w:trPr>
        <w:tc>
          <w:tcPr>
            <w:tcW w:w="200" w:type="dxa"/>
            <w:vAlign w:val="bottom"/>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190"/>
        </w:trPr>
        <w:tc>
          <w:tcPr>
            <w:tcW w:w="200" w:type="dxa"/>
            <w:vAlign w:val="bottom"/>
          </w:tcPr>
          <w:p>
            <w:pPr>
              <w:spacing w:after="0"/>
              <w:rPr>
                <w:sz w:val="16"/>
                <w:szCs w:val="16"/>
                <w:color w:val="auto"/>
              </w:rPr>
            </w:pPr>
          </w:p>
        </w:tc>
        <w:tc>
          <w:tcPr>
            <w:tcW w:w="8560" w:type="dxa"/>
            <w:vAlign w:val="bottom"/>
            <w:gridSpan w:val="22"/>
          </w:tcPr>
          <w:p>
            <w:pPr>
              <w:spacing w:after="0" w:line="190"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r>
      <w:tr>
        <w:trPr>
          <w:trHeight w:val="222"/>
        </w:trPr>
        <w:tc>
          <w:tcPr>
            <w:tcW w:w="200" w:type="dxa"/>
            <w:vAlign w:val="bottom"/>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190"/>
        </w:trPr>
        <w:tc>
          <w:tcPr>
            <w:tcW w:w="200" w:type="dxa"/>
            <w:vAlign w:val="bottom"/>
          </w:tcPr>
          <w:p>
            <w:pPr>
              <w:spacing w:after="0"/>
              <w:rPr>
                <w:sz w:val="16"/>
                <w:szCs w:val="16"/>
                <w:color w:val="auto"/>
              </w:rPr>
            </w:pPr>
          </w:p>
        </w:tc>
        <w:tc>
          <w:tcPr>
            <w:tcW w:w="8560" w:type="dxa"/>
            <w:vAlign w:val="bottom"/>
            <w:gridSpan w:val="22"/>
          </w:tcPr>
          <w:p>
            <w:pPr>
              <w:spacing w:after="0" w:line="190"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r>
      <w:tr>
        <w:trPr>
          <w:trHeight w:val="222"/>
        </w:trPr>
        <w:tc>
          <w:tcPr>
            <w:tcW w:w="200" w:type="dxa"/>
            <w:vAlign w:val="bottom"/>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190"/>
        </w:trPr>
        <w:tc>
          <w:tcPr>
            <w:tcW w:w="200" w:type="dxa"/>
            <w:vAlign w:val="bottom"/>
          </w:tcPr>
          <w:p>
            <w:pPr>
              <w:spacing w:after="0"/>
              <w:rPr>
                <w:sz w:val="16"/>
                <w:szCs w:val="16"/>
                <w:color w:val="auto"/>
              </w:rPr>
            </w:pPr>
          </w:p>
        </w:tc>
        <w:tc>
          <w:tcPr>
            <w:tcW w:w="8560" w:type="dxa"/>
            <w:vAlign w:val="bottom"/>
            <w:gridSpan w:val="22"/>
          </w:tcPr>
          <w:p>
            <w:pPr>
              <w:spacing w:after="0" w:line="190" w:lineRule="exact"/>
              <w:rPr>
                <w:rFonts w:ascii="Arial" w:cs="Arial" w:eastAsia="Arial" w:hAnsi="Arial"/>
                <w:sz w:val="18"/>
                <w:szCs w:val="18"/>
                <w:color w:val="0000EE"/>
              </w:rPr>
            </w:pPr>
            <w:hyperlink w:anchor="page16">
              <w:r>
                <w:rPr>
                  <w:rFonts w:ascii="Arial" w:cs="Arial" w:eastAsia="Arial" w:hAnsi="Arial"/>
                  <w:sz w:val="18"/>
                  <w:szCs w:val="18"/>
                  <w:color w:val="0000EE"/>
                </w:rPr>
                <w:t>WHERE YOU CAN FIND MORE INFORMATION</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r>
      <w:tr>
        <w:trPr>
          <w:trHeight w:val="222"/>
        </w:trPr>
        <w:tc>
          <w:tcPr>
            <w:tcW w:w="200" w:type="dxa"/>
            <w:vAlign w:val="bottom"/>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190"/>
        </w:trPr>
        <w:tc>
          <w:tcPr>
            <w:tcW w:w="200" w:type="dxa"/>
            <w:vAlign w:val="bottom"/>
          </w:tcPr>
          <w:p>
            <w:pPr>
              <w:spacing w:after="0"/>
              <w:rPr>
                <w:sz w:val="16"/>
                <w:szCs w:val="16"/>
                <w:color w:val="auto"/>
              </w:rPr>
            </w:pPr>
          </w:p>
        </w:tc>
        <w:tc>
          <w:tcPr>
            <w:tcW w:w="8560" w:type="dxa"/>
            <w:vAlign w:val="bottom"/>
            <w:gridSpan w:val="22"/>
          </w:tcPr>
          <w:p>
            <w:pPr>
              <w:spacing w:after="0" w:line="190" w:lineRule="exact"/>
              <w:rPr>
                <w:rFonts w:ascii="Arial" w:cs="Arial" w:eastAsia="Arial" w:hAnsi="Arial"/>
                <w:sz w:val="18"/>
                <w:szCs w:val="18"/>
                <w:color w:val="0000EE"/>
              </w:rPr>
            </w:pPr>
            <w:hyperlink w:anchor="page17">
              <w:r>
                <w:rPr>
                  <w:rFonts w:ascii="Arial" w:cs="Arial" w:eastAsia="Arial" w:hAnsi="Arial"/>
                  <w:sz w:val="18"/>
                  <w:szCs w:val="18"/>
                  <w:color w:val="0000EE"/>
                </w:rPr>
                <w:t>INCORPORATION BY REFERENCE</w:t>
              </w:r>
            </w:hyperlink>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14</w:t>
            </w:r>
          </w:p>
        </w:tc>
      </w:tr>
      <w:tr>
        <w:trPr>
          <w:trHeight w:val="669"/>
        </w:trPr>
        <w:tc>
          <w:tcPr>
            <w:tcW w:w="20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ABOUT THIS PROSPECTUS</w:t>
              </w:r>
            </w:hyperlink>
          </w:p>
        </w:tc>
        <w:tc>
          <w:tcPr>
            <w:tcW w:w="6320" w:type="dxa"/>
            <w:vAlign w:val="bottom"/>
            <w:gridSpan w:val="11"/>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820" w:type="dxa"/>
            <w:vAlign w:val="bottom"/>
            <w:tcBorders>
              <w:top w:val="single" w:sz="8" w:color="0000EE"/>
            </w:tcBorders>
            <w:gridSpan w:val="6"/>
          </w:tcPr>
          <w:p>
            <w:pPr>
              <w:spacing w:after="0"/>
              <w:rPr>
                <w:sz w:val="17"/>
                <w:szCs w:val="17"/>
                <w:color w:val="auto"/>
              </w:rPr>
            </w:pPr>
          </w:p>
        </w:tc>
        <w:tc>
          <w:tcPr>
            <w:tcW w:w="64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5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27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DESCRIPTION OF CAPITAL STOCK WE MAY OFFER</w:t>
              </w:r>
            </w:hyperlink>
          </w:p>
        </w:tc>
        <w:tc>
          <w:tcPr>
            <w:tcW w:w="43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WE MAY OFFER</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44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WARRANTS WE MAY OFFER</w:t>
              </w:r>
            </w:hyperlink>
          </w:p>
        </w:tc>
        <w:tc>
          <w:tcPr>
            <w:tcW w:w="41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3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UNITS WE MAY OFFER</w:t>
              </w:r>
            </w:hyperlink>
          </w:p>
        </w:tc>
        <w:tc>
          <w:tcPr>
            <w:tcW w:w="47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5"/>
          </w:tcPr>
          <w:p>
            <w:pPr>
              <w:spacing w:after="0"/>
              <w:rPr>
                <w:sz w:val="17"/>
                <w:szCs w:val="17"/>
                <w:color w:val="auto"/>
              </w:rPr>
            </w:pPr>
          </w:p>
        </w:tc>
        <w:tc>
          <w:tcPr>
            <w:tcW w:w="51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71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778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WHERE YOU CAN FIND MORE INFORMATION</w:t>
              </w:r>
            </w:hyperlink>
          </w:p>
        </w:tc>
        <w:tc>
          <w:tcPr>
            <w:tcW w:w="47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the securities we are offering. The second part, the accompanying prospectus dated July 29, 2019, gives more general information about our securities. You should read this prospectus supplement and the accompanying prospectus, including the information incorporated by reference and any free writing prospectuses we have authorized for use in connection with this offering, in their entirety before making an investment decision.</w:t>
      </w:r>
    </w:p>
    <w:p>
      <w:pPr>
        <w:spacing w:after="0" w:line="17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along with the information contained in any free writing prospectuses we have authorized for use in connection with this offering. If the description of the offering varies between this prospectus supplement and the accompanying prospectus, you should rely on the information in this prospectus supplement. We have not authorized anyone to provide you with different or additional information. Under no circumstances should the delivery to you of this prospectus supplement and the accompanying prospectus or any sale made pursuant to this prospectus supplement create any implication that the information contained in this prospectus supplement or the accompanying prospectus is correct as of any time after the respective dates of such information.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further note that the representations, warranties and covenants made by us in any agreement</w:t>
      </w:r>
    </w:p>
    <w:p>
      <w:pPr>
        <w:spacing w:after="0" w:line="23"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this prospectus supplement, unless otherwise indicated, the terms the “Company,” “Arcturus Therapeutics,” “we,” “us” and “our” refer to Arcturus Therapeutics Holdings Inc., a Delaware corporation, and its predecessors and consolidated subsidiaries.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i w:val="1"/>
          <w:iCs w:val="1"/>
          <w:color w:val="auto"/>
        </w:rPr>
        <w:t>This summary highlights certain information about us, this offering and information appearing elsewhere in this prospectus supplement or the accompanying prospectus and in the documents we incorporate by reference. This summary is not complete and does not contain all of the information that you should consider before investing in our securities. The following summary is qualified in its entirety by, and should be read in conjunction with, the more detailed information and financial statements and notes thereto appearing elsewhere in this prospectus supplement and the accompanying prospectus. Before you decide to invest in our securities, to fully understand this offering and its consequences to you, you should carefully read the entire prospectus supplement carefully, including the matters set forth under the caption “Risk Factors” beginning on page S-6 of this prospectus supplement and page 3 of the accompanying prospectus, and the consolidated financial statements and related notes included or incorporated by reference in this prospectus supplement, the accompanying prospectus and the other documents incorporated by reference herein and therein.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5"/>
          <w:szCs w:val="15"/>
          <w:color w:val="auto"/>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92" w:lineRule="exact"/>
        <w:rPr>
          <w:sz w:val="20"/>
          <w:szCs w:val="20"/>
          <w:color w:val="auto"/>
        </w:rPr>
      </w:pPr>
    </w:p>
    <w:p>
      <w:pPr>
        <w:ind w:left="1180" w:right="38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or Arcturus Inc., pursuant to a merger between the companies. Immediately after giving effect to the merger, on November 15, 2017, Alcobra Ltd. changed its name to Arcturus Therapeutics Ltd.. or Arcturus Ltd.</w:t>
      </w:r>
    </w:p>
    <w:p>
      <w:pPr>
        <w:spacing w:after="0" w:line="181"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supplement the information on, or accessible through, our website, and you should not consider it as part of this prospectus supplement. Our common stock trades on The Nasdaq Global Market under the symbol “ARCT”.</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60"/>
          </w:cols>
          <w:pgMar w:left="240" w:top="459"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6740" w:type="dxa"/>
            <w:vAlign w:val="bottom"/>
          </w:tcPr>
          <w:p>
            <w:pPr>
              <w:ind w:left="56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460" w:type="dxa"/>
            <w:vAlign w:val="bottom"/>
            <w:gridSpan w:val="2"/>
          </w:tcPr>
          <w:p>
            <w:pPr>
              <w:ind w:left="200"/>
              <w:spacing w:after="0"/>
              <w:rPr>
                <w:sz w:val="20"/>
                <w:szCs w:val="20"/>
                <w:color w:val="auto"/>
              </w:rPr>
            </w:pPr>
            <w:r>
              <w:rPr>
                <w:rFonts w:ascii="Arial" w:cs="Arial" w:eastAsia="Arial" w:hAnsi="Arial"/>
                <w:sz w:val="18"/>
                <w:szCs w:val="18"/>
                <w:color w:val="auto"/>
              </w:rPr>
              <w:t>Common stock offered by us:</w:t>
            </w:r>
          </w:p>
        </w:tc>
        <w:tc>
          <w:tcPr>
            <w:tcW w:w="6740" w:type="dxa"/>
            <w:vAlign w:val="bottom"/>
          </w:tcPr>
          <w:p>
            <w:pPr>
              <w:ind w:left="1260"/>
              <w:spacing w:after="0"/>
              <w:rPr>
                <w:sz w:val="20"/>
                <w:szCs w:val="20"/>
                <w:color w:val="auto"/>
              </w:rPr>
            </w:pPr>
            <w:r>
              <w:rPr>
                <w:rFonts w:ascii="Arial" w:cs="Arial" w:eastAsia="Arial" w:hAnsi="Arial"/>
                <w:sz w:val="18"/>
                <w:szCs w:val="18"/>
                <w:color w:val="auto"/>
              </w:rPr>
              <w:t>945,653 shares</w:t>
            </w:r>
          </w:p>
        </w:tc>
      </w:tr>
      <w:tr>
        <w:trPr>
          <w:trHeight w:val="432"/>
        </w:trPr>
        <w:tc>
          <w:tcPr>
            <w:tcW w:w="4460" w:type="dxa"/>
            <w:vAlign w:val="bottom"/>
            <w:gridSpan w:val="2"/>
          </w:tcPr>
          <w:p>
            <w:pPr>
              <w:ind w:left="200"/>
              <w:spacing w:after="0"/>
              <w:rPr>
                <w:sz w:val="20"/>
                <w:szCs w:val="20"/>
                <w:color w:val="auto"/>
              </w:rPr>
            </w:pPr>
            <w:r>
              <w:rPr>
                <w:rFonts w:ascii="Arial" w:cs="Arial" w:eastAsia="Arial" w:hAnsi="Arial"/>
                <w:sz w:val="18"/>
                <w:szCs w:val="18"/>
                <w:color w:val="auto"/>
              </w:rPr>
              <w:t>Offering price</w:t>
            </w:r>
          </w:p>
        </w:tc>
        <w:tc>
          <w:tcPr>
            <w:tcW w:w="6740" w:type="dxa"/>
            <w:vAlign w:val="bottom"/>
          </w:tcPr>
          <w:p>
            <w:pPr>
              <w:ind w:left="1260"/>
              <w:spacing w:after="0"/>
              <w:rPr>
                <w:sz w:val="20"/>
                <w:szCs w:val="20"/>
                <w:color w:val="auto"/>
              </w:rPr>
            </w:pPr>
            <w:r>
              <w:rPr>
                <w:rFonts w:ascii="Arial" w:cs="Arial" w:eastAsia="Arial" w:hAnsi="Arial"/>
                <w:sz w:val="18"/>
                <w:szCs w:val="18"/>
                <w:color w:val="auto"/>
              </w:rPr>
              <w:t>$11.50 per share</w:t>
            </w:r>
          </w:p>
        </w:tc>
      </w:tr>
      <w:tr>
        <w:trPr>
          <w:trHeight w:val="432"/>
        </w:trPr>
        <w:tc>
          <w:tcPr>
            <w:tcW w:w="4460" w:type="dxa"/>
            <w:vAlign w:val="bottom"/>
            <w:gridSpan w:val="2"/>
          </w:tcPr>
          <w:p>
            <w:pPr>
              <w:ind w:left="200"/>
              <w:spacing w:after="0"/>
              <w:rPr>
                <w:sz w:val="20"/>
                <w:szCs w:val="20"/>
                <w:color w:val="auto"/>
              </w:rPr>
            </w:pPr>
            <w:r>
              <w:rPr>
                <w:rFonts w:ascii="Arial" w:cs="Arial" w:eastAsia="Arial" w:hAnsi="Arial"/>
                <w:sz w:val="18"/>
                <w:szCs w:val="18"/>
                <w:color w:val="auto"/>
              </w:rPr>
              <w:t>Common stock to be outstanding after the offering:</w:t>
            </w:r>
          </w:p>
        </w:tc>
        <w:tc>
          <w:tcPr>
            <w:tcW w:w="6740" w:type="dxa"/>
            <w:vAlign w:val="bottom"/>
          </w:tcPr>
          <w:p>
            <w:pPr>
              <w:ind w:left="1260"/>
              <w:spacing w:after="0"/>
              <w:rPr>
                <w:sz w:val="20"/>
                <w:szCs w:val="20"/>
                <w:color w:val="auto"/>
              </w:rPr>
            </w:pPr>
            <w:r>
              <w:rPr>
                <w:rFonts w:ascii="Arial" w:cs="Arial" w:eastAsia="Arial" w:hAnsi="Arial"/>
                <w:sz w:val="18"/>
                <w:szCs w:val="18"/>
                <w:color w:val="auto"/>
              </w:rPr>
              <w:t>14,074,378 shares</w:t>
            </w:r>
          </w:p>
        </w:tc>
      </w:tr>
      <w:tr>
        <w:trPr>
          <w:trHeight w:val="418"/>
        </w:trPr>
        <w:tc>
          <w:tcPr>
            <w:tcW w:w="4460" w:type="dxa"/>
            <w:vAlign w:val="bottom"/>
            <w:gridSpan w:val="2"/>
          </w:tcPr>
          <w:p>
            <w:pPr>
              <w:ind w:left="200"/>
              <w:spacing w:after="0"/>
              <w:rPr>
                <w:sz w:val="20"/>
                <w:szCs w:val="20"/>
                <w:color w:val="auto"/>
              </w:rPr>
            </w:pPr>
            <w:r>
              <w:rPr>
                <w:rFonts w:ascii="Arial" w:cs="Arial" w:eastAsia="Arial" w:hAnsi="Arial"/>
                <w:sz w:val="18"/>
                <w:szCs w:val="18"/>
                <w:color w:val="auto"/>
              </w:rPr>
              <w:t>Use of proceeds:</w:t>
            </w:r>
          </w:p>
        </w:tc>
        <w:tc>
          <w:tcPr>
            <w:tcW w:w="6740" w:type="dxa"/>
            <w:vAlign w:val="bottom"/>
          </w:tcPr>
          <w:p>
            <w:pPr>
              <w:ind w:left="1260"/>
              <w:spacing w:after="0"/>
              <w:rPr>
                <w:sz w:val="20"/>
                <w:szCs w:val="20"/>
                <w:color w:val="auto"/>
              </w:rPr>
            </w:pPr>
            <w:r>
              <w:rPr>
                <w:rFonts w:ascii="Arial" w:cs="Arial" w:eastAsia="Arial" w:hAnsi="Arial"/>
                <w:sz w:val="18"/>
                <w:szCs w:val="18"/>
                <w:color w:val="auto"/>
                <w:w w:val="93"/>
              </w:rPr>
              <w:t>We currently expect to use the net proceeds from this offering to fund our</w:t>
            </w:r>
          </w:p>
        </w:tc>
      </w:tr>
      <w:tr>
        <w:trPr>
          <w:trHeight w:val="216"/>
        </w:trPr>
        <w:tc>
          <w:tcPr>
            <w:tcW w:w="13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w w:val="98"/>
              </w:rPr>
              <w:t>continued research and development initiatives in connection with our</w:t>
            </w:r>
          </w:p>
        </w:tc>
      </w:tr>
      <w:tr>
        <w:trPr>
          <w:trHeight w:val="216"/>
        </w:trPr>
        <w:tc>
          <w:tcPr>
            <w:tcW w:w="13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w w:val="98"/>
              </w:rPr>
              <w:t>product pipeline including, but not limited to, LUNAR-CF, LUNAR-CV,</w:t>
            </w:r>
          </w:p>
        </w:tc>
      </w:tr>
      <w:tr>
        <w:trPr>
          <w:trHeight w:val="216"/>
        </w:trPr>
        <w:tc>
          <w:tcPr>
            <w:tcW w:w="13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w w:val="95"/>
              </w:rPr>
              <w:t>LUNAR-MD and general corporate purposes. See “Use of Proceeds” on</w:t>
            </w:r>
          </w:p>
        </w:tc>
      </w:tr>
      <w:tr>
        <w:trPr>
          <w:trHeight w:val="230"/>
        </w:trPr>
        <w:tc>
          <w:tcPr>
            <w:tcW w:w="13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rPr>
              <w:t>page S-8 of this prospectus supplement.</w:t>
            </w:r>
          </w:p>
        </w:tc>
      </w:tr>
      <w:tr>
        <w:trPr>
          <w:trHeight w:val="432"/>
        </w:trPr>
        <w:tc>
          <w:tcPr>
            <w:tcW w:w="4460" w:type="dxa"/>
            <w:vAlign w:val="bottom"/>
            <w:gridSpan w:val="2"/>
          </w:tcPr>
          <w:p>
            <w:pPr>
              <w:ind w:left="200"/>
              <w:spacing w:after="0"/>
              <w:rPr>
                <w:sz w:val="20"/>
                <w:szCs w:val="20"/>
                <w:color w:val="auto"/>
              </w:rPr>
            </w:pPr>
            <w:r>
              <w:rPr>
                <w:rFonts w:ascii="Arial" w:cs="Arial" w:eastAsia="Arial" w:hAnsi="Arial"/>
                <w:sz w:val="18"/>
                <w:szCs w:val="18"/>
                <w:color w:val="auto"/>
              </w:rPr>
              <w:t>Nasdaq symbol:</w:t>
            </w:r>
          </w:p>
        </w:tc>
        <w:tc>
          <w:tcPr>
            <w:tcW w:w="6740" w:type="dxa"/>
            <w:vAlign w:val="bottom"/>
          </w:tcPr>
          <w:p>
            <w:pPr>
              <w:ind w:left="1260"/>
              <w:spacing w:after="0"/>
              <w:rPr>
                <w:sz w:val="20"/>
                <w:szCs w:val="20"/>
                <w:color w:val="auto"/>
              </w:rPr>
            </w:pPr>
            <w:r>
              <w:rPr>
                <w:rFonts w:ascii="Arial" w:cs="Arial" w:eastAsia="Arial" w:hAnsi="Arial"/>
                <w:sz w:val="18"/>
                <w:szCs w:val="18"/>
                <w:color w:val="auto"/>
              </w:rPr>
              <w:t>ARCT</w:t>
            </w:r>
          </w:p>
        </w:tc>
      </w:tr>
      <w:tr>
        <w:trPr>
          <w:trHeight w:val="418"/>
        </w:trPr>
        <w:tc>
          <w:tcPr>
            <w:tcW w:w="4460" w:type="dxa"/>
            <w:vAlign w:val="bottom"/>
            <w:gridSpan w:val="2"/>
          </w:tcPr>
          <w:p>
            <w:pPr>
              <w:ind w:left="200"/>
              <w:spacing w:after="0"/>
              <w:rPr>
                <w:sz w:val="20"/>
                <w:szCs w:val="20"/>
                <w:color w:val="auto"/>
              </w:rPr>
            </w:pPr>
            <w:r>
              <w:rPr>
                <w:rFonts w:ascii="Arial" w:cs="Arial" w:eastAsia="Arial" w:hAnsi="Arial"/>
                <w:sz w:val="18"/>
                <w:szCs w:val="18"/>
                <w:color w:val="auto"/>
              </w:rPr>
              <w:t>Risk factors:</w:t>
            </w:r>
          </w:p>
        </w:tc>
        <w:tc>
          <w:tcPr>
            <w:tcW w:w="6740" w:type="dxa"/>
            <w:vAlign w:val="bottom"/>
          </w:tcPr>
          <w:p>
            <w:pPr>
              <w:ind w:left="1260"/>
              <w:spacing w:after="0"/>
              <w:rPr>
                <w:sz w:val="20"/>
                <w:szCs w:val="20"/>
                <w:color w:val="auto"/>
              </w:rPr>
            </w:pPr>
            <w:r>
              <w:rPr>
                <w:rFonts w:ascii="Arial" w:cs="Arial" w:eastAsia="Arial" w:hAnsi="Arial"/>
                <w:sz w:val="18"/>
                <w:szCs w:val="18"/>
                <w:color w:val="auto"/>
                <w:w w:val="95"/>
              </w:rPr>
              <w:t>An investment in our securities involves a high degree of risk. See “Risk</w:t>
            </w:r>
          </w:p>
        </w:tc>
      </w:tr>
      <w:tr>
        <w:trPr>
          <w:trHeight w:val="216"/>
        </w:trPr>
        <w:tc>
          <w:tcPr>
            <w:tcW w:w="13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w w:val="89"/>
              </w:rPr>
              <w:t>Factors” beginning on page S-6 of this prospectus supplement, page 3 of the</w:t>
            </w:r>
          </w:p>
        </w:tc>
      </w:tr>
      <w:tr>
        <w:trPr>
          <w:trHeight w:val="216"/>
        </w:trPr>
        <w:tc>
          <w:tcPr>
            <w:tcW w:w="13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w w:val="91"/>
              </w:rPr>
              <w:t>accompanying prospectus and in the documents incorporated by reference</w:t>
            </w:r>
          </w:p>
        </w:tc>
      </w:tr>
      <w:tr>
        <w:trPr>
          <w:trHeight w:val="216"/>
        </w:trPr>
        <w:tc>
          <w:tcPr>
            <w:tcW w:w="13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w w:val="98"/>
              </w:rPr>
              <w:t>into this prospectus supplement for a discussion of factors you should</w:t>
            </w:r>
          </w:p>
        </w:tc>
      </w:tr>
      <w:tr>
        <w:trPr>
          <w:trHeight w:val="230"/>
        </w:trPr>
        <w:tc>
          <w:tcPr>
            <w:tcW w:w="13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740" w:type="dxa"/>
            <w:vAlign w:val="bottom"/>
          </w:tcPr>
          <w:p>
            <w:pPr>
              <w:ind w:left="1260"/>
              <w:spacing w:after="0"/>
              <w:rPr>
                <w:sz w:val="20"/>
                <w:szCs w:val="20"/>
                <w:color w:val="auto"/>
              </w:rPr>
            </w:pPr>
            <w:r>
              <w:rPr>
                <w:rFonts w:ascii="Arial" w:cs="Arial" w:eastAsia="Arial" w:hAnsi="Arial"/>
                <w:sz w:val="18"/>
                <w:szCs w:val="18"/>
                <w:color w:val="auto"/>
              </w:rPr>
              <w:t>consider carefully when making an investment decision.</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200" w:right="380"/>
        <w:spacing w:after="0" w:line="264" w:lineRule="auto"/>
        <w:rPr>
          <w:sz w:val="20"/>
          <w:szCs w:val="20"/>
          <w:color w:val="auto"/>
        </w:rPr>
      </w:pPr>
      <w:r>
        <w:rPr>
          <w:rFonts w:ascii="Arial" w:cs="Arial" w:eastAsia="Arial" w:hAnsi="Arial"/>
          <w:sz w:val="18"/>
          <w:szCs w:val="18"/>
          <w:color w:val="auto"/>
        </w:rPr>
        <w:t>The number of shares our common stock to be outstanding after the offering is based on 13,128,725 shares of our common stock outstanding as of August 1, 2019 and excludes 1,817,878 shares issuable upon exercise of currently outstanding options to purchase our common stock at a weighted average exercise price of $10.12 per share.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4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180" w:right="32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Investment in our shares of common stock involves risks. Prior to making a decision about investing in our shares of common stock, you should consider carefully all of the information included in and incorporated by reference or deemed to be incorporated by reference in this prospectus supplement and the accompanying prospectus, including the risk factors incorporated by reference herein from our Annual Report on Form 10-K for the year ended December 31, 2018, filed with the Securities and Exchange Commission, or SEC, on March 18, 2019, as updated by annual, quarterly and other reports and documents we file with the SEC after the date of this prospectus supplement and that are incorporated by reference in the this prospectus supplement.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11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$8.63 per share in the net tangible book value of the common stock. See the section entitled “Dilution” below for a more detailed discussion of the dilution you will incur if you purchase common stock in this offering.</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currently intend to use the net proceeds from this offering to fund our continued research and development initiatives in connection with our product pipeline including, but not limited to LUNAR-CF, LUNAR-CV, LUNAR-MD and other general corporate purposes. We have not determined the amounts we plan to spend for various working capital and general corporate purposes or the timing of these expenditures. Accordingly, our management will have considerable discretion in the application of the net proceeds from this offering, and you will not have the opportunity, as part of your investment decision, to assess whether the proceeds from this offering are being used appropriately. The net proceeds may be used for corporate purposes that do not increase our operating results or market value. Until the net proceeds are used, they may be placed in investments that do not produce income or that lose value.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reduce the market price of our common stock.</w:t>
      </w:r>
    </w:p>
    <w:p>
      <w:pPr>
        <w:spacing w:after="0" w:line="14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w:t>
      </w:r>
    </w:p>
    <w:p>
      <w:pPr>
        <w:spacing w:after="0" w:line="27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6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Sales of substantial additional shares of our common stock in the public market, or the perception that these sales may occur, may significantly lower the market price of our common stock. We are unable to estimate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2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62"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not currently paying dividends and will likely not pay dividends for the foreseeable future.</w:t>
      </w:r>
    </w:p>
    <w:p>
      <w:pPr>
        <w:spacing w:after="0" w:line="117"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our stock price and trading volume could decline.</w:t>
      </w:r>
    </w:p>
    <w:p>
      <w:pPr>
        <w:spacing w:after="0" w:line="1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We estimate that the net proceeds from the sale of the Shares that we are offering, after deducting the placement agent fee and estimated offering expenses payable by us, will be approximately $10.1 million.</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will retain broad discretion over the use of the net proceeds from this offering. We currently expect to use the net proceeds from this offering to fund our continued research and development initiatives in connection with our product pipeline including, but not limited to LUNAR-CF, LUNAR-CV, LUNAR-MD and general corporate purposes. This anticipated use of net proceeds represents our intentions based upon our current plans and business conditions.</w:t>
      </w:r>
    </w:p>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Under the Securities Purchase Agreement, we are prohibited from using the proceeds of the offering for (i) the satisfaction of any portion of our debt (other than payment of trade payables in the ordinary course of our business and prior practices), (ii) the redemption of any common stock or common stock equivalents, or (iii) in violation of regulations under the Foreign Corrupt Practices Act of 1977 or the Office of Foreign Assets Control of the U.S. Treasury Department.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Pending the use of the net proceeds, we expect to invest the net proceeds in investment grade, interest-bearing securities.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The following sets forth our cash and cash equivalents and capitalization on a consolidated basis as of March 31, 2019. We have presented our capitalization on an actual basis, a pro forma basis to reflect the issuance of 2,400,000 shares of common stock, net of $100,000 in issuance costs, representing the equity portion of a private placement we consummated on June 19, 2019, and a pro forma as adjusted basis to reflect the issuance of 945,653 shares of common stock, net of $802,500 in issuance costs, upon the sale of the Shares offered hereby, but not the application of the net proceeds from the issuance and sale of such Shares. See “Use of Proceeds.” You should read the following table along with our financial statements and the accompanying notes to those statements, together with the information set forth under “Management’s Discussion and Analysis of Financial Condition and Results of Operations” in our Annual Report on Form 10-K for the year ended December 31, 2018, and in our subsequent Quarterly Reports and Current Reports, which are incorporated by reference in this prospectus supplement and the accompanying prospectus.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As of March 31, 2019</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0"/>
              </w:rPr>
              <w:t>(in thousands, except par value)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Pro forma</w:t>
            </w: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forma as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Actual</w:t>
            </w:r>
          </w:p>
        </w:tc>
        <w:tc>
          <w:tcPr>
            <w:tcW w:w="13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for private</w:t>
            </w:r>
          </w:p>
        </w:tc>
        <w:tc>
          <w:tcPr>
            <w:tcW w:w="6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for this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placement</w:t>
            </w:r>
          </w:p>
        </w:tc>
        <w:tc>
          <w:tcPr>
            <w:tcW w:w="6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offering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31,220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$ 55,120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$ 65,192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3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30,000 shares authorized, 10,719 issued and outstanding, actual, 13,119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w w:val="94"/>
              </w:rPr>
              <w:t>issued and outstanding, pro forma for private placement, 14,065 issued and outstanding, pro forma as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 xml:space="preserve">adjusted </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58,904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82,802</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(52,561)</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(52,561)</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(52,561)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$ 30,254</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$ 40,326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6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16,354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$ 40,254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$ 50,326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40" w:right="60" w:hanging="436"/>
        <w:spacing w:after="0" w:line="25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Gives effect to the Company’s redomiciliation as a Delaware corporation, which occurred on June 12, 2019. Excludes previous Treasury Shares of 43 that were extinguished upon the redomiciliation.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that all equity issued in the private placement will be classified as equity for accounting purposes.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Our net tangible book value as of March 31, 2019 was approximately $6.4 million or $0.59 per share. Net tangible book value per share is determined by dividing our total tangible assets, less total liabilities, by the number of shares of our common stock outstanding as of March 31, 2019.</w:t>
      </w:r>
    </w:p>
    <w:p>
      <w:pPr>
        <w:spacing w:after="0" w:line="124" w:lineRule="exact"/>
        <w:rPr>
          <w:sz w:val="20"/>
          <w:szCs w:val="20"/>
          <w:color w:val="auto"/>
        </w:rPr>
      </w:pPr>
    </w:p>
    <w:p>
      <w:pPr>
        <w:jc w:val="both"/>
        <w:ind w:left="200" w:right="60"/>
        <w:spacing w:after="0" w:line="286" w:lineRule="auto"/>
        <w:rPr>
          <w:sz w:val="20"/>
          <w:szCs w:val="20"/>
          <w:color w:val="auto"/>
        </w:rPr>
      </w:pPr>
      <w:r>
        <w:rPr>
          <w:rFonts w:ascii="Arial" w:cs="Arial" w:eastAsia="Arial" w:hAnsi="Arial"/>
          <w:sz w:val="17"/>
          <w:szCs w:val="17"/>
          <w:color w:val="auto"/>
        </w:rPr>
        <w:t>Our pro forma net tangible book value as of March 31, 2019 was approximately $30.3 million, or $2.31 per share. Pro forma net tangible book value per share is determined by dividing our total tangible assets, less total liabilities, by the number of shares of our common stock outstanding as of March 31, 2019, as adjusted to reflect the issuance of 2,400,000 shares of common stock in a private placement on June 19, 2019.</w:t>
      </w:r>
    </w:p>
    <w:p>
      <w:pPr>
        <w:spacing w:after="0" w:line="166"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Dilution with respect to pro forma net tangible book value per share represents the difference between the amount per share paid by purchasers of our Shares in this offering and the pro forma net tangible book value per share of our Shares immediately after this offering.</w:t>
      </w:r>
    </w:p>
    <w:p>
      <w:pPr>
        <w:spacing w:after="0" w:line="14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After giving effect to the sale of 945,653 Shares in this offering at the offering price of $11.50 per Share, and after deducting the placement agent fees and the estimated offering expenses payable by us for this offering, our pro forma as adjusted net tangible book value as of March 31, 2019, would have been approximately $40.4 million, or $2.87 per share. This represents an immediate increase in pro forma net tangible book value of $0.56 per Share to existing stockholders and immediate dilution in pro forma net tangible book value of $8.63 per Share to investors purchasing our Shares in this offering at the offering price. The following table illustrates this dilution on a per Share basis: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11.50</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tangible book value per Share of as March 31, 2019</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 forma reduction per share attributable to the June 19, 2019 private placement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 forma net tangible book value per share as of March 31, 2019</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investors in this offering</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As adjusted pro forma net tangible book value per Share after this offering</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bl>
    <w:p>
      <w:pPr>
        <w:spacing w:after="0" w:line="202" w:lineRule="exact"/>
        <w:rPr>
          <w:sz w:val="20"/>
          <w:szCs w:val="20"/>
          <w:color w:val="auto"/>
        </w:rPr>
      </w:pPr>
    </w:p>
    <w:p>
      <w:pPr>
        <w:jc w:val="both"/>
        <w:ind w:left="200" w:right="280"/>
        <w:spacing w:after="0" w:line="342" w:lineRule="auto"/>
        <w:rPr>
          <w:sz w:val="20"/>
          <w:szCs w:val="20"/>
          <w:color w:val="auto"/>
        </w:rPr>
      </w:pPr>
      <w:r>
        <w:rPr>
          <w:rFonts w:ascii="Arial" w:cs="Arial" w:eastAsia="Arial" w:hAnsi="Arial"/>
          <w:sz w:val="16"/>
          <w:szCs w:val="16"/>
          <w:color w:val="auto"/>
        </w:rPr>
        <w:t>The number of Shares to be outstanding after the offering is based on the number of shares outstanding as of March 31, 2019. As of that date, we had 10.7 million Shares outstanding, excluding 1.8 million shares issuable upon exercise of currently outstanding options to purchase our common stock.</w:t>
      </w:r>
    </w:p>
    <w:p>
      <w:pPr>
        <w:spacing w:after="0" w:line="124"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Pursuant to an engagement agreement dated July 26, 2019, we have engaged H.C. Wainwright &amp; Co., LLC, or the placement agent, to act as our exclusive placement agent in connection with this offering of our shares of common stock pursuant to this prospectus supplement and accompanying prospectus. Under the terms of the engagement agreement, the placement agent has agreed to be our exclusive placement agent, on a reasonable best efforts basis, in connection with the issuance and sale by us of our shares of common stock in this takedown from our “shelf” registration statement. The terms of this offering were subject to market conditions and negotiations between us, the placement agent and prospective investors. The engagement agreement does not give rise to any commitment by the placement agent to purchase any of our shares of common stock, and the placement agent will have no authority to bind us by virtue of the engagement agreement. The placement agent may engage sub-agents or selected dealers to assist with the offering.</w:t>
      </w:r>
    </w:p>
    <w:p>
      <w:pPr>
        <w:spacing w:after="0" w:line="192"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have entered into a securities purchase agreement directly with several investors in connection with this offering, and we only sell the shares of common stock to investors who have entered into the securities purchase agreement.</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expect to deliver the shares of our common stock being offered pursuant to this prospectus supplement and the accompanying prospectus on or about August 5, 2019, subject to customary closing conditions.</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We have agreed to pay the placement agent a total cash fee equal to 6.0% of the gross proceeds of this offering. We will also pay the placement agent $75,000 for non-accountable expenses.</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following table shows per share and total cash placement agent’s fees we will pay to the placement agent in connection with the sale of the shares of common stock pursuant to this prospectus supplement and the accompanying prospectus assuming the purchase of all of the shares of common stock offered hereby:</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652,500.57</w:t>
            </w:r>
          </w:p>
        </w:tc>
      </w:tr>
    </w:tbl>
    <w:p>
      <w:pPr>
        <w:spacing w:after="0" w:line="187"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We have agreed to indemnify the placement agent and specified other persons against certain civil liabilities, including liabilities under the Securities Act, and the Securities Exchange Act of 1934, as amended, or the Exchange Act, and to contribute to payments that the placement agent may be required to make in respect of such liabilities.</w:t>
      </w:r>
    </w:p>
    <w:p>
      <w:pPr>
        <w:spacing w:after="0" w:line="181" w:lineRule="exact"/>
        <w:rPr>
          <w:sz w:val="20"/>
          <w:szCs w:val="20"/>
          <w:color w:val="auto"/>
        </w:rPr>
      </w:pPr>
    </w:p>
    <w:p>
      <w:pPr>
        <w:ind w:left="200" w:right="860"/>
        <w:spacing w:after="0" w:line="277" w:lineRule="auto"/>
        <w:rPr>
          <w:sz w:val="20"/>
          <w:szCs w:val="20"/>
          <w:color w:val="auto"/>
        </w:rPr>
      </w:pPr>
      <w:r>
        <w:rPr>
          <w:rFonts w:ascii="Arial" w:cs="Arial" w:eastAsia="Arial" w:hAnsi="Arial"/>
          <w:sz w:val="18"/>
          <w:szCs w:val="18"/>
          <w:color w:val="auto"/>
        </w:rPr>
        <w:t>We estimate the total offering expenses of this offering that will be payable by us, excluding the placement agent’s fees and expenses, will be approximately $0.2 million.</w:t>
      </w:r>
    </w:p>
    <w:p>
      <w:pPr>
        <w:spacing w:after="0" w:line="17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of common stock and warrants by the placement agent acting as principal. Under these rules and regulations, the placement agent:</w:t>
      </w:r>
    </w:p>
    <w:p>
      <w:pPr>
        <w:spacing w:after="0" w:line="99"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not engage in any stabilization activity in connection with our securities;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securities purchase agreement is included as an exhibit to a Current Report on Form 8-K that we have filed with the SEC and that is incorporated by reference into the registration statement of which this prospectus supplement forms a part.</w:t>
      </w:r>
    </w:p>
    <w:p>
      <w:pPr>
        <w:spacing w:after="0" w:line="170"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auto"/>
        </w:rPr>
        <w:t>From time to time, the placement agent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transfer agent for our common stock is Continental Stock Transfer &amp; Trust Company, located at 17 Battery Place, 8th Floor, New York, NY 10004.</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Select Market under the symbol “ARCT.”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validity of the issuance of the securities offered hereby will be passed upon by Dentons US LLP, New York, New York.</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consolidated financial statements of Arcturus Therapeutics Ltd. at December 31, 2018, and for the year ended December 31, 2018, appearing in Arcturus Therapeutics Ltd.’s Annual Report on Form 10-K for the year ended December 31, 2018 (the “10-K”)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78"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appearing in the 10-K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We are a reporting company and file annual, quarterly and current reports, proxy and information statements and other information with the SEC. This prospectus supplement and accompanying prospectus are part of a registration statement that we have filed with the SEC relating to the securities to be offered under this prospectus supplement. This prospectus supplement does not contain all of the information set forth in the registration statement and the exhibits to the registration statement. For further information with respect to us and the securities to be offered under this prospectus supplement, we refer you to the registration statement and the exhibits and schedules filed as a part of the registration statement.</w:t>
      </w:r>
    </w:p>
    <w:p>
      <w:pPr>
        <w:spacing w:after="0" w:line="15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 xml:space="preserve">Copies of certain information filed by us with the SEC are also available on our website at </w:t>
      </w:r>
      <w:r>
        <w:rPr>
          <w:rFonts w:ascii="Arial" w:cs="Arial" w:eastAsia="Arial" w:hAnsi="Arial"/>
          <w:sz w:val="16"/>
          <w:szCs w:val="16"/>
          <w:i w:val="1"/>
          <w:iCs w:val="1"/>
          <w:color w:val="auto"/>
        </w:rPr>
        <w:t>https://arcturusrx.com</w:t>
      </w:r>
      <w:r>
        <w:rPr>
          <w:rFonts w:ascii="Arial" w:cs="Arial" w:eastAsia="Arial" w:hAnsi="Arial"/>
          <w:sz w:val="16"/>
          <w:szCs w:val="16"/>
          <w:color w:val="auto"/>
        </w:rPr>
        <w:t>. Information contained in or accessible through our website does not constitute a part of this prospectus supplement and is not incorporated by reference in this prospectus supplement.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information that we file later with the SEC (except in each case, any disclosure on Items 2.02 and 7.01 of Form 8-K) will automatically update and supersede this information. We incorporate by reference the documents filed with the SEC listed below:</w:t>
      </w:r>
    </w:p>
    <w:p>
      <w:pPr>
        <w:spacing w:after="0" w:line="77" w:lineRule="exact"/>
        <w:rPr>
          <w:sz w:val="20"/>
          <w:szCs w:val="20"/>
          <w:color w:val="auto"/>
        </w:rPr>
      </w:pPr>
    </w:p>
    <w:p>
      <w:pPr>
        <w:ind w:left="1180" w:right="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as filed with the SEC on </w:t>
      </w:r>
      <w:hyperlink r:id="rId29">
        <w:r>
          <w:rPr>
            <w:rFonts w:ascii="Arial" w:cs="Arial" w:eastAsia="Arial" w:hAnsi="Arial"/>
            <w:sz w:val="18"/>
            <w:szCs w:val="18"/>
            <w:u w:val="single" w:color="auto"/>
            <w:color w:val="0000EE"/>
          </w:rPr>
          <w:t>March 18,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as amended on </w:t>
      </w:r>
      <w:hyperlink r:id="rId30">
        <w:r>
          <w:rPr>
            <w:rFonts w:ascii="Arial" w:cs="Arial" w:eastAsia="Arial" w:hAnsi="Arial"/>
            <w:sz w:val="18"/>
            <w:szCs w:val="18"/>
            <w:u w:val="single" w:color="auto"/>
            <w:color w:val="0000EE"/>
          </w:rPr>
          <w:t>April 10, 2019</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as filed with the SEC on </w:t>
      </w:r>
      <w:hyperlink r:id="rId31">
        <w:r>
          <w:rPr>
            <w:rFonts w:ascii="Arial" w:cs="Arial" w:eastAsia="Arial" w:hAnsi="Arial"/>
            <w:sz w:val="18"/>
            <w:szCs w:val="18"/>
            <w:u w:val="single" w:color="auto"/>
            <w:color w:val="0000EE"/>
          </w:rPr>
          <w:t>May 13, 2019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7"/>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32">
        <w:r>
          <w:rPr>
            <w:rFonts w:ascii="Arial" w:cs="Arial" w:eastAsia="Arial" w:hAnsi="Arial"/>
            <w:sz w:val="18"/>
            <w:szCs w:val="18"/>
            <w:u w:val="single" w:color="auto"/>
            <w:color w:val="0000EE"/>
          </w:rPr>
          <w:t>March 19, 2019</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May 20, 2019</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June 19,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June 20,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 xml:space="preserve">July 29,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9">
        <w:r>
          <w:rPr>
            <w:rFonts w:ascii="Arial" w:cs="Arial" w:eastAsia="Arial" w:hAnsi="Arial"/>
            <w:sz w:val="18"/>
            <w:szCs w:val="18"/>
            <w:u w:val="single" w:color="auto"/>
            <w:color w:val="0000EE"/>
          </w:rPr>
          <w:t>August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180" w:right="4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40">
        <w:r>
          <w:rPr>
            <w:rFonts w:ascii="Arial" w:cs="Arial" w:eastAsia="Arial" w:hAnsi="Arial"/>
            <w:sz w:val="18"/>
            <w:szCs w:val="18"/>
            <w:u w:val="single" w:color="auto"/>
            <w:color w:val="0000EE"/>
          </w:rPr>
          <w:t>May 17, 2013</w:t>
        </w:r>
      </w:hyperlink>
      <w:r>
        <w:rPr>
          <w:rFonts w:ascii="Arial" w:cs="Arial" w:eastAsia="Arial" w:hAnsi="Arial"/>
          <w:sz w:val="18"/>
          <w:szCs w:val="18"/>
          <w:color w:val="auto"/>
        </w:rPr>
        <w:t xml:space="preserve">, including any amendments or reports filed for purposes of updating such description, including the Form 8-K12B filed on </w:t>
      </w:r>
      <w:hyperlink r:id="rId41">
        <w:r>
          <w:rPr>
            <w:rFonts w:ascii="Arial" w:cs="Arial" w:eastAsia="Arial" w:hAnsi="Arial"/>
            <w:sz w:val="18"/>
            <w:szCs w:val="18"/>
            <w:u w:val="single" w:color="auto"/>
            <w:color w:val="0000EE"/>
          </w:rPr>
          <w:t>June 14, 2019</w:t>
        </w:r>
      </w:hyperlink>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0" w:right="60"/>
        <w:spacing w:after="0" w:line="290" w:lineRule="auto"/>
        <w:rPr>
          <w:sz w:val="20"/>
          <w:szCs w:val="20"/>
          <w:color w:val="auto"/>
        </w:rPr>
      </w:pPr>
      <w:r>
        <w:rPr>
          <w:rFonts w:ascii="Arial" w:cs="Arial" w:eastAsia="Arial" w:hAnsi="Arial"/>
          <w:sz w:val="16"/>
          <w:szCs w:val="16"/>
          <w:color w:val="auto"/>
        </w:rPr>
        <w:t>All reports and other documents subsequently filed by us with the SEC pursuant to Sections 13(a), 13(c), 14, or 15(d) of the Securities Exchange Act of 1934 after the date of this prospectus supplement and before the termination of the offering shall be deemed to be incorporated by reference in this prospectus supplement and accompanying prospectus and to be a part of this prospectus supplement and accompanying prospectus from the date of filing of such reports and documents. Any statement contained in any document incorporated or deemed to be incorporated by reference herein shall be deemed to be modified or superseded for purposes of this prospectus supplement and accompanying prospectus to the extent that a statement contained in this prospectus supplement and accompanying prospectus or in any other subsequently filed document which also is or is deemed to be incorporated by reference in this prospectus supplement and accompanying prospectus modifies or supersedes such statement. Any statement so modified or superseded shall not be deemed, except as so modified or superseded, to constitute a part of this prospectus supplement and accompanying prospectus.</w:t>
      </w:r>
    </w:p>
    <w:p>
      <w:pPr>
        <w:spacing w:after="0" w:line="166" w:lineRule="exact"/>
        <w:rPr>
          <w:rFonts w:ascii="Arial" w:cs="Arial" w:eastAsia="Arial" w:hAnsi="Arial"/>
          <w:sz w:val="18"/>
          <w:szCs w:val="18"/>
          <w:color w:val="auto"/>
        </w:rPr>
      </w:pPr>
    </w:p>
    <w:p>
      <w:pPr>
        <w:ind w:left="200" w:right="30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70"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San Diego, California 92121</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Telephone: (858) 900-2660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8"/>
          <w:szCs w:val="18"/>
          <w:color w:val="auto"/>
        </w:rPr>
      </w:pPr>
    </w:p>
    <w:p>
      <w:pPr>
        <w:ind w:left="200" w:right="200"/>
        <w:spacing w:after="0" w:line="264"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1" w:lineRule="exact"/>
        <w:rPr>
          <w:rFonts w:ascii="Arial" w:cs="Arial" w:eastAsia="Arial" w:hAnsi="Arial"/>
          <w:sz w:val="18"/>
          <w:szCs w:val="18"/>
          <w:color w:val="auto"/>
        </w:rPr>
      </w:pPr>
    </w:p>
    <w:p>
      <w:pPr>
        <w:ind w:left="200" w:right="120"/>
        <w:spacing w:after="0" w:line="279" w:lineRule="auto"/>
        <w:rPr>
          <w:sz w:val="20"/>
          <w:szCs w:val="20"/>
          <w:color w:val="auto"/>
        </w:rPr>
      </w:pPr>
      <w:r>
        <w:rPr>
          <w:rFonts w:ascii="Arial" w:cs="Arial" w:eastAsia="Arial" w:hAnsi="Arial"/>
          <w:sz w:val="17"/>
          <w:szCs w:val="17"/>
          <w:color w:val="auto"/>
        </w:rPr>
        <w:t>This prospectus supplement and accompanying prospectus is part of a registration statement we filed with the SEC. We have incorporated exhibits into the registration statement of which this prospectus supplement and accompanying prospectus is a part. You should read the exhibits carefully for provisions that may be important to you. Neither we nor the placement agent authorized anyone to provide any information or to make any representations other than those contained in this prospectus supplement, the accompanying prospectus or in any</w:t>
      </w:r>
    </w:p>
    <w:p>
      <w:pPr>
        <w:spacing w:after="0" w:line="104"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free writing prospectus prepared by or on behalf of us or to which we have referred you. We take no responsibility for, and can provide no assurance as to the reliability of, any other information that others may give you. This prospectus supplement and accompanying prospectus is an offer to sell only the shares offered hereby, but only under the circumstances and in the jurisdictions where it is lawful to do so. The information contained in this prospectus supplement, the accompanying prospectus or in any applicable free writing prospectus is current only as of its date, regardless of its time of delivery.</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80"/>
          </w:cols>
          <w:pgMar w:left="240" w:top="459" w:right="5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172085</wp:posOffset>
            </wp:positionV>
            <wp:extent cx="2075180" cy="711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Preferred Stock</w:t>
      </w:r>
    </w:p>
    <w:p>
      <w:pPr>
        <w:jc w:val="center"/>
        <w:ind w:right="-23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239"/>
        <w:spacing w:after="0" w:line="231" w:lineRule="auto"/>
        <w:rPr>
          <w:sz w:val="20"/>
          <w:szCs w:val="20"/>
          <w:color w:val="auto"/>
        </w:rPr>
      </w:pPr>
      <w:r>
        <w:rPr>
          <w:rFonts w:ascii="Arial" w:cs="Arial" w:eastAsia="Arial" w:hAnsi="Arial"/>
          <w:sz w:val="22"/>
          <w:szCs w:val="22"/>
          <w:b w:val="1"/>
          <w:bCs w:val="1"/>
          <w:color w:val="auto"/>
        </w:rPr>
        <w:t>Warrants</w:t>
      </w:r>
    </w:p>
    <w:p>
      <w:pPr>
        <w:jc w:val="center"/>
        <w:ind w:right="-239"/>
        <w:spacing w:after="0"/>
        <w:rPr>
          <w:sz w:val="20"/>
          <w:szCs w:val="20"/>
          <w:color w:val="auto"/>
        </w:rPr>
      </w:pPr>
      <w:r>
        <w:rPr>
          <w:rFonts w:ascii="Arial" w:cs="Arial" w:eastAsia="Arial" w:hAnsi="Arial"/>
          <w:sz w:val="22"/>
          <w:szCs w:val="22"/>
          <w:b w:val="1"/>
          <w:bCs w:val="1"/>
          <w:color w:val="auto"/>
        </w:rPr>
        <w:t>Units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hyperlink w:anchor="page2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180"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6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date of this prospectus is July 29, 2019.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ABOUT THIS PROSPECTUS</w:t>
              </w:r>
            </w:hyperlink>
          </w:p>
        </w:tc>
        <w:tc>
          <w:tcPr>
            <w:tcW w:w="6000" w:type="dxa"/>
            <w:vAlign w:val="bottom"/>
            <w:gridSpan w:val="8"/>
          </w:tcPr>
          <w:p>
            <w:pPr>
              <w:spacing w:after="0"/>
              <w:rPr>
                <w:sz w:val="16"/>
                <w:szCs w:val="16"/>
                <w:color w:val="auto"/>
              </w:rPr>
            </w:pPr>
          </w:p>
        </w:tc>
        <w:tc>
          <w:tcPr>
            <w:tcW w:w="27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820" w:type="dxa"/>
            <w:vAlign w:val="bottom"/>
            <w:tcBorders>
              <w:top w:val="single" w:sz="8" w:color="0000EE"/>
            </w:tcBorders>
            <w:gridSpan w:val="4"/>
          </w:tcPr>
          <w:p>
            <w:pPr>
              <w:spacing w:after="0"/>
              <w:rPr>
                <w:sz w:val="17"/>
                <w:szCs w:val="17"/>
                <w:color w:val="auto"/>
              </w:rPr>
            </w:pPr>
          </w:p>
        </w:tc>
        <w:tc>
          <w:tcPr>
            <w:tcW w:w="6160" w:type="dxa"/>
            <w:vAlign w:val="bottom"/>
            <w:gridSpan w:val="9"/>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NOTE REGARDING FORWARD-LOOKING STATEMENTS</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2460" w:type="dxa"/>
            <w:vAlign w:val="bottom"/>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DESCRIPTION OF CAPITAL STOCK WE MAY OFFER</w:t>
              </w:r>
            </w:hyperlink>
          </w:p>
        </w:tc>
        <w:tc>
          <w:tcPr>
            <w:tcW w:w="3980" w:type="dxa"/>
            <w:vAlign w:val="bottom"/>
            <w:gridSpan w:val="4"/>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WE MAY OFFER</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WARRANTS WE MAY OFFER</w:t>
              </w:r>
            </w:hyperlink>
          </w:p>
        </w:tc>
        <w:tc>
          <w:tcPr>
            <w:tcW w:w="3840" w:type="dxa"/>
            <w:vAlign w:val="bottom"/>
            <w:gridSpan w:val="3"/>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UNITS WE MAY OFFER</w:t>
              </w:r>
            </w:hyperlink>
          </w:p>
        </w:tc>
        <w:tc>
          <w:tcPr>
            <w:tcW w:w="4380" w:type="dxa"/>
            <w:vAlign w:val="bottom"/>
            <w:gridSpan w:val="5"/>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3"/>
          </w:tcPr>
          <w:p>
            <w:pPr>
              <w:spacing w:after="0"/>
              <w:rPr>
                <w:sz w:val="17"/>
                <w:szCs w:val="17"/>
                <w:color w:val="auto"/>
              </w:rPr>
            </w:pPr>
          </w:p>
        </w:tc>
        <w:tc>
          <w:tcPr>
            <w:tcW w:w="4840" w:type="dxa"/>
            <w:vAlign w:val="bottom"/>
            <w:gridSpan w:val="7"/>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6780" w:type="dxa"/>
            <w:vAlign w:val="bottom"/>
            <w:gridSpan w:val="12"/>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7460" w:type="dxa"/>
            <w:vAlign w:val="bottom"/>
            <w:gridSpan w:val="14"/>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8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WHERE YOU CAN FIND MORE INFORMATION</w:t>
              </w:r>
            </w:hyperlink>
          </w:p>
        </w:tc>
        <w:tc>
          <w:tcPr>
            <w:tcW w:w="4420" w:type="dxa"/>
            <w:vAlign w:val="bottom"/>
            <w:gridSpan w:val="6"/>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7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7"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5"/>
          <w:szCs w:val="15"/>
          <w:color w:val="auto"/>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92" w:lineRule="exact"/>
        <w:rPr>
          <w:sz w:val="20"/>
          <w:szCs w:val="20"/>
          <w:color w:val="auto"/>
        </w:rPr>
      </w:pPr>
    </w:p>
    <w:p>
      <w:pPr>
        <w:ind w:left="1180" w:right="36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181"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6"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180" w:right="34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7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7"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June 21, 2019, there were no shares of preferred stock issued and outstanding.</w:t>
      </w:r>
    </w:p>
    <w:p>
      <w:pPr>
        <w:spacing w:after="0" w:line="170" w:lineRule="exact"/>
        <w:rPr>
          <w:sz w:val="20"/>
          <w:szCs w:val="20"/>
          <w:color w:val="auto"/>
        </w:rPr>
      </w:pPr>
    </w:p>
    <w:p>
      <w:pPr>
        <w:ind w:left="200" w:right="520"/>
        <w:spacing w:after="0" w:line="264" w:lineRule="auto"/>
        <w:rPr>
          <w:sz w:val="20"/>
          <w:szCs w:val="20"/>
          <w:color w:val="auto"/>
        </w:rPr>
      </w:pPr>
      <w:r>
        <w:rPr>
          <w:rFonts w:ascii="Arial" w:cs="Arial" w:eastAsia="Arial" w:hAnsi="Arial"/>
          <w:sz w:val="18"/>
          <w:szCs w:val="18"/>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87"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of preferred stock offered, the liquidation preference per share and the offering price of the shares of preferred stock;</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dividend rate(s), period(s) and/or payment date(s) or method(s) of calculation thereof applicable to the shares of preferred stock;</w:t>
      </w:r>
    </w:p>
    <w:p>
      <w:pPr>
        <w:spacing w:after="0" w:line="142" w:lineRule="exact"/>
        <w:rPr>
          <w:rFonts w:ascii="Arial" w:cs="Arial" w:eastAsia="Arial" w:hAnsi="Arial"/>
          <w:sz w:val="17"/>
          <w:szCs w:val="17"/>
          <w:color w:val="auto"/>
        </w:rPr>
      </w:pPr>
    </w:p>
    <w:p>
      <w:pPr>
        <w:ind w:left="1180" w:right="28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130"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spacing w:after="0" w:line="75" w:lineRule="exact"/>
        <w:rPr>
          <w:rFonts w:ascii="Arial" w:cs="Arial" w:eastAsia="Arial" w:hAnsi="Arial"/>
          <w:sz w:val="18"/>
          <w:szCs w:val="18"/>
          <w:color w:val="auto"/>
        </w:rPr>
      </w:pPr>
    </w:p>
    <w:p>
      <w:pPr>
        <w:ind w:left="1180" w:right="240" w:hanging="436"/>
        <w:spacing w:after="0" w:line="308"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Size of Board and Vacancies</w:t>
      </w:r>
    </w:p>
    <w:p>
      <w:pPr>
        <w:spacing w:after="0" w:line="115" w:lineRule="exact"/>
        <w:rPr>
          <w:sz w:val="20"/>
          <w:szCs w:val="20"/>
          <w:color w:val="auto"/>
        </w:rPr>
      </w:pPr>
    </w:p>
    <w:p>
      <w:pPr>
        <w:jc w:val="both"/>
        <w:ind w:left="200" w:right="220"/>
        <w:spacing w:after="0" w:line="261" w:lineRule="auto"/>
        <w:rPr>
          <w:sz w:val="20"/>
          <w:szCs w:val="20"/>
          <w:color w:val="auto"/>
        </w:rPr>
      </w:pPr>
      <w:r>
        <w:rPr>
          <w:rFonts w:ascii="Arial" w:cs="Arial" w:eastAsia="Arial" w:hAnsi="Arial"/>
          <w:sz w:val="17"/>
          <w:szCs w:val="17"/>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15" w:lineRule="exact"/>
        <w:rPr>
          <w:sz w:val="20"/>
          <w:szCs w:val="20"/>
          <w:color w:val="auto"/>
        </w:rPr>
      </w:pPr>
    </w:p>
    <w:p>
      <w:pPr>
        <w:ind w:left="200" w:right="40"/>
        <w:spacing w:after="0" w:line="261" w:lineRule="auto"/>
        <w:rPr>
          <w:sz w:val="20"/>
          <w:szCs w:val="20"/>
          <w:color w:val="auto"/>
        </w:rPr>
      </w:pPr>
      <w:r>
        <w:rPr>
          <w:rFonts w:ascii="Arial" w:cs="Arial" w:eastAsia="Arial" w:hAnsi="Arial"/>
          <w:sz w:val="17"/>
          <w:szCs w:val="17"/>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115" w:lineRule="exact"/>
        <w:rPr>
          <w:sz w:val="20"/>
          <w:szCs w:val="20"/>
          <w:color w:val="auto"/>
        </w:rPr>
      </w:pPr>
    </w:p>
    <w:p>
      <w:pPr>
        <w:ind w:left="200" w:right="680"/>
        <w:spacing w:after="0" w:line="274" w:lineRule="auto"/>
        <w:rPr>
          <w:sz w:val="20"/>
          <w:szCs w:val="20"/>
          <w:color w:val="auto"/>
        </w:rPr>
      </w:pPr>
      <w:r>
        <w:rPr>
          <w:rFonts w:ascii="Arial" w:cs="Arial" w:eastAsia="Arial" w:hAnsi="Arial"/>
          <w:sz w:val="17"/>
          <w:szCs w:val="17"/>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5" w:lineRule="exact"/>
        <w:rPr>
          <w:sz w:val="20"/>
          <w:szCs w:val="20"/>
          <w:color w:val="auto"/>
        </w:rPr>
      </w:pPr>
    </w:p>
    <w:p>
      <w:pPr>
        <w:ind w:left="200" w:right="680"/>
        <w:spacing w:after="0" w:line="274" w:lineRule="auto"/>
        <w:rPr>
          <w:sz w:val="20"/>
          <w:szCs w:val="20"/>
          <w:color w:val="auto"/>
        </w:rPr>
      </w:pPr>
      <w:r>
        <w:rPr>
          <w:rFonts w:ascii="Arial" w:cs="Arial" w:eastAsia="Arial" w:hAnsi="Arial"/>
          <w:sz w:val="17"/>
          <w:szCs w:val="17"/>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115" w:lineRule="exact"/>
        <w:rPr>
          <w:sz w:val="20"/>
          <w:szCs w:val="20"/>
          <w:color w:val="auto"/>
        </w:rPr>
      </w:pPr>
    </w:p>
    <w:p>
      <w:pPr>
        <w:ind w:left="200"/>
        <w:spacing w:after="0" w:line="288" w:lineRule="auto"/>
        <w:rPr>
          <w:sz w:val="20"/>
          <w:szCs w:val="20"/>
          <w:color w:val="auto"/>
        </w:rPr>
      </w:pPr>
      <w:r>
        <w:rPr>
          <w:rFonts w:ascii="Arial" w:cs="Arial" w:eastAsia="Arial" w:hAnsi="Arial"/>
          <w:sz w:val="15"/>
          <w:szCs w:val="15"/>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Director Liability</w:t>
      </w:r>
    </w:p>
    <w:p>
      <w:pPr>
        <w:spacing w:after="0" w:line="115" w:lineRule="exact"/>
        <w:rPr>
          <w:sz w:val="20"/>
          <w:szCs w:val="20"/>
          <w:color w:val="auto"/>
        </w:rPr>
      </w:pPr>
    </w:p>
    <w:p>
      <w:pPr>
        <w:ind w:left="200" w:right="40"/>
        <w:spacing w:after="0" w:line="261" w:lineRule="auto"/>
        <w:rPr>
          <w:sz w:val="20"/>
          <w:szCs w:val="20"/>
          <w:color w:val="auto"/>
        </w:rPr>
      </w:pPr>
      <w:r>
        <w:rPr>
          <w:rFonts w:ascii="Arial" w:cs="Arial" w:eastAsia="Arial" w:hAnsi="Arial"/>
          <w:sz w:val="17"/>
          <w:szCs w:val="17"/>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DESCRIPTION OF DEBT SECURITIES WE MAY OFFER</w:t>
      </w:r>
    </w:p>
    <w:p>
      <w:pPr>
        <w:spacing w:after="0" w:line="229" w:lineRule="exact"/>
        <w:rPr>
          <w:sz w:val="20"/>
          <w:szCs w:val="20"/>
          <w:color w:val="auto"/>
        </w:rPr>
      </w:pPr>
    </w:p>
    <w:p>
      <w:pPr>
        <w:ind w:left="200" w:right="40"/>
        <w:spacing w:after="0" w:line="25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77"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1180" w:right="280" w:hanging="436"/>
        <w:spacing w:after="0" w:line="308"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51" w:lineRule="exact"/>
        <w:rPr>
          <w:rFonts w:ascii="Arial" w:cs="Arial" w:eastAsia="Arial" w:hAnsi="Arial"/>
          <w:sz w:val="17"/>
          <w:szCs w:val="17"/>
          <w:color w:val="auto"/>
        </w:rPr>
      </w:pPr>
    </w:p>
    <w:p>
      <w:pPr>
        <w:ind w:left="1180" w:right="240" w:hanging="436"/>
        <w:spacing w:after="0" w:line="342"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120" w:hanging="436"/>
        <w:spacing w:after="0" w:line="264"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75"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spacing w:after="0" w:line="75"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81" w:lineRule="exact"/>
        <w:rPr>
          <w:sz w:val="20"/>
          <w:szCs w:val="20"/>
          <w:color w:val="auto"/>
        </w:rPr>
      </w:pPr>
    </w:p>
    <w:p>
      <w:pPr>
        <w:ind w:left="200" w:right="460"/>
        <w:spacing w:after="0" w:line="286" w:lineRule="auto"/>
        <w:rPr>
          <w:sz w:val="20"/>
          <w:szCs w:val="20"/>
          <w:color w:val="auto"/>
        </w:rPr>
      </w:pPr>
      <w:r>
        <w:rPr>
          <w:rFonts w:ascii="Arial" w:cs="Arial" w:eastAsia="Arial" w:hAnsi="Arial"/>
          <w:sz w:val="17"/>
          <w:szCs w:val="17"/>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Conversion or Exchange Rights</w:t>
      </w:r>
    </w:p>
    <w:p>
      <w:pPr>
        <w:spacing w:after="0" w:line="121" w:lineRule="exact"/>
        <w:rPr>
          <w:sz w:val="20"/>
          <w:szCs w:val="20"/>
          <w:color w:val="auto"/>
        </w:rPr>
      </w:pPr>
    </w:p>
    <w:p>
      <w:pPr>
        <w:ind w:left="200" w:right="120"/>
        <w:spacing w:after="0" w:line="302" w:lineRule="auto"/>
        <w:rPr>
          <w:sz w:val="20"/>
          <w:szCs w:val="20"/>
          <w:color w:val="auto"/>
        </w:rPr>
      </w:pPr>
      <w:r>
        <w:rPr>
          <w:rFonts w:ascii="Arial" w:cs="Arial" w:eastAsia="Arial" w:hAnsi="Arial"/>
          <w:sz w:val="15"/>
          <w:szCs w:val="15"/>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Consolidation, Merger or Sale</w:t>
      </w:r>
    </w:p>
    <w:p>
      <w:pPr>
        <w:spacing w:after="0" w:line="121" w:lineRule="exact"/>
        <w:rPr>
          <w:sz w:val="20"/>
          <w:szCs w:val="20"/>
          <w:color w:val="auto"/>
        </w:rPr>
      </w:pPr>
    </w:p>
    <w:p>
      <w:pPr>
        <w:ind w:left="200" w:right="60"/>
        <w:spacing w:after="0" w:line="25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Events of Default under the Indenture</w:t>
      </w:r>
    </w:p>
    <w:p>
      <w:pPr>
        <w:spacing w:after="0" w:line="121" w:lineRule="exact"/>
        <w:rPr>
          <w:sz w:val="20"/>
          <w:szCs w:val="20"/>
          <w:color w:val="auto"/>
        </w:rPr>
      </w:pPr>
    </w:p>
    <w:p>
      <w:pPr>
        <w:ind w:left="200" w:right="500"/>
        <w:spacing w:after="0" w:line="274"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80"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140" w:lineRule="exact"/>
        <w:rPr>
          <w:rFonts w:ascii="Arial" w:cs="Arial" w:eastAsia="Arial" w:hAnsi="Arial"/>
          <w:sz w:val="16"/>
          <w:szCs w:val="16"/>
          <w:color w:val="auto"/>
        </w:rPr>
      </w:pPr>
    </w:p>
    <w:p>
      <w:pPr>
        <w:jc w:val="both"/>
        <w:ind w:left="1060" w:right="180" w:hanging="316"/>
        <w:spacing w:after="0" w:line="312" w:lineRule="auto"/>
        <w:tabs>
          <w:tab w:leader="none" w:pos="10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56" w:lineRule="exact"/>
        <w:rPr>
          <w:rFonts w:ascii="Arial" w:cs="Arial" w:eastAsia="Arial" w:hAnsi="Arial"/>
          <w:sz w:val="15"/>
          <w:szCs w:val="15"/>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specified events of bankruptcy, insolvency or reorganization occur.</w:t>
      </w:r>
    </w:p>
    <w:p>
      <w:pPr>
        <w:spacing w:after="0" w:line="223" w:lineRule="exact"/>
        <w:rPr>
          <w:sz w:val="20"/>
          <w:szCs w:val="20"/>
          <w:color w:val="auto"/>
        </w:rPr>
      </w:pPr>
    </w:p>
    <w:p>
      <w:pPr>
        <w:ind w:left="200" w:right="40"/>
        <w:spacing w:after="0" w:line="294" w:lineRule="auto"/>
        <w:rPr>
          <w:sz w:val="20"/>
          <w:szCs w:val="20"/>
          <w:color w:val="auto"/>
        </w:rPr>
      </w:pPr>
      <w:r>
        <w:rPr>
          <w:rFonts w:ascii="Arial" w:cs="Arial" w:eastAsia="Arial" w:hAnsi="Arial"/>
          <w:sz w:val="15"/>
          <w:szCs w:val="15"/>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64" w:lineRule="exact"/>
        <w:rPr>
          <w:sz w:val="20"/>
          <w:szCs w:val="20"/>
          <w:color w:val="auto"/>
        </w:rPr>
      </w:pPr>
    </w:p>
    <w:p>
      <w:pPr>
        <w:ind w:left="200"/>
        <w:spacing w:after="0" w:line="261"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86" w:lineRule="exact"/>
        <w:rPr>
          <w:sz w:val="20"/>
          <w:szCs w:val="20"/>
          <w:color w:val="auto"/>
        </w:rPr>
      </w:pPr>
    </w:p>
    <w:p>
      <w:pPr>
        <w:ind w:left="200" w:right="40"/>
        <w:spacing w:after="0" w:line="297" w:lineRule="auto"/>
        <w:rPr>
          <w:sz w:val="20"/>
          <w:szCs w:val="20"/>
          <w:color w:val="auto"/>
        </w:rPr>
      </w:pPr>
      <w:r>
        <w:rPr>
          <w:rFonts w:ascii="Arial" w:cs="Arial" w:eastAsia="Arial" w:hAnsi="Arial"/>
          <w:sz w:val="15"/>
          <w:szCs w:val="15"/>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7"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direction so given by the holders is not in conflict with any law or the applicable indenture; and</w:t>
      </w:r>
    </w:p>
    <w:p>
      <w:pPr>
        <w:spacing w:after="0" w:line="128" w:lineRule="exact"/>
        <w:rPr>
          <w:rFonts w:ascii="Arial" w:cs="Arial" w:eastAsia="Arial" w:hAnsi="Arial"/>
          <w:sz w:val="17"/>
          <w:szCs w:val="17"/>
          <w:color w:val="auto"/>
        </w:rPr>
      </w:pPr>
    </w:p>
    <w:p>
      <w:pPr>
        <w:ind w:left="1060" w:right="120" w:hanging="316"/>
        <w:spacing w:after="0" w:line="274"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80"/>
        <w:spacing w:after="0" w:line="255" w:lineRule="auto"/>
        <w:rPr>
          <w:sz w:val="20"/>
          <w:szCs w:val="20"/>
          <w:color w:val="auto"/>
        </w:rPr>
      </w:pPr>
      <w:r>
        <w:rPr>
          <w:rFonts w:ascii="Arial" w:cs="Arial" w:eastAsia="Arial" w:hAnsi="Arial"/>
          <w:sz w:val="17"/>
          <w:szCs w:val="17"/>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91" w:lineRule="exact"/>
        <w:rPr>
          <w:sz w:val="20"/>
          <w:szCs w:val="20"/>
          <w:color w:val="auto"/>
        </w:rPr>
      </w:pPr>
    </w:p>
    <w:p>
      <w:pPr>
        <w:ind w:left="200" w:right="180"/>
        <w:spacing w:after="0" w:line="274"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indentures or to appoint a receiver or trustee, or to seek other remedies only if:</w:t>
      </w:r>
    </w:p>
    <w:p>
      <w:pPr>
        <w:spacing w:after="0" w:line="80"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128" w:lineRule="exact"/>
        <w:rPr>
          <w:rFonts w:ascii="Arial" w:cs="Arial" w:eastAsia="Arial" w:hAnsi="Arial"/>
          <w:sz w:val="17"/>
          <w:szCs w:val="17"/>
          <w:color w:val="auto"/>
        </w:rPr>
      </w:pPr>
    </w:p>
    <w:p>
      <w:pPr>
        <w:ind w:left="1060" w:right="420" w:hanging="316"/>
        <w:spacing w:after="0" w:line="261"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91" w:lineRule="exact"/>
        <w:rPr>
          <w:rFonts w:ascii="Arial" w:cs="Arial" w:eastAsia="Arial" w:hAnsi="Arial"/>
          <w:sz w:val="17"/>
          <w:szCs w:val="17"/>
          <w:color w:val="auto"/>
        </w:rPr>
      </w:pPr>
    </w:p>
    <w:p>
      <w:pPr>
        <w:ind w:left="1060" w:right="240" w:hanging="316"/>
        <w:spacing w:after="0" w:line="274"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75" w:lineRule="exact"/>
        <w:rPr>
          <w:sz w:val="20"/>
          <w:szCs w:val="20"/>
          <w:color w:val="auto"/>
        </w:rPr>
      </w:pPr>
    </w:p>
    <w:p>
      <w:pPr>
        <w:ind w:left="200" w:right="140"/>
        <w:spacing w:after="0" w:line="274"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indentures.</w:t>
      </w:r>
    </w:p>
    <w:p>
      <w:pPr>
        <w:spacing w:after="0" w:line="223" w:lineRule="exact"/>
        <w:rPr>
          <w:sz w:val="20"/>
          <w:szCs w:val="20"/>
          <w:color w:val="auto"/>
        </w:rPr>
      </w:pPr>
    </w:p>
    <w:p>
      <w:pPr>
        <w:ind w:left="200" w:right="40"/>
        <w:spacing w:after="0" w:line="274" w:lineRule="auto"/>
        <w:rPr>
          <w:sz w:val="20"/>
          <w:szCs w:val="20"/>
          <w:color w:val="auto"/>
        </w:rPr>
      </w:pPr>
      <w:r>
        <w:rPr>
          <w:rFonts w:ascii="Arial" w:cs="Arial" w:eastAsia="Arial" w:hAnsi="Arial"/>
          <w:sz w:val="16"/>
          <w:szCs w:val="16"/>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Modification of Indenture; Waiver</w:t>
      </w:r>
    </w:p>
    <w:p>
      <w:pPr>
        <w:spacing w:after="0" w:line="121" w:lineRule="exact"/>
        <w:rPr>
          <w:sz w:val="20"/>
          <w:szCs w:val="20"/>
          <w:color w:val="auto"/>
        </w:rPr>
      </w:pPr>
    </w:p>
    <w:p>
      <w:pPr>
        <w:ind w:left="200" w:right="160"/>
        <w:spacing w:after="0" w:line="274" w:lineRule="auto"/>
        <w:rPr>
          <w:sz w:val="20"/>
          <w:szCs w:val="20"/>
          <w:color w:val="auto"/>
        </w:rPr>
      </w:pPr>
      <w:r>
        <w:rPr>
          <w:rFonts w:ascii="Arial" w:cs="Arial" w:eastAsia="Arial" w:hAnsi="Arial"/>
          <w:sz w:val="17"/>
          <w:szCs w:val="17"/>
          <w:color w:val="auto"/>
        </w:rPr>
        <w:t>Subject to the terms of the indenture for any series of debt securities that we may issue, we and the trustee may change an indenture without the consent of any holders with respect to the following specific matters:</w:t>
      </w:r>
    </w:p>
    <w:p>
      <w:pPr>
        <w:spacing w:after="0" w:line="80"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fix any ambiguity, defect or inconsistency in the indenture;</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comply with the provisions described above under “-Consolidation, Merger or Sale”;</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28" w:lineRule="exact"/>
        <w:rPr>
          <w:rFonts w:ascii="Arial" w:cs="Arial" w:eastAsia="Arial" w:hAnsi="Arial"/>
          <w:sz w:val="17"/>
          <w:szCs w:val="17"/>
          <w:color w:val="auto"/>
        </w:rPr>
      </w:pPr>
    </w:p>
    <w:p>
      <w:pPr>
        <w:ind w:left="1060" w:right="140" w:hanging="316"/>
        <w:spacing w:after="0" w:line="274"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such indenture;</w:t>
      </w:r>
    </w:p>
    <w:p>
      <w:pPr>
        <w:spacing w:after="0" w:line="80" w:lineRule="exact"/>
        <w:rPr>
          <w:rFonts w:ascii="Arial" w:cs="Arial" w:eastAsia="Arial" w:hAnsi="Arial"/>
          <w:sz w:val="17"/>
          <w:szCs w:val="17"/>
          <w:color w:val="auto"/>
        </w:rPr>
      </w:pPr>
    </w:p>
    <w:p>
      <w:pPr>
        <w:ind w:left="1060" w:right="100" w:hanging="316"/>
        <w:spacing w:after="0" w:line="261"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91" w:lineRule="exact"/>
        <w:rPr>
          <w:rFonts w:ascii="Arial" w:cs="Arial" w:eastAsia="Arial" w:hAnsi="Arial"/>
          <w:sz w:val="17"/>
          <w:szCs w:val="17"/>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w:t>
      </w:r>
    </w:p>
    <w:p>
      <w:pPr>
        <w:spacing w:after="0" w:line="128" w:lineRule="exact"/>
        <w:rPr>
          <w:rFonts w:ascii="Arial" w:cs="Arial" w:eastAsia="Arial" w:hAnsi="Arial"/>
          <w:sz w:val="17"/>
          <w:szCs w:val="17"/>
          <w:color w:val="auto"/>
        </w:rPr>
      </w:pPr>
    </w:p>
    <w:p>
      <w:pPr>
        <w:ind w:left="1060" w:right="360" w:hanging="316"/>
        <w:spacing w:after="0" w:line="274"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 and to make all appropriate changes for such purpose;</w:t>
      </w:r>
    </w:p>
    <w:p>
      <w:pPr>
        <w:spacing w:after="0" w:line="80" w:lineRule="exact"/>
        <w:rPr>
          <w:rFonts w:ascii="Arial" w:cs="Arial" w:eastAsia="Arial" w:hAnsi="Arial"/>
          <w:sz w:val="17"/>
          <w:szCs w:val="17"/>
          <w:color w:val="auto"/>
        </w:rPr>
      </w:pPr>
    </w:p>
    <w:p>
      <w:pPr>
        <w:ind w:left="1060" w:hanging="316"/>
        <w:spacing w:after="0" w:line="261"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297"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5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92"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reducing the amount of principal of an original issue discount security or any other note payable upon acceleration of the maturity thereof;</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changing any of our obligations to maintain an office or agency in the places and for the purposes required by the indentures;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87"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0"/>
        <w:spacing w:after="0" w:line="274"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Form, Exchange and Transfer</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9" w:lineRule="exact"/>
        <w:rPr>
          <w:sz w:val="20"/>
          <w:szCs w:val="20"/>
          <w:color w:val="auto"/>
        </w:rPr>
      </w:pPr>
    </w:p>
    <w:p>
      <w:pPr>
        <w:jc w:val="both"/>
        <w:ind w:left="200" w:right="540"/>
        <w:spacing w:after="0" w:line="261" w:lineRule="auto"/>
        <w:rPr>
          <w:sz w:val="20"/>
          <w:szCs w:val="20"/>
          <w:color w:val="auto"/>
        </w:rPr>
      </w:pPr>
      <w:r>
        <w:rPr>
          <w:rFonts w:ascii="Arial" w:cs="Arial" w:eastAsia="Arial" w:hAnsi="Arial"/>
          <w:sz w:val="17"/>
          <w:szCs w:val="17"/>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6" w:lineRule="exact"/>
        <w:rPr>
          <w:sz w:val="20"/>
          <w:szCs w:val="20"/>
          <w:color w:val="auto"/>
        </w:rPr>
      </w:pPr>
    </w:p>
    <w:p>
      <w:pPr>
        <w:ind w:left="200" w:right="120"/>
        <w:spacing w:after="0" w:line="274"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9" w:lineRule="exact"/>
        <w:rPr>
          <w:sz w:val="20"/>
          <w:szCs w:val="20"/>
          <w:color w:val="auto"/>
        </w:rPr>
      </w:pPr>
    </w:p>
    <w:p>
      <w:pPr>
        <w:jc w:val="both"/>
        <w:ind w:left="200"/>
        <w:spacing w:after="0" w:line="312" w:lineRule="auto"/>
        <w:rPr>
          <w:sz w:val="20"/>
          <w:szCs w:val="20"/>
          <w:color w:val="auto"/>
        </w:rPr>
      </w:pPr>
      <w:r>
        <w:rPr>
          <w:rFonts w:ascii="Arial" w:cs="Arial" w:eastAsia="Arial" w:hAnsi="Arial"/>
          <w:sz w:val="15"/>
          <w:szCs w:val="15"/>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29" w:lineRule="exact"/>
        <w:rPr>
          <w:sz w:val="20"/>
          <w:szCs w:val="20"/>
          <w:color w:val="auto"/>
        </w:rPr>
      </w:pPr>
    </w:p>
    <w:p>
      <w:pPr>
        <w:ind w:left="1060" w:right="20" w:hanging="316"/>
        <w:spacing w:after="0" w:line="261"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91" w:lineRule="exact"/>
        <w:rPr>
          <w:rFonts w:ascii="Arial" w:cs="Arial" w:eastAsia="Arial" w:hAnsi="Arial"/>
          <w:sz w:val="17"/>
          <w:szCs w:val="17"/>
          <w:color w:val="auto"/>
        </w:rPr>
      </w:pPr>
    </w:p>
    <w:p>
      <w:pPr>
        <w:ind w:left="1060" w:right="220" w:hanging="316"/>
        <w:spacing w:after="0" w:line="274"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Information Concerning the Trustee</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5"/>
          <w:szCs w:val="15"/>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Payment and Paying Agents</w:t>
      </w:r>
    </w:p>
    <w:p>
      <w:pPr>
        <w:spacing w:after="0" w:line="121" w:lineRule="exact"/>
        <w:rPr>
          <w:sz w:val="20"/>
          <w:szCs w:val="20"/>
          <w:color w:val="auto"/>
        </w:rPr>
      </w:pPr>
    </w:p>
    <w:p>
      <w:pPr>
        <w:ind w:left="200" w:right="60"/>
        <w:spacing w:after="0" w:line="261"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6"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Debt Securities</w:t>
      </w:r>
    </w:p>
    <w:p>
      <w:pPr>
        <w:spacing w:after="0" w:line="12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81"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jc w:val="both"/>
        <w:ind w:left="200"/>
        <w:spacing w:after="0" w:line="309" w:lineRule="auto"/>
        <w:rPr>
          <w:sz w:val="20"/>
          <w:szCs w:val="20"/>
          <w:color w:val="auto"/>
        </w:rPr>
      </w:pPr>
      <w:r>
        <w:rPr>
          <w:rFonts w:ascii="Arial" w:cs="Arial" w:eastAsia="Arial" w:hAnsi="Arial"/>
          <w:sz w:val="15"/>
          <w:szCs w:val="15"/>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w:t>
      </w:r>
    </w:p>
    <w:p>
      <w:pPr>
        <w:ind w:left="200"/>
        <w:spacing w:after="0" w:line="252" w:lineRule="auto"/>
        <w:rPr>
          <w:sz w:val="20"/>
          <w:szCs w:val="20"/>
          <w:color w:val="auto"/>
        </w:rPr>
      </w:pPr>
      <w:r>
        <w:rPr>
          <w:rFonts w:ascii="Arial" w:cs="Arial" w:eastAsia="Arial" w:hAnsi="Arial"/>
          <w:sz w:val="18"/>
          <w:szCs w:val="18"/>
          <w:b w:val="1"/>
          <w:bCs w:val="1"/>
          <w:color w:val="auto"/>
        </w:rPr>
        <w:t>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9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87"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the date on and after which the warrants and the related preferred stock or common stock will be separately transferable;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29"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130"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to or adjustments in the exercise price of the debt warrants;</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discussion of the material U.S. federal income tax considerations applicable to the exercise of the debt warrants; and</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other terms of the debt warrants and terms, procedures and limitations relating to the exercise of the debt warrants.</w:t>
      </w:r>
    </w:p>
    <w:p>
      <w:pPr>
        <w:spacing w:after="0" w:line="223" w:lineRule="exact"/>
        <w:rPr>
          <w:sz w:val="20"/>
          <w:szCs w:val="20"/>
          <w:color w:val="auto"/>
        </w:rPr>
      </w:pPr>
    </w:p>
    <w:p>
      <w:pPr>
        <w:ind w:left="200" w:right="100"/>
        <w:spacing w:after="0" w:line="255" w:lineRule="auto"/>
        <w:rPr>
          <w:sz w:val="20"/>
          <w:szCs w:val="20"/>
          <w:color w:val="auto"/>
        </w:rPr>
      </w:pPr>
      <w:r>
        <w:rPr>
          <w:rFonts w:ascii="Arial" w:cs="Arial" w:eastAsia="Arial" w:hAnsi="Arial"/>
          <w:sz w:val="17"/>
          <w:szCs w:val="17"/>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Exercise of Warrants</w:t>
      </w:r>
    </w:p>
    <w:p>
      <w:pPr>
        <w:spacing w:after="0" w:line="121" w:lineRule="exact"/>
        <w:rPr>
          <w:sz w:val="20"/>
          <w:szCs w:val="20"/>
          <w:color w:val="auto"/>
        </w:rPr>
      </w:pPr>
    </w:p>
    <w:p>
      <w:pPr>
        <w:ind w:left="200" w:right="80"/>
        <w:spacing w:after="0" w:line="302" w:lineRule="auto"/>
        <w:rPr>
          <w:sz w:val="20"/>
          <w:szCs w:val="20"/>
          <w:color w:val="auto"/>
        </w:rPr>
      </w:pPr>
      <w:r>
        <w:rPr>
          <w:rFonts w:ascii="Arial" w:cs="Arial" w:eastAsia="Arial" w:hAnsi="Arial"/>
          <w:sz w:val="15"/>
          <w:szCs w:val="15"/>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158" w:lineRule="exact"/>
        <w:rPr>
          <w:sz w:val="20"/>
          <w:szCs w:val="20"/>
          <w:color w:val="auto"/>
        </w:rPr>
      </w:pPr>
    </w:p>
    <w:p>
      <w:pPr>
        <w:ind w:left="200" w:right="120"/>
        <w:spacing w:after="0" w:line="253" w:lineRule="auto"/>
        <w:rPr>
          <w:sz w:val="20"/>
          <w:szCs w:val="20"/>
          <w:color w:val="auto"/>
        </w:rPr>
      </w:pPr>
      <w:r>
        <w:rPr>
          <w:rFonts w:ascii="Arial" w:cs="Arial" w:eastAsia="Arial" w:hAnsi="Arial"/>
          <w:sz w:val="17"/>
          <w:szCs w:val="17"/>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DESCRIPTION OF UNITS WE MAY OFFER</w:t>
      </w:r>
    </w:p>
    <w:p>
      <w:pPr>
        <w:spacing w:after="0" w:line="229" w:lineRule="exact"/>
        <w:rPr>
          <w:sz w:val="20"/>
          <w:szCs w:val="20"/>
          <w:color w:val="auto"/>
        </w:rPr>
      </w:pPr>
    </w:p>
    <w:p>
      <w:pPr>
        <w:ind w:left="200" w:right="200"/>
        <w:spacing w:after="0" w:line="25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5"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7"/>
          <w:szCs w:val="17"/>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23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3"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sell the offered securities from time to time.</w:t>
      </w:r>
    </w:p>
    <w:p>
      <w:pPr>
        <w:spacing w:after="0" w:line="131"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76" w:lineRule="exact"/>
        <w:rPr>
          <w:sz w:val="20"/>
          <w:szCs w:val="20"/>
          <w:color w:val="auto"/>
        </w:rPr>
      </w:pPr>
    </w:p>
    <w:p>
      <w:pPr>
        <w:ind w:left="1180" w:right="12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131" w:lineRule="exact"/>
        <w:rPr>
          <w:sz w:val="20"/>
          <w:szCs w:val="20"/>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7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left="200" w:right="100"/>
        <w:spacing w:after="0" w:line="312" w:lineRule="auto"/>
        <w:rPr>
          <w:sz w:val="20"/>
          <w:szCs w:val="20"/>
          <w:color w:val="auto"/>
        </w:rPr>
      </w:pPr>
      <w:r>
        <w:rPr>
          <w:rFonts w:ascii="Arial" w:cs="Arial" w:eastAsia="Arial" w:hAnsi="Arial"/>
          <w:sz w:val="16"/>
          <w:szCs w:val="16"/>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7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9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8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describe such relationships in the prospectus supplement naming the underwriter and the nature of any such relationship.</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LEGAL MATTERS</w:t>
      </w:r>
    </w:p>
    <w:p>
      <w:pPr>
        <w:spacing w:after="0" w:line="229" w:lineRule="exact"/>
        <w:rPr>
          <w:sz w:val="20"/>
          <w:szCs w:val="20"/>
          <w:color w:val="auto"/>
        </w:rPr>
      </w:pPr>
    </w:p>
    <w:p>
      <w:pPr>
        <w:ind w:left="200" w:right="360"/>
        <w:spacing w:after="0" w:line="274" w:lineRule="auto"/>
        <w:rPr>
          <w:sz w:val="20"/>
          <w:szCs w:val="20"/>
          <w:color w:val="auto"/>
        </w:rPr>
      </w:pPr>
      <w:r>
        <w:rPr>
          <w:rFonts w:ascii="Arial" w:cs="Arial" w:eastAsia="Arial" w:hAnsi="Arial"/>
          <w:sz w:val="17"/>
          <w:szCs w:val="17"/>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EXPERTS</w:t>
      </w:r>
    </w:p>
    <w:p>
      <w:pPr>
        <w:spacing w:after="0" w:line="229" w:lineRule="exact"/>
        <w:rPr>
          <w:sz w:val="20"/>
          <w:szCs w:val="20"/>
          <w:color w:val="auto"/>
        </w:rPr>
      </w:pPr>
    </w:p>
    <w:p>
      <w:pPr>
        <w:ind w:left="200" w:right="20"/>
        <w:spacing w:after="0" w:line="253" w:lineRule="auto"/>
        <w:rPr>
          <w:sz w:val="20"/>
          <w:szCs w:val="20"/>
          <w:color w:val="auto"/>
        </w:rPr>
      </w:pPr>
      <w:r>
        <w:rPr>
          <w:rFonts w:ascii="Arial" w:cs="Arial" w:eastAsia="Arial" w:hAnsi="Arial"/>
          <w:sz w:val="17"/>
          <w:szCs w:val="17"/>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5" w:lineRule="exact"/>
        <w:rPr>
          <w:sz w:val="20"/>
          <w:szCs w:val="20"/>
          <w:color w:val="auto"/>
        </w:rPr>
      </w:pPr>
    </w:p>
    <w:p>
      <w:pPr>
        <w:ind w:left="200" w:right="100"/>
        <w:spacing w:after="0" w:line="257" w:lineRule="auto"/>
        <w:rPr>
          <w:sz w:val="20"/>
          <w:szCs w:val="20"/>
          <w:color w:val="auto"/>
        </w:rPr>
      </w:pPr>
      <w:r>
        <w:rPr>
          <w:rFonts w:ascii="Arial" w:cs="Arial" w:eastAsia="Arial" w:hAnsi="Arial"/>
          <w:sz w:val="17"/>
          <w:szCs w:val="17"/>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9" w:lineRule="exact"/>
        <w:rPr>
          <w:sz w:val="20"/>
          <w:szCs w:val="20"/>
          <w:color w:val="auto"/>
        </w:rPr>
      </w:pPr>
    </w:p>
    <w:p>
      <w:pPr>
        <w:ind w:left="200" w:right="180"/>
        <w:spacing w:after="0" w:line="255" w:lineRule="auto"/>
        <w:rPr>
          <w:sz w:val="20"/>
          <w:szCs w:val="20"/>
          <w:color w:val="auto"/>
        </w:rPr>
      </w:pPr>
      <w:r>
        <w:rPr>
          <w:rFonts w:ascii="Arial" w:cs="Arial" w:eastAsia="Arial" w:hAnsi="Arial"/>
          <w:sz w:val="17"/>
          <w:szCs w:val="17"/>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91" w:lineRule="exact"/>
        <w:rPr>
          <w:sz w:val="20"/>
          <w:szCs w:val="20"/>
          <w:color w:val="auto"/>
        </w:rPr>
      </w:pPr>
    </w:p>
    <w:p>
      <w:pPr>
        <w:jc w:val="both"/>
        <w:ind w:left="200" w:right="160"/>
        <w:spacing w:after="0" w:line="261" w:lineRule="auto"/>
        <w:rPr>
          <w:sz w:val="20"/>
          <w:szCs w:val="20"/>
          <w:color w:val="auto"/>
        </w:rPr>
      </w:pPr>
      <w:r>
        <w:rPr>
          <w:rFonts w:ascii="Arial" w:cs="Arial" w:eastAsia="Arial" w:hAnsi="Arial"/>
          <w:sz w:val="17"/>
          <w:szCs w:val="17"/>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86" w:lineRule="exact"/>
        <w:rPr>
          <w:sz w:val="20"/>
          <w:szCs w:val="20"/>
          <w:color w:val="auto"/>
        </w:rPr>
      </w:pPr>
    </w:p>
    <w:p>
      <w:pPr>
        <w:ind w:left="200"/>
        <w:spacing w:after="0" w:line="274" w:lineRule="auto"/>
        <w:rPr>
          <w:sz w:val="20"/>
          <w:szCs w:val="20"/>
          <w:color w:val="auto"/>
        </w:rPr>
      </w:pPr>
      <w:r>
        <w:rPr>
          <w:rFonts w:ascii="Arial" w:cs="Arial" w:eastAsia="Arial" w:hAnsi="Arial"/>
          <w:sz w:val="17"/>
          <w:szCs w:val="17"/>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INCORPORATION OF CERTAIN DOCUMENTS BY REFERENCE</w:t>
      </w:r>
    </w:p>
    <w:p>
      <w:pPr>
        <w:spacing w:after="0" w:line="229" w:lineRule="exact"/>
        <w:rPr>
          <w:sz w:val="20"/>
          <w:szCs w:val="20"/>
          <w:color w:val="auto"/>
        </w:rPr>
      </w:pPr>
    </w:p>
    <w:p>
      <w:pPr>
        <w:ind w:left="200" w:right="280"/>
        <w:spacing w:after="0" w:line="312" w:lineRule="auto"/>
        <w:rPr>
          <w:sz w:val="20"/>
          <w:szCs w:val="20"/>
          <w:color w:val="auto"/>
        </w:rPr>
      </w:pPr>
      <w:r>
        <w:rPr>
          <w:rFonts w:ascii="Arial" w:cs="Arial" w:eastAsia="Arial" w:hAnsi="Arial"/>
          <w:sz w:val="15"/>
          <w:szCs w:val="15"/>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57" w:lineRule="exact"/>
        <w:rPr>
          <w:sz w:val="20"/>
          <w:szCs w:val="20"/>
          <w:color w:val="auto"/>
        </w:rPr>
      </w:pPr>
    </w:p>
    <w:p>
      <w:pPr>
        <w:ind w:left="1060" w:right="460" w:hanging="316"/>
        <w:spacing w:after="0" w:line="274" w:lineRule="auto"/>
        <w:tabs>
          <w:tab w:leader="none" w:pos="1060" w:val="left"/>
        </w:tabs>
        <w:numPr>
          <w:ilvl w:val="0"/>
          <w:numId w:val="31"/>
        </w:numPr>
        <w:rPr>
          <w:rFonts w:ascii="Arial" w:cs="Arial" w:eastAsia="Arial" w:hAnsi="Arial"/>
          <w:sz w:val="17"/>
          <w:szCs w:val="17"/>
          <w:color w:val="0000EE"/>
        </w:rPr>
      </w:pPr>
      <w:r>
        <w:rPr>
          <w:rFonts w:ascii="Arial" w:cs="Arial" w:eastAsia="Arial" w:hAnsi="Arial"/>
          <w:sz w:val="17"/>
          <w:szCs w:val="17"/>
          <w:color w:val="auto"/>
        </w:rPr>
        <w:t xml:space="preserve">Our Annual Report on Form 10-K for the fiscal year ended December 31, 2018, as filed with the SEC on </w:t>
      </w:r>
      <w:hyperlink r:id="rId29">
        <w:r>
          <w:rPr>
            <w:rFonts w:ascii="Arial" w:cs="Arial" w:eastAsia="Arial" w:hAnsi="Arial"/>
            <w:sz w:val="17"/>
            <w:szCs w:val="17"/>
            <w:u w:val="single" w:color="auto"/>
            <w:color w:val="0000EE"/>
          </w:rPr>
          <w:t>March 18,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as amended on </w:t>
      </w:r>
      <w:hyperlink r:id="rId30">
        <w:r>
          <w:rPr>
            <w:rFonts w:ascii="Arial" w:cs="Arial" w:eastAsia="Arial" w:hAnsi="Arial"/>
            <w:sz w:val="17"/>
            <w:szCs w:val="17"/>
            <w:u w:val="single" w:color="auto"/>
            <w:color w:val="0000EE"/>
          </w:rPr>
          <w:t>April 10, 2019</w:t>
        </w:r>
      </w:hyperlink>
      <w:r>
        <w:rPr>
          <w:rFonts w:ascii="Arial" w:cs="Arial" w:eastAsia="Arial" w:hAnsi="Arial"/>
          <w:sz w:val="17"/>
          <w:szCs w:val="17"/>
          <w:color w:val="000000"/>
        </w:rPr>
        <w:t>;</w:t>
      </w:r>
    </w:p>
    <w:p>
      <w:pPr>
        <w:spacing w:after="0" w:line="80" w:lineRule="exact"/>
        <w:rPr>
          <w:rFonts w:ascii="Arial" w:cs="Arial" w:eastAsia="Arial" w:hAnsi="Arial"/>
          <w:sz w:val="17"/>
          <w:szCs w:val="17"/>
          <w:color w:val="0000EE"/>
        </w:rPr>
      </w:pPr>
    </w:p>
    <w:p>
      <w:pPr>
        <w:ind w:left="1060" w:hanging="316"/>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Our Quarterly Report on Form 10-Q for the quarter ended March 31, 2019, as filed with the SEC on </w:t>
      </w:r>
      <w:hyperlink r:id="rId31">
        <w:r>
          <w:rPr>
            <w:rFonts w:ascii="Arial" w:cs="Arial" w:eastAsia="Arial" w:hAnsi="Arial"/>
            <w:sz w:val="17"/>
            <w:szCs w:val="17"/>
            <w:u w:val="single" w:color="auto"/>
            <w:color w:val="0000EE"/>
          </w:rPr>
          <w:t>May 13, 2019</w:t>
        </w:r>
      </w:hyperlink>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060" w:right="320" w:hanging="316"/>
        <w:spacing w:after="0" w:line="274" w:lineRule="auto"/>
        <w:tabs>
          <w:tab w:leader="none" w:pos="1060" w:val="left"/>
        </w:tabs>
        <w:numPr>
          <w:ilvl w:val="0"/>
          <w:numId w:val="31"/>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as filed with the SEC on </w:t>
      </w:r>
      <w:hyperlink r:id="rId32">
        <w:r>
          <w:rPr>
            <w:rFonts w:ascii="Arial" w:cs="Arial" w:eastAsia="Arial" w:hAnsi="Arial"/>
            <w:sz w:val="17"/>
            <w:szCs w:val="17"/>
            <w:u w:val="single" w:color="auto"/>
            <w:color w:val="0000EE"/>
          </w:rPr>
          <w:t>March 19, 2019</w:t>
        </w:r>
      </w:hyperlink>
      <w:r>
        <w:rPr>
          <w:rFonts w:ascii="Arial" w:cs="Arial" w:eastAsia="Arial" w:hAnsi="Arial"/>
          <w:sz w:val="17"/>
          <w:szCs w:val="17"/>
          <w:color w:val="auto"/>
        </w:rPr>
        <w:t xml:space="preserve">, </w:t>
      </w:r>
      <w:hyperlink r:id="rId33">
        <w:r>
          <w:rPr>
            <w:rFonts w:ascii="Arial" w:cs="Arial" w:eastAsia="Arial" w:hAnsi="Arial"/>
            <w:sz w:val="17"/>
            <w:szCs w:val="17"/>
            <w:u w:val="single" w:color="auto"/>
            <w:color w:val="0000EE"/>
          </w:rPr>
          <w:t>May 13, 2019</w:t>
        </w:r>
      </w:hyperlink>
      <w:r>
        <w:rPr>
          <w:rFonts w:ascii="Arial" w:cs="Arial" w:eastAsia="Arial" w:hAnsi="Arial"/>
          <w:sz w:val="17"/>
          <w:szCs w:val="17"/>
          <w:color w:val="auto"/>
        </w:rPr>
        <w:t xml:space="preserve">, </w:t>
      </w:r>
      <w:hyperlink r:id="rId34">
        <w:r>
          <w:rPr>
            <w:rFonts w:ascii="Arial" w:cs="Arial" w:eastAsia="Arial" w:hAnsi="Arial"/>
            <w:sz w:val="17"/>
            <w:szCs w:val="17"/>
            <w:u w:val="single" w:color="auto"/>
            <w:color w:val="0000EE"/>
          </w:rPr>
          <w:t>May 20, 2019</w:t>
        </w:r>
      </w:hyperlink>
      <w:r>
        <w:rPr>
          <w:rFonts w:ascii="Arial" w:cs="Arial" w:eastAsia="Arial" w:hAnsi="Arial"/>
          <w:sz w:val="17"/>
          <w:szCs w:val="17"/>
          <w:color w:val="auto"/>
        </w:rPr>
        <w:t xml:space="preserve">, </w:t>
      </w:r>
      <w:hyperlink r:id="rId35">
        <w:r>
          <w:rPr>
            <w:rFonts w:ascii="Arial" w:cs="Arial" w:eastAsia="Arial" w:hAnsi="Arial"/>
            <w:sz w:val="17"/>
            <w:szCs w:val="17"/>
            <w:u w:val="single" w:color="auto"/>
            <w:color w:val="0000EE"/>
          </w:rPr>
          <w:t>June 14, 2019</w:t>
        </w:r>
      </w:hyperlink>
      <w:r>
        <w:rPr>
          <w:rFonts w:ascii="Arial" w:cs="Arial" w:eastAsia="Arial" w:hAnsi="Arial"/>
          <w:sz w:val="17"/>
          <w:szCs w:val="17"/>
          <w:color w:val="auto"/>
        </w:rPr>
        <w:t xml:space="preserve">, </w:t>
      </w:r>
      <w:hyperlink r:id="rId36">
        <w:r>
          <w:rPr>
            <w:rFonts w:ascii="Arial" w:cs="Arial" w:eastAsia="Arial" w:hAnsi="Arial"/>
            <w:sz w:val="17"/>
            <w:szCs w:val="17"/>
            <w:u w:val="single" w:color="auto"/>
            <w:color w:val="0000EE"/>
          </w:rPr>
          <w:t>June 19,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37">
        <w:r>
          <w:rPr>
            <w:rFonts w:ascii="Arial" w:cs="Arial" w:eastAsia="Arial" w:hAnsi="Arial"/>
            <w:sz w:val="17"/>
            <w:szCs w:val="17"/>
            <w:u w:val="single" w:color="auto"/>
            <w:color w:val="0000EE"/>
          </w:rPr>
          <w:t>June 20, 2019</w:t>
        </w:r>
        <w:r>
          <w:rPr>
            <w:rFonts w:ascii="Arial" w:cs="Arial" w:eastAsia="Arial" w:hAnsi="Arial"/>
            <w:sz w:val="17"/>
            <w:szCs w:val="17"/>
            <w:color w:val="0000EE"/>
          </w:rPr>
          <w:t xml:space="preserve"> </w:t>
        </w:r>
      </w:hyperlink>
      <w:r>
        <w:rPr>
          <w:rFonts w:ascii="Arial" w:cs="Arial" w:eastAsia="Arial" w:hAnsi="Arial"/>
          <w:sz w:val="17"/>
          <w:szCs w:val="17"/>
          <w:color w:val="000000"/>
        </w:rPr>
        <w:t>(in</w:t>
      </w:r>
      <w:r>
        <w:rPr>
          <w:rFonts w:ascii="Arial" w:cs="Arial" w:eastAsia="Arial" w:hAnsi="Arial"/>
          <w:sz w:val="17"/>
          <w:szCs w:val="17"/>
          <w:color w:val="0000EE"/>
        </w:rPr>
        <w:t xml:space="preserve"> </w:t>
      </w:r>
      <w:r>
        <w:rPr>
          <w:rFonts w:ascii="Arial" w:cs="Arial" w:eastAsia="Arial" w:hAnsi="Arial"/>
          <w:sz w:val="17"/>
          <w:szCs w:val="17"/>
          <w:color w:val="000000"/>
        </w:rPr>
        <w:t>each case, except for information contained therein which is furnished rather than filed); and</w:t>
      </w:r>
    </w:p>
    <w:p>
      <w:pPr>
        <w:spacing w:after="0" w:line="80" w:lineRule="exact"/>
        <w:rPr>
          <w:rFonts w:ascii="Arial" w:cs="Arial" w:eastAsia="Arial" w:hAnsi="Arial"/>
          <w:sz w:val="17"/>
          <w:szCs w:val="17"/>
          <w:color w:val="0000EE"/>
        </w:rPr>
      </w:pPr>
    </w:p>
    <w:p>
      <w:pPr>
        <w:ind w:left="1060" w:right="380" w:hanging="316"/>
        <w:spacing w:after="0" w:line="261"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set forth in the registration statement on Form 8-A registering our common stock under Section 12 of the Exchange Act, which was filed with the SEC on </w:t>
      </w:r>
      <w:hyperlink r:id="rId40">
        <w:r>
          <w:rPr>
            <w:rFonts w:ascii="Arial" w:cs="Arial" w:eastAsia="Arial" w:hAnsi="Arial"/>
            <w:sz w:val="17"/>
            <w:szCs w:val="17"/>
            <w:u w:val="single" w:color="auto"/>
            <w:color w:val="0000EE"/>
          </w:rPr>
          <w:t>May 17, 2013</w:t>
        </w:r>
      </w:hyperlink>
      <w:r>
        <w:rPr>
          <w:rFonts w:ascii="Arial" w:cs="Arial" w:eastAsia="Arial" w:hAnsi="Arial"/>
          <w:sz w:val="17"/>
          <w:szCs w:val="17"/>
          <w:color w:val="auto"/>
        </w:rPr>
        <w:t xml:space="preserve">, including any amendments or reports filed for purposes of updating such description, including the Form 8-K12B filed on </w:t>
      </w:r>
      <w:hyperlink r:id="rId41">
        <w:r>
          <w:rPr>
            <w:rFonts w:ascii="Arial" w:cs="Arial" w:eastAsia="Arial" w:hAnsi="Arial"/>
            <w:sz w:val="17"/>
            <w:szCs w:val="17"/>
            <w:u w:val="single" w:color="auto"/>
            <w:color w:val="0000EE"/>
          </w:rPr>
          <w:t>June 14, 2019</w:t>
        </w:r>
      </w:hyperlink>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486410</wp:posOffset>
            </wp:positionV>
            <wp:extent cx="2075180" cy="711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40"/>
        <w:spacing w:after="0"/>
        <w:rPr>
          <w:sz w:val="20"/>
          <w:szCs w:val="20"/>
          <w:color w:val="auto"/>
        </w:rPr>
      </w:pPr>
      <w:r>
        <w:rPr>
          <w:rFonts w:ascii="Arial" w:cs="Arial" w:eastAsia="Arial" w:hAnsi="Arial"/>
          <w:sz w:val="24"/>
          <w:szCs w:val="24"/>
          <w:b w:val="1"/>
          <w:bCs w:val="1"/>
          <w:color w:val="auto"/>
        </w:rPr>
        <w:t>945,653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250825</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1263015</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40"/>
        <w:spacing w:after="0"/>
        <w:rPr>
          <w:sz w:val="20"/>
          <w:szCs w:val="20"/>
          <w:color w:val="auto"/>
        </w:rPr>
      </w:pPr>
      <w:r>
        <w:rPr>
          <w:rFonts w:ascii="Arial" w:cs="Arial" w:eastAsia="Arial" w:hAnsi="Arial"/>
          <w:sz w:val="25"/>
          <w:szCs w:val="25"/>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The date of this prospectus supplement is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218440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243840</wp:posOffset>
            </wp:positionV>
            <wp:extent cx="699770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lvl w:ilvl="1">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jpe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jpe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29" Type="http://schemas.openxmlformats.org/officeDocument/2006/relationships/hyperlink" Target="http://www.sec.gov/Archives/edgar/data/0001566049/000156459019008092/arct-10k_20181231.htm" TargetMode="External"/><Relationship Id="rId30" Type="http://schemas.openxmlformats.org/officeDocument/2006/relationships/hyperlink" Target="http://www.sec.gov/Archives/edgar/data/0001566049/000156459019011220/arct-10ka_20181231.htm" TargetMode="External"/><Relationship Id="rId31" Type="http://schemas.openxmlformats.org/officeDocument/2006/relationships/hyperlink" Target="http://www.sec.gov/Archives/edgar/data/0001566049/000156459019018656/arct-10q_20190331.htm" TargetMode="External"/><Relationship Id="rId32" Type="http://schemas.openxmlformats.org/officeDocument/2006/relationships/hyperlink" Target="http://www.sec.gov/Archives/edgar/data/0001566049/000156459019008354/arct-8k_20190318.htm" TargetMode="External"/><Relationship Id="rId33" Type="http://schemas.openxmlformats.org/officeDocument/2006/relationships/hyperlink" Target="http://www.sec.gov/Archives/edgar/data/0001566049/000156459019018889/arct-8k_20190513.htm" TargetMode="External"/><Relationship Id="rId34" Type="http://schemas.openxmlformats.org/officeDocument/2006/relationships/hyperlink" Target="http://www.sec.gov/Archives/edgar/data/0001566049/000156459019019850/arct-8k_20190520.htm" TargetMode="External"/><Relationship Id="rId35" Type="http://schemas.openxmlformats.org/officeDocument/2006/relationships/hyperlink" Target="http://www.sec.gov/Archives/edgar/data/1768224/000119312519173808/d826633d8k12b.htm" TargetMode="External"/><Relationship Id="rId36" Type="http://schemas.openxmlformats.org/officeDocument/2006/relationships/hyperlink" Target="http://www.sec.gov/Archives/edgar/data/0001768224/000119312519176112/d754519d8k.htm" TargetMode="External"/><Relationship Id="rId37" Type="http://schemas.openxmlformats.org/officeDocument/2006/relationships/hyperlink" Target="http://www.sec.gov/Archives/edgar/data/0001768224/000119312519176908/d721252d8k.htm" TargetMode="External"/><Relationship Id="rId38" Type="http://schemas.openxmlformats.org/officeDocument/2006/relationships/hyperlink" Target="http://www.sec.gov/Archives/edgar/data/1768224/000119312519205403/d753524d8k.htm" TargetMode="External"/><Relationship Id="rId39" Type="http://schemas.openxmlformats.org/officeDocument/2006/relationships/hyperlink" Target="http://www.sec.gov/Archives/edgar/data/1768224/000119380519000694/e618580_8k-at.htm" TargetMode="External"/><Relationship Id="rId40" Type="http://schemas.openxmlformats.org/officeDocument/2006/relationships/hyperlink" Target="http://www.sec.gov/Archives/edgar/data/0001566049/000114420413030169/v345563_8a12b.htm" TargetMode="External"/><Relationship Id="rId41" Type="http://schemas.openxmlformats.org/officeDocument/2006/relationships/hyperlink" Target="http://www.sec.gov/Archives/edgar/data/0001768224/000119312519173808/d826633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2019-12-21T01:49:27Z</dcterms:created>
  <dcterms:modified xsi:type="dcterms:W3CDTF">2019-12-21T01:49:27Z</dcterms:modified>
</cp:coreProperties>
</file>