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760" w:right="4600" w:firstLine="312"/>
        <w:spacing w:after="0" w:line="498" w:lineRule="auto"/>
        <w:tabs>
          <w:tab w:leader="none" w:pos="5237"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10)</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Arcturus Therapeutics Ltd.</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Ordinary Shares, par value of NIS 0.01</w:t>
      </w:r>
    </w:p>
    <w:p>
      <w:pPr>
        <w:spacing w:after="0" w:line="2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180"/>
        <w:spacing w:after="0"/>
        <w:rPr>
          <w:sz w:val="20"/>
          <w:szCs w:val="20"/>
          <w:color w:val="auto"/>
        </w:rPr>
      </w:pPr>
      <w:r>
        <w:rPr>
          <w:rFonts w:ascii="Arial" w:cs="Arial" w:eastAsia="Arial" w:hAnsi="Arial"/>
          <w:sz w:val="22"/>
          <w:szCs w:val="22"/>
          <w:u w:val="single" w:color="auto"/>
          <w:color w:val="auto"/>
        </w:rPr>
        <w:t>M1492T105</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AMIR EFRATI</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BROSH CAPITAL PARTNERS,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11 Menachem Begin Rd.</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Ramat-Gan, Israel 5268104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+972-77-3206050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January 8, 2018</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M1492T105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Brosh Capital Partners,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420,303</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420,303</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420,303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Exodus Management Israel Ltd.</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439,157</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439,157</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439,157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4.2%</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M1492T105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Aharon Biram</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24,729</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24,729</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24,729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M1492T105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Ester Deutsch</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24,729</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24,729</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24,729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M1492T105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Amir Efrati</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488,615</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488,615</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488,615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M1492T105</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constitutes Amendment No. 10 to the Schedule 13D filed by the undersigned (“Amendment No. 10”). This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 amends the Schedule 13D as specifically set forth herein.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 in that the transaction involved the sale of, and not the acquisition of, securities.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 – (c) and (e) are hereby amended and restated to read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aggregate percentage of Shares reported owned by each person named herein is based upon 10,568,901 Shares outstanding, which is the total number of Shares outstanding as reported in the Issuer’s Report of Foreign Private Issuer on Form 6-K filed with the Securities and Exchange Commission on November 16, 2017.</w:t>
      </w:r>
    </w:p>
    <w:p>
      <w:pPr>
        <w:spacing w:after="0" w:line="18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Brosh</w:t>
      </w:r>
    </w:p>
    <w:p>
      <w:pPr>
        <w:spacing w:after="0" w:line="225" w:lineRule="exact"/>
        <w:rPr>
          <w:rFonts w:ascii="Arial" w:cs="Arial" w:eastAsia="Arial" w:hAnsi="Arial"/>
          <w:sz w:val="18"/>
          <w:szCs w:val="18"/>
          <w:color w:val="auto"/>
        </w:rPr>
      </w:pPr>
    </w:p>
    <w:p>
      <w:pPr>
        <w:ind w:left="1300" w:right="2960" w:hanging="644"/>
        <w:spacing w:after="0" w:line="501"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the close of business on January 10, 2018, Brosh directly beneficially owned 420,303 Shares. Percentage: Approximately 4.0%</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direct vote: 420,303</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420,303</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transactions in the Shares by Brosh since the filing of Amendment No. 9 to the Schedule 13D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Exodus GP</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the general partner of Brosh, Exodus GP may be deemed to beneficially own the (i) 420,303 Shares beneficially owned by Brosh and (ii) 18,854 Shares held in the Exodus Managed Account.</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4.2%</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direct vote: 439,157</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439,157</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transactions in the Shares by Exodus GP through the Exodus Managed Account since the filing of Amendment No. 9 to the Schedule 13D are set forth in Schedule A and are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M1492T105</w:t>
      </w:r>
    </w:p>
    <w:p>
      <w:pPr>
        <w:spacing w:after="0" w:line="10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Biram</w:t>
      </w:r>
    </w:p>
    <w:p>
      <w:pPr>
        <w:spacing w:after="0" w:line="225" w:lineRule="exact"/>
        <w:rPr>
          <w:rFonts w:ascii="Arial" w:cs="Arial" w:eastAsia="Arial" w:hAnsi="Arial"/>
          <w:sz w:val="18"/>
          <w:szCs w:val="18"/>
          <w:color w:val="auto"/>
        </w:rPr>
      </w:pPr>
    </w:p>
    <w:p>
      <w:pPr>
        <w:ind w:left="1300" w:right="3320" w:hanging="644"/>
        <w:spacing w:after="0" w:line="50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of the close of business on January 10, 2018, Mr. Biram beneficially owned 24,729 Shares. Percentage: Less than 1%</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24,729</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24,729</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transactions in the Shares by Mr. Biram since the filing of Amendment No. 9 to the Schedule 13D are set forth in Schedule A and are incorporated herein by reference.</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Ms. Deutsch</w:t>
      </w:r>
    </w:p>
    <w:p>
      <w:pPr>
        <w:spacing w:after="0" w:line="225" w:lineRule="exact"/>
        <w:rPr>
          <w:rFonts w:ascii="Arial" w:cs="Arial" w:eastAsia="Arial" w:hAnsi="Arial"/>
          <w:sz w:val="18"/>
          <w:szCs w:val="18"/>
          <w:color w:val="auto"/>
        </w:rPr>
      </w:pPr>
    </w:p>
    <w:p>
      <w:pPr>
        <w:ind w:left="1300" w:right="3160" w:hanging="644"/>
        <w:spacing w:after="0" w:line="50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of the close of business on January 10, 2018, Ms. Deutsch beneficially owned 24,729 Shares. Percentage: Less than 1%</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24,729</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24,729</w:t>
      </w:r>
    </w:p>
    <w:p>
      <w:pPr>
        <w:spacing w:after="0" w:line="210" w:lineRule="exact"/>
        <w:rPr>
          <w:rFonts w:ascii="Arial" w:cs="Arial" w:eastAsia="Arial" w:hAnsi="Arial"/>
          <w:sz w:val="18"/>
          <w:szCs w:val="18"/>
          <w:color w:val="auto"/>
        </w:rPr>
      </w:pPr>
    </w:p>
    <w:p>
      <w:pPr>
        <w:ind w:left="1300" w:right="4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transactions in the Shares by Ms. Deutsch since the filing of Amendment No. 9 to the Schedule 13D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Efrati</w:t>
      </w:r>
    </w:p>
    <w:p>
      <w:pPr>
        <w:spacing w:after="0" w:line="225" w:lineRule="exact"/>
        <w:rPr>
          <w:rFonts w:ascii="Arial" w:cs="Arial" w:eastAsia="Arial" w:hAnsi="Arial"/>
          <w:sz w:val="18"/>
          <w:szCs w:val="18"/>
          <w:color w:val="auto"/>
        </w:rPr>
      </w:pPr>
    </w:p>
    <w:p>
      <w:pPr>
        <w:jc w:val="both"/>
        <w:ind w:left="1300" w:right="20" w:hanging="644"/>
        <w:spacing w:after="0" w:line="31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Mr. Efrati as the portfolio manager of each of Brosh and Exodus GP and because of that certain Power of Attorney Agreement between him and each of Mr. Biram and Ms. Deutsch, may be deemed the beneficial owner of the: (i) 420,303 Shares owned by Brosh; (ii) 18,854 Shares held in the Exodus Managed Account; (iii) 24,729 Shares owned by Mr. Biram and (iv) 24,729 Shares owned by Ms. Deutsch.</w:t>
      </w:r>
    </w:p>
    <w:p>
      <w:pPr>
        <w:spacing w:after="0" w:line="1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Percentage: Approximately 4.6%</w:t>
      </w:r>
    </w:p>
    <w:p>
      <w:pPr>
        <w:spacing w:after="0" w:line="225" w:lineRule="exact"/>
        <w:rPr>
          <w:rFonts w:ascii="Arial" w:cs="Arial" w:eastAsia="Arial" w:hAnsi="Arial"/>
          <w:sz w:val="16"/>
          <w:szCs w:val="16"/>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488,615</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488,615</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Mr. Efrati has not entered into any transactions in the Shares since the filing of Amendment No. 9 to the Schedule 13D. The transactions in the Shares by each of Brosh, Exodus GP through the Exodus Managed Account, Mr. Biram and Ms. Deutsch since the filing of Amendment No. 9 to the Schedule 13D are set forth in Schedule A and are incorporated herein by reference.</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87" w:lineRule="exact"/>
        <w:rPr>
          <w:sz w:val="20"/>
          <w:szCs w:val="20"/>
          <w:color w:val="auto"/>
        </w:rPr>
      </w:pPr>
    </w:p>
    <w:p>
      <w:pPr>
        <w:jc w:val="center"/>
        <w:ind w:left="5660" w:right="1100" w:hanging="5004"/>
        <w:spacing w:after="0" w:line="528" w:lineRule="auto"/>
        <w:tabs>
          <w:tab w:leader="none" w:pos="1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January 8, 2018, the Reporting Persons ceased to be the beneficial owners of more than 5% of the Shares of the Issuer.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M1492T105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10, 2018</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BROSH CAPITAL PARTNERS,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46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Its 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EXODUS MANAGEMENT ISRAEL LTD.</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Amir Efrati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13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Individually, and as attorney-in-fact for Aharon Biram and Ester Deutsch</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M1492T105</w:t>
      </w:r>
    </w:p>
    <w:p>
      <w:pPr>
        <w:spacing w:after="0" w:line="101"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9"/>
              </w:rPr>
              <w:t>SCHEDULE A</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2"/>
        </w:trPr>
        <w:tc>
          <w:tcPr>
            <w:tcW w:w="1520" w:type="dxa"/>
            <w:vAlign w:val="bottom"/>
          </w:tcPr>
          <w:p>
            <w:pPr>
              <w:spacing w:after="0"/>
              <w:rPr>
                <w:sz w:val="24"/>
                <w:szCs w:val="24"/>
                <w:color w:val="auto"/>
              </w:rPr>
            </w:pPr>
          </w:p>
        </w:tc>
        <w:tc>
          <w:tcPr>
            <w:tcW w:w="640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89"/>
              </w:rPr>
              <w:t>Transaction in the Shares Since the Filing of Amendment No. 9 to the Schedule 13D</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2"/>
        </w:trPr>
        <w:tc>
          <w:tcPr>
            <w:tcW w:w="2320" w:type="dxa"/>
            <w:vAlign w:val="bottom"/>
            <w:gridSpan w:val="3"/>
          </w:tcPr>
          <w:p>
            <w:pPr>
              <w:spacing w:after="0"/>
              <w:rPr>
                <w:sz w:val="20"/>
                <w:szCs w:val="20"/>
                <w:color w:val="auto"/>
              </w:rPr>
            </w:pPr>
            <w:r>
              <w:rPr>
                <w:rFonts w:ascii="Arial" w:cs="Arial" w:eastAsia="Arial" w:hAnsi="Arial"/>
                <w:sz w:val="18"/>
                <w:szCs w:val="18"/>
                <w:color w:val="auto"/>
              </w:rPr>
              <w:t>Nature of Transaction</w:t>
            </w:r>
          </w:p>
        </w:tc>
        <w:tc>
          <w:tcPr>
            <w:tcW w:w="3080" w:type="dxa"/>
            <w:vAlign w:val="bottom"/>
            <w:gridSpan w:val="5"/>
          </w:tcPr>
          <w:p>
            <w:pPr>
              <w:jc w:val="center"/>
              <w:spacing w:after="0"/>
              <w:rPr>
                <w:sz w:val="20"/>
                <w:szCs w:val="20"/>
                <w:color w:val="auto"/>
              </w:rPr>
            </w:pPr>
            <w:r>
              <w:rPr>
                <w:rFonts w:ascii="Arial" w:cs="Arial" w:eastAsia="Arial" w:hAnsi="Arial"/>
                <w:sz w:val="18"/>
                <w:szCs w:val="18"/>
                <w:color w:val="auto"/>
                <w:w w:val="88"/>
              </w:rPr>
              <w:t>Date of Purchase/Sale</w:t>
            </w:r>
          </w:p>
        </w:tc>
        <w:tc>
          <w:tcPr>
            <w:tcW w:w="3220" w:type="dxa"/>
            <w:vAlign w:val="bottom"/>
            <w:gridSpan w:val="4"/>
          </w:tcPr>
          <w:p>
            <w:pPr>
              <w:ind w:left="100"/>
              <w:spacing w:after="0"/>
              <w:rPr>
                <w:sz w:val="20"/>
                <w:szCs w:val="20"/>
                <w:color w:val="auto"/>
              </w:rPr>
            </w:pPr>
            <w:r>
              <w:rPr>
                <w:rFonts w:ascii="Arial" w:cs="Arial" w:eastAsia="Arial" w:hAnsi="Arial"/>
                <w:sz w:val="18"/>
                <w:szCs w:val="18"/>
                <w:color w:val="auto"/>
              </w:rPr>
              <w:t>Securities Purchased/(Sold)</w:t>
            </w:r>
          </w:p>
        </w:tc>
        <w:tc>
          <w:tcPr>
            <w:tcW w:w="980" w:type="dxa"/>
            <w:vAlign w:val="bottom"/>
          </w:tcPr>
          <w:p>
            <w:pPr>
              <w:spacing w:after="0"/>
              <w:rPr>
                <w:sz w:val="20"/>
                <w:szCs w:val="20"/>
                <w:color w:val="auto"/>
              </w:rPr>
            </w:pPr>
            <w:r>
              <w:rPr>
                <w:rFonts w:ascii="Arial" w:cs="Arial" w:eastAsia="Arial" w:hAnsi="Arial"/>
                <w:sz w:val="18"/>
                <w:szCs w:val="18"/>
                <w:color w:val="auto"/>
                <w:w w:val="90"/>
              </w:rPr>
              <w:t xml:space="preserve">Price [U.S.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w:t>
            </w:r>
          </w:p>
        </w:tc>
      </w:tr>
      <w:tr>
        <w:trPr>
          <w:trHeight w:val="196"/>
        </w:trPr>
        <w:tc>
          <w:tcPr>
            <w:tcW w:w="15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280"/>
              <w:spacing w:after="0" w:line="196" w:lineRule="exact"/>
              <w:rPr>
                <w:sz w:val="20"/>
                <w:szCs w:val="20"/>
                <w:color w:val="auto"/>
              </w:rPr>
            </w:pPr>
            <w:r>
              <w:rPr>
                <w:rFonts w:ascii="Arial" w:cs="Arial" w:eastAsia="Arial" w:hAnsi="Arial"/>
                <w:sz w:val="18"/>
                <w:szCs w:val="18"/>
                <w:color w:val="auto"/>
                <w:w w:val="98"/>
              </w:rPr>
              <w:t>[dd/mm/yyyy]</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4060" w:type="dxa"/>
            <w:vAlign w:val="bottom"/>
            <w:gridSpan w:val="2"/>
          </w:tcPr>
          <w:p>
            <w:pPr>
              <w:jc w:val="right"/>
              <w:spacing w:after="0"/>
              <w:rPr>
                <w:sz w:val="20"/>
                <w:szCs w:val="20"/>
                <w:color w:val="auto"/>
              </w:rPr>
            </w:pPr>
            <w:r>
              <w:rPr>
                <w:rFonts w:ascii="Arial" w:cs="Arial" w:eastAsia="Arial" w:hAnsi="Arial"/>
                <w:sz w:val="18"/>
                <w:szCs w:val="18"/>
                <w:b w:val="1"/>
                <w:bCs w:val="1"/>
                <w:color w:val="auto"/>
              </w:rPr>
              <w:t>BROSH CAPITAL PARTNERS L.P.</w:t>
            </w:r>
          </w:p>
        </w:tc>
        <w:tc>
          <w:tcPr>
            <w:tcW w:w="168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37"/>
        </w:trPr>
        <w:tc>
          <w:tcPr>
            <w:tcW w:w="3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20" w:type="dxa"/>
            <w:vAlign w:val="bottom"/>
            <w:tcBorders>
              <w:top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16"/>
        </w:trPr>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Ordinary Shares</w:t>
            </w:r>
          </w:p>
        </w:tc>
        <w:tc>
          <w:tcPr>
            <w:tcW w:w="4060" w:type="dxa"/>
            <w:vAlign w:val="bottom"/>
            <w:gridSpan w:val="2"/>
            <w:shd w:val="clear" w:color="auto" w:fill="CCEEFF"/>
          </w:tcPr>
          <w:p>
            <w:pPr>
              <w:jc w:val="right"/>
              <w:ind w:right="1860"/>
              <w:spacing w:after="0"/>
              <w:rPr>
                <w:sz w:val="20"/>
                <w:szCs w:val="20"/>
                <w:color w:val="auto"/>
              </w:rPr>
            </w:pPr>
            <w:r>
              <w:rPr>
                <w:rFonts w:ascii="Arial" w:cs="Arial" w:eastAsia="Arial" w:hAnsi="Arial"/>
                <w:sz w:val="18"/>
                <w:szCs w:val="18"/>
                <w:color w:val="auto"/>
              </w:rPr>
              <w:t>16/11/2017</w:t>
            </w:r>
          </w:p>
        </w:tc>
        <w:tc>
          <w:tcPr>
            <w:tcW w:w="1680" w:type="dxa"/>
            <w:vAlign w:val="bottom"/>
            <w:shd w:val="clear" w:color="auto" w:fill="CCEEFF"/>
          </w:tcPr>
          <w:p>
            <w:pPr>
              <w:jc w:val="center"/>
              <w:ind w:right="850"/>
              <w:spacing w:after="0"/>
              <w:rPr>
                <w:sz w:val="20"/>
                <w:szCs w:val="20"/>
                <w:color w:val="auto"/>
              </w:rPr>
            </w:pPr>
            <w:r>
              <w:rPr>
                <w:rFonts w:ascii="Arial" w:cs="Arial" w:eastAsia="Arial" w:hAnsi="Arial"/>
                <w:sz w:val="18"/>
                <w:szCs w:val="18"/>
                <w:color w:val="auto"/>
                <w:w w:val="94"/>
              </w:rPr>
              <w:t>(2,700)</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10.3322</w:t>
            </w:r>
          </w:p>
        </w:tc>
      </w:tr>
      <w:tr>
        <w:trPr>
          <w:trHeight w:val="216"/>
        </w:trPr>
        <w:tc>
          <w:tcPr>
            <w:tcW w:w="3060" w:type="dxa"/>
            <w:vAlign w:val="bottom"/>
          </w:tcPr>
          <w:p>
            <w:pPr>
              <w:ind w:left="100"/>
              <w:spacing w:after="0"/>
              <w:rPr>
                <w:sz w:val="20"/>
                <w:szCs w:val="20"/>
                <w:color w:val="auto"/>
              </w:rPr>
            </w:pPr>
            <w:r>
              <w:rPr>
                <w:rFonts w:ascii="Arial" w:cs="Arial" w:eastAsia="Arial" w:hAnsi="Arial"/>
                <w:sz w:val="18"/>
                <w:szCs w:val="18"/>
                <w:color w:val="auto"/>
              </w:rPr>
              <w:t>Sale of Ordinary Shares</w:t>
            </w:r>
          </w:p>
        </w:tc>
        <w:tc>
          <w:tcPr>
            <w:tcW w:w="4060" w:type="dxa"/>
            <w:vAlign w:val="bottom"/>
            <w:gridSpan w:val="2"/>
          </w:tcPr>
          <w:p>
            <w:pPr>
              <w:jc w:val="right"/>
              <w:ind w:right="1860"/>
              <w:spacing w:after="0"/>
              <w:rPr>
                <w:sz w:val="20"/>
                <w:szCs w:val="20"/>
                <w:color w:val="auto"/>
              </w:rPr>
            </w:pPr>
            <w:r>
              <w:rPr>
                <w:rFonts w:ascii="Arial" w:cs="Arial" w:eastAsia="Arial" w:hAnsi="Arial"/>
                <w:sz w:val="18"/>
                <w:szCs w:val="18"/>
                <w:color w:val="auto"/>
              </w:rPr>
              <w:t>17/11/2017</w:t>
            </w:r>
          </w:p>
        </w:tc>
        <w:tc>
          <w:tcPr>
            <w:tcW w:w="1680" w:type="dxa"/>
            <w:vAlign w:val="bottom"/>
          </w:tcPr>
          <w:p>
            <w:pPr>
              <w:jc w:val="center"/>
              <w:ind w:right="850"/>
              <w:spacing w:after="0"/>
              <w:rPr>
                <w:sz w:val="20"/>
                <w:szCs w:val="20"/>
                <w:color w:val="auto"/>
              </w:rPr>
            </w:pPr>
            <w:r>
              <w:rPr>
                <w:rFonts w:ascii="Arial" w:cs="Arial" w:eastAsia="Arial" w:hAnsi="Arial"/>
                <w:sz w:val="18"/>
                <w:szCs w:val="18"/>
                <w:color w:val="auto"/>
                <w:w w:val="94"/>
              </w:rPr>
              <w:t>(4,227)</w:t>
            </w: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10.3014</w:t>
            </w:r>
          </w:p>
        </w:tc>
      </w:tr>
      <w:tr>
        <w:trPr>
          <w:trHeight w:val="216"/>
        </w:trPr>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Ordinary Shares</w:t>
            </w:r>
          </w:p>
        </w:tc>
        <w:tc>
          <w:tcPr>
            <w:tcW w:w="4060" w:type="dxa"/>
            <w:vAlign w:val="bottom"/>
            <w:gridSpan w:val="2"/>
            <w:shd w:val="clear" w:color="auto" w:fill="CCEEFF"/>
          </w:tcPr>
          <w:p>
            <w:pPr>
              <w:jc w:val="right"/>
              <w:ind w:right="1860"/>
              <w:spacing w:after="0"/>
              <w:rPr>
                <w:sz w:val="20"/>
                <w:szCs w:val="20"/>
                <w:color w:val="auto"/>
              </w:rPr>
            </w:pPr>
            <w:r>
              <w:rPr>
                <w:rFonts w:ascii="Arial" w:cs="Arial" w:eastAsia="Arial" w:hAnsi="Arial"/>
                <w:sz w:val="18"/>
                <w:szCs w:val="18"/>
                <w:color w:val="auto"/>
              </w:rPr>
              <w:t>29/11/2017</w:t>
            </w:r>
          </w:p>
        </w:tc>
        <w:tc>
          <w:tcPr>
            <w:tcW w:w="1680" w:type="dxa"/>
            <w:vAlign w:val="bottom"/>
            <w:shd w:val="clear" w:color="auto" w:fill="CCEEFF"/>
          </w:tcPr>
          <w:p>
            <w:pPr>
              <w:jc w:val="center"/>
              <w:ind w:right="850"/>
              <w:spacing w:after="0"/>
              <w:rPr>
                <w:sz w:val="20"/>
                <w:szCs w:val="20"/>
                <w:color w:val="auto"/>
              </w:rPr>
            </w:pPr>
            <w:r>
              <w:rPr>
                <w:rFonts w:ascii="Arial" w:cs="Arial" w:eastAsia="Arial" w:hAnsi="Arial"/>
                <w:sz w:val="18"/>
                <w:szCs w:val="18"/>
                <w:color w:val="auto"/>
                <w:w w:val="92"/>
              </w:rPr>
              <w:t>(24,393)</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9.3497</w:t>
            </w:r>
          </w:p>
        </w:tc>
      </w:tr>
      <w:tr>
        <w:trPr>
          <w:trHeight w:val="216"/>
        </w:trPr>
        <w:tc>
          <w:tcPr>
            <w:tcW w:w="3060" w:type="dxa"/>
            <w:vAlign w:val="bottom"/>
          </w:tcPr>
          <w:p>
            <w:pPr>
              <w:ind w:left="100"/>
              <w:spacing w:after="0"/>
              <w:rPr>
                <w:sz w:val="20"/>
                <w:szCs w:val="20"/>
                <w:color w:val="auto"/>
              </w:rPr>
            </w:pPr>
            <w:r>
              <w:rPr>
                <w:rFonts w:ascii="Arial" w:cs="Arial" w:eastAsia="Arial" w:hAnsi="Arial"/>
                <w:sz w:val="18"/>
                <w:szCs w:val="18"/>
                <w:color w:val="auto"/>
              </w:rPr>
              <w:t>Sale of Ordinary Shares</w:t>
            </w:r>
          </w:p>
        </w:tc>
        <w:tc>
          <w:tcPr>
            <w:tcW w:w="4060" w:type="dxa"/>
            <w:vAlign w:val="bottom"/>
            <w:gridSpan w:val="2"/>
          </w:tcPr>
          <w:p>
            <w:pPr>
              <w:jc w:val="right"/>
              <w:ind w:right="1840"/>
              <w:spacing w:after="0"/>
              <w:rPr>
                <w:sz w:val="20"/>
                <w:szCs w:val="20"/>
                <w:color w:val="auto"/>
              </w:rPr>
            </w:pPr>
            <w:r>
              <w:rPr>
                <w:rFonts w:ascii="Arial" w:cs="Arial" w:eastAsia="Arial" w:hAnsi="Arial"/>
                <w:sz w:val="18"/>
                <w:szCs w:val="18"/>
                <w:color w:val="auto"/>
              </w:rPr>
              <w:t>04/01/2018</w:t>
            </w:r>
          </w:p>
        </w:tc>
        <w:tc>
          <w:tcPr>
            <w:tcW w:w="1680" w:type="dxa"/>
            <w:vAlign w:val="bottom"/>
          </w:tcPr>
          <w:p>
            <w:pPr>
              <w:jc w:val="center"/>
              <w:ind w:right="850"/>
              <w:spacing w:after="0"/>
              <w:rPr>
                <w:sz w:val="20"/>
                <w:szCs w:val="20"/>
                <w:color w:val="auto"/>
              </w:rPr>
            </w:pPr>
            <w:r>
              <w:rPr>
                <w:rFonts w:ascii="Arial" w:cs="Arial" w:eastAsia="Arial" w:hAnsi="Arial"/>
                <w:sz w:val="18"/>
                <w:szCs w:val="18"/>
                <w:color w:val="auto"/>
                <w:w w:val="92"/>
              </w:rPr>
              <w:t>(40,400)</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8.3958</w:t>
            </w:r>
          </w:p>
        </w:tc>
      </w:tr>
      <w:tr>
        <w:trPr>
          <w:trHeight w:val="216"/>
        </w:trPr>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Ordinary Shares</w:t>
            </w:r>
          </w:p>
        </w:tc>
        <w:tc>
          <w:tcPr>
            <w:tcW w:w="4060" w:type="dxa"/>
            <w:vAlign w:val="bottom"/>
            <w:gridSpan w:val="2"/>
            <w:shd w:val="clear" w:color="auto" w:fill="CCEEFF"/>
          </w:tcPr>
          <w:p>
            <w:pPr>
              <w:jc w:val="right"/>
              <w:ind w:right="1840"/>
              <w:spacing w:after="0"/>
              <w:rPr>
                <w:sz w:val="20"/>
                <w:szCs w:val="20"/>
                <w:color w:val="auto"/>
              </w:rPr>
            </w:pPr>
            <w:r>
              <w:rPr>
                <w:rFonts w:ascii="Arial" w:cs="Arial" w:eastAsia="Arial" w:hAnsi="Arial"/>
                <w:sz w:val="18"/>
                <w:szCs w:val="18"/>
                <w:color w:val="auto"/>
              </w:rPr>
              <w:t>08/01/2018</w:t>
            </w:r>
          </w:p>
        </w:tc>
        <w:tc>
          <w:tcPr>
            <w:tcW w:w="1680" w:type="dxa"/>
            <w:vAlign w:val="bottom"/>
            <w:shd w:val="clear" w:color="auto" w:fill="CCEEFF"/>
          </w:tcPr>
          <w:p>
            <w:pPr>
              <w:jc w:val="center"/>
              <w:ind w:right="850"/>
              <w:spacing w:after="0"/>
              <w:rPr>
                <w:sz w:val="20"/>
                <w:szCs w:val="20"/>
                <w:color w:val="auto"/>
              </w:rPr>
            </w:pPr>
            <w:r>
              <w:rPr>
                <w:rFonts w:ascii="Arial" w:cs="Arial" w:eastAsia="Arial" w:hAnsi="Arial"/>
                <w:sz w:val="18"/>
                <w:szCs w:val="18"/>
                <w:color w:val="auto"/>
                <w:w w:val="92"/>
              </w:rPr>
              <w:t>(25,000)</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9.5000</w:t>
            </w:r>
          </w:p>
        </w:tc>
      </w:tr>
    </w:tbl>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586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rPr>
              <w:t>EXODUS MANAGEMENT ISRAEL LTD</w:t>
            </w:r>
          </w:p>
        </w:tc>
        <w:tc>
          <w:tcPr>
            <w:tcW w:w="2600" w:type="dxa"/>
            <w:vAlign w:val="bottom"/>
          </w:tcPr>
          <w:p>
            <w:pPr>
              <w:spacing w:after="0"/>
              <w:rPr>
                <w:sz w:val="17"/>
                <w:szCs w:val="17"/>
                <w:color w:val="auto"/>
              </w:rPr>
            </w:pPr>
          </w:p>
        </w:tc>
      </w:tr>
      <w:tr>
        <w:trPr>
          <w:trHeight w:val="237"/>
        </w:trPr>
        <w:tc>
          <w:tcPr>
            <w:tcW w:w="2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Ordinary Shares</w:t>
            </w:r>
          </w:p>
        </w:tc>
        <w:tc>
          <w:tcPr>
            <w:tcW w:w="3480" w:type="dxa"/>
            <w:vAlign w:val="bottom"/>
            <w:gridSpan w:val="4"/>
            <w:shd w:val="clear" w:color="auto" w:fill="CCEEFF"/>
          </w:tcPr>
          <w:p>
            <w:pPr>
              <w:jc w:val="right"/>
              <w:ind w:right="1070"/>
              <w:spacing w:after="0"/>
              <w:rPr>
                <w:sz w:val="20"/>
                <w:szCs w:val="20"/>
                <w:color w:val="auto"/>
              </w:rPr>
            </w:pPr>
            <w:r>
              <w:rPr>
                <w:rFonts w:ascii="Arial" w:cs="Arial" w:eastAsia="Arial" w:hAnsi="Arial"/>
                <w:sz w:val="18"/>
                <w:szCs w:val="18"/>
                <w:color w:val="auto"/>
              </w:rPr>
              <w:t>08/01/2018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(10,000)</w:t>
            </w:r>
          </w:p>
        </w:tc>
        <w:tc>
          <w:tcPr>
            <w:tcW w:w="26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9.3000</w:t>
            </w:r>
          </w:p>
        </w:tc>
      </w:tr>
      <w:tr>
        <w:trPr>
          <w:trHeight w:val="230"/>
        </w:trPr>
        <w:tc>
          <w:tcPr>
            <w:tcW w:w="2960" w:type="dxa"/>
            <w:vAlign w:val="bottom"/>
          </w:tcPr>
          <w:p>
            <w:pPr>
              <w:ind w:left="100"/>
              <w:spacing w:after="0"/>
              <w:rPr>
                <w:sz w:val="20"/>
                <w:szCs w:val="20"/>
                <w:color w:val="auto"/>
              </w:rPr>
            </w:pPr>
            <w:r>
              <w:rPr>
                <w:rFonts w:ascii="Arial" w:cs="Arial" w:eastAsia="Arial" w:hAnsi="Arial"/>
                <w:sz w:val="18"/>
                <w:szCs w:val="18"/>
                <w:color w:val="auto"/>
              </w:rPr>
              <w:t>Sale of Ordinary Shares</w:t>
            </w:r>
          </w:p>
        </w:tc>
        <w:tc>
          <w:tcPr>
            <w:tcW w:w="3480" w:type="dxa"/>
            <w:vAlign w:val="bottom"/>
            <w:gridSpan w:val="4"/>
          </w:tcPr>
          <w:p>
            <w:pPr>
              <w:jc w:val="right"/>
              <w:ind w:right="1070"/>
              <w:spacing w:after="0"/>
              <w:rPr>
                <w:sz w:val="20"/>
                <w:szCs w:val="20"/>
                <w:color w:val="auto"/>
              </w:rPr>
            </w:pPr>
            <w:r>
              <w:rPr>
                <w:rFonts w:ascii="Arial" w:cs="Arial" w:eastAsia="Arial" w:hAnsi="Arial"/>
                <w:sz w:val="18"/>
                <w:szCs w:val="18"/>
                <w:color w:val="auto"/>
              </w:rPr>
              <w:t>08/01/2018</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jc w:val="right"/>
              <w:ind w:right="1020"/>
              <w:spacing w:after="0"/>
              <w:rPr>
                <w:sz w:val="20"/>
                <w:szCs w:val="20"/>
                <w:color w:val="auto"/>
              </w:rPr>
            </w:pPr>
            <w:r>
              <w:rPr>
                <w:rFonts w:ascii="Arial" w:cs="Arial" w:eastAsia="Arial" w:hAnsi="Arial"/>
                <w:sz w:val="18"/>
                <w:szCs w:val="18"/>
                <w:color w:val="auto"/>
              </w:rPr>
              <w:t>(10,000)</w:t>
            </w:r>
          </w:p>
        </w:tc>
        <w:tc>
          <w:tcPr>
            <w:tcW w:w="2600" w:type="dxa"/>
            <w:vAlign w:val="bottom"/>
          </w:tcPr>
          <w:p>
            <w:pPr>
              <w:jc w:val="right"/>
              <w:ind w:right="970"/>
              <w:spacing w:after="0"/>
              <w:rPr>
                <w:sz w:val="20"/>
                <w:szCs w:val="20"/>
                <w:color w:val="auto"/>
              </w:rPr>
            </w:pPr>
            <w:r>
              <w:rPr>
                <w:rFonts w:ascii="Arial" w:cs="Arial" w:eastAsia="Arial" w:hAnsi="Arial"/>
                <w:sz w:val="18"/>
                <w:szCs w:val="18"/>
                <w:color w:val="auto"/>
              </w:rPr>
              <w:t>9.3000</w:t>
            </w:r>
          </w:p>
        </w:tc>
      </w:tr>
      <w:tr>
        <w:trPr>
          <w:trHeight w:val="377"/>
        </w:trPr>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AHARON BIRAM</w:t>
            </w: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37"/>
        </w:trPr>
        <w:tc>
          <w:tcPr>
            <w:tcW w:w="2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Ordinary Shares</w:t>
            </w:r>
          </w:p>
        </w:tc>
        <w:tc>
          <w:tcPr>
            <w:tcW w:w="3480" w:type="dxa"/>
            <w:vAlign w:val="bottom"/>
            <w:gridSpan w:val="4"/>
            <w:shd w:val="clear" w:color="auto" w:fill="CCEEFF"/>
          </w:tcPr>
          <w:p>
            <w:pPr>
              <w:jc w:val="right"/>
              <w:ind w:right="1070"/>
              <w:spacing w:after="0"/>
              <w:rPr>
                <w:sz w:val="20"/>
                <w:szCs w:val="20"/>
                <w:color w:val="auto"/>
              </w:rPr>
            </w:pPr>
            <w:r>
              <w:rPr>
                <w:rFonts w:ascii="Arial" w:cs="Arial" w:eastAsia="Arial" w:hAnsi="Arial"/>
                <w:sz w:val="18"/>
                <w:szCs w:val="18"/>
                <w:color w:val="auto"/>
              </w:rPr>
              <w:t>08/01/2018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(10,000)</w:t>
            </w:r>
          </w:p>
        </w:tc>
        <w:tc>
          <w:tcPr>
            <w:tcW w:w="26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9.3000</w:t>
            </w:r>
          </w:p>
        </w:tc>
      </w:tr>
      <w:tr>
        <w:trPr>
          <w:trHeight w:val="230"/>
        </w:trPr>
        <w:tc>
          <w:tcPr>
            <w:tcW w:w="2960" w:type="dxa"/>
            <w:vAlign w:val="bottom"/>
          </w:tcPr>
          <w:p>
            <w:pPr>
              <w:ind w:left="100"/>
              <w:spacing w:after="0"/>
              <w:rPr>
                <w:sz w:val="20"/>
                <w:szCs w:val="20"/>
                <w:color w:val="auto"/>
              </w:rPr>
            </w:pPr>
            <w:r>
              <w:rPr>
                <w:rFonts w:ascii="Arial" w:cs="Arial" w:eastAsia="Arial" w:hAnsi="Arial"/>
                <w:sz w:val="18"/>
                <w:szCs w:val="18"/>
                <w:color w:val="auto"/>
              </w:rPr>
              <w:t>Sale of Ordinary Shares</w:t>
            </w:r>
          </w:p>
        </w:tc>
        <w:tc>
          <w:tcPr>
            <w:tcW w:w="3480" w:type="dxa"/>
            <w:vAlign w:val="bottom"/>
            <w:gridSpan w:val="4"/>
          </w:tcPr>
          <w:p>
            <w:pPr>
              <w:jc w:val="right"/>
              <w:ind w:right="1070"/>
              <w:spacing w:after="0"/>
              <w:rPr>
                <w:sz w:val="20"/>
                <w:szCs w:val="20"/>
                <w:color w:val="auto"/>
              </w:rPr>
            </w:pPr>
            <w:r>
              <w:rPr>
                <w:rFonts w:ascii="Arial" w:cs="Arial" w:eastAsia="Arial" w:hAnsi="Arial"/>
                <w:sz w:val="18"/>
                <w:szCs w:val="18"/>
                <w:color w:val="auto"/>
              </w:rPr>
              <w:t>08/01/2018</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jc w:val="right"/>
              <w:ind w:right="1020"/>
              <w:spacing w:after="0"/>
              <w:rPr>
                <w:sz w:val="20"/>
                <w:szCs w:val="20"/>
                <w:color w:val="auto"/>
              </w:rPr>
            </w:pPr>
            <w:r>
              <w:rPr>
                <w:rFonts w:ascii="Arial" w:cs="Arial" w:eastAsia="Arial" w:hAnsi="Arial"/>
                <w:sz w:val="18"/>
                <w:szCs w:val="18"/>
                <w:color w:val="auto"/>
              </w:rPr>
              <w:t>(10,000)</w:t>
            </w:r>
          </w:p>
        </w:tc>
        <w:tc>
          <w:tcPr>
            <w:tcW w:w="2600" w:type="dxa"/>
            <w:vAlign w:val="bottom"/>
          </w:tcPr>
          <w:p>
            <w:pPr>
              <w:jc w:val="right"/>
              <w:ind w:right="970"/>
              <w:spacing w:after="0"/>
              <w:rPr>
                <w:sz w:val="20"/>
                <w:szCs w:val="20"/>
                <w:color w:val="auto"/>
              </w:rPr>
            </w:pPr>
            <w:r>
              <w:rPr>
                <w:rFonts w:ascii="Arial" w:cs="Arial" w:eastAsia="Arial" w:hAnsi="Arial"/>
                <w:sz w:val="18"/>
                <w:szCs w:val="18"/>
                <w:color w:val="auto"/>
              </w:rPr>
              <w:t>9.3000</w:t>
            </w:r>
          </w:p>
        </w:tc>
      </w:tr>
      <w:tr>
        <w:trPr>
          <w:trHeight w:val="377"/>
        </w:trPr>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40" w:type="dxa"/>
            <w:vAlign w:val="bottom"/>
            <w:gridSpan w:val="5"/>
          </w:tcPr>
          <w:p>
            <w:pPr>
              <w:jc w:val="center"/>
              <w:ind w:left="430"/>
              <w:spacing w:after="0"/>
              <w:rPr>
                <w:sz w:val="20"/>
                <w:szCs w:val="20"/>
                <w:color w:val="auto"/>
              </w:rPr>
            </w:pPr>
            <w:r>
              <w:rPr>
                <w:rFonts w:ascii="Arial" w:cs="Arial" w:eastAsia="Arial" w:hAnsi="Arial"/>
                <w:sz w:val="18"/>
                <w:szCs w:val="18"/>
                <w:b w:val="1"/>
                <w:bCs w:val="1"/>
                <w:color w:val="auto"/>
                <w:w w:val="98"/>
              </w:rPr>
              <w:t>ESTER DEUTSCH</w:t>
            </w: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37"/>
        </w:trPr>
        <w:tc>
          <w:tcPr>
            <w:tcW w:w="2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Ordinary Shares</w:t>
            </w:r>
          </w:p>
        </w:tc>
        <w:tc>
          <w:tcPr>
            <w:tcW w:w="3480" w:type="dxa"/>
            <w:vAlign w:val="bottom"/>
            <w:gridSpan w:val="4"/>
            <w:shd w:val="clear" w:color="auto" w:fill="CCEEFF"/>
          </w:tcPr>
          <w:p>
            <w:pPr>
              <w:jc w:val="right"/>
              <w:ind w:right="1070"/>
              <w:spacing w:after="0"/>
              <w:rPr>
                <w:sz w:val="20"/>
                <w:szCs w:val="20"/>
                <w:color w:val="auto"/>
              </w:rPr>
            </w:pPr>
            <w:r>
              <w:rPr>
                <w:rFonts w:ascii="Arial" w:cs="Arial" w:eastAsia="Arial" w:hAnsi="Arial"/>
                <w:sz w:val="18"/>
                <w:szCs w:val="18"/>
                <w:color w:val="auto"/>
              </w:rPr>
              <w:t>08/01/2018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(10,000)</w:t>
            </w:r>
          </w:p>
        </w:tc>
        <w:tc>
          <w:tcPr>
            <w:tcW w:w="26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9.3011</w:t>
            </w:r>
          </w:p>
        </w:tc>
      </w:tr>
      <w:tr>
        <w:trPr>
          <w:trHeight w:val="230"/>
        </w:trPr>
        <w:tc>
          <w:tcPr>
            <w:tcW w:w="2960" w:type="dxa"/>
            <w:vAlign w:val="bottom"/>
          </w:tcPr>
          <w:p>
            <w:pPr>
              <w:ind w:left="100"/>
              <w:spacing w:after="0"/>
              <w:rPr>
                <w:sz w:val="20"/>
                <w:szCs w:val="20"/>
                <w:color w:val="auto"/>
              </w:rPr>
            </w:pPr>
            <w:r>
              <w:rPr>
                <w:rFonts w:ascii="Arial" w:cs="Arial" w:eastAsia="Arial" w:hAnsi="Arial"/>
                <w:sz w:val="18"/>
                <w:szCs w:val="18"/>
                <w:color w:val="auto"/>
              </w:rPr>
              <w:t>Sale of Ordinary Shares</w:t>
            </w:r>
          </w:p>
        </w:tc>
        <w:tc>
          <w:tcPr>
            <w:tcW w:w="3480" w:type="dxa"/>
            <w:vAlign w:val="bottom"/>
            <w:gridSpan w:val="4"/>
          </w:tcPr>
          <w:p>
            <w:pPr>
              <w:jc w:val="right"/>
              <w:ind w:right="1070"/>
              <w:spacing w:after="0"/>
              <w:rPr>
                <w:sz w:val="20"/>
                <w:szCs w:val="20"/>
                <w:color w:val="auto"/>
              </w:rPr>
            </w:pPr>
            <w:r>
              <w:rPr>
                <w:rFonts w:ascii="Arial" w:cs="Arial" w:eastAsia="Arial" w:hAnsi="Arial"/>
                <w:sz w:val="18"/>
                <w:szCs w:val="18"/>
                <w:color w:val="auto"/>
              </w:rPr>
              <w:t>08/01/2018</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jc w:val="right"/>
              <w:ind w:right="1020"/>
              <w:spacing w:after="0"/>
              <w:rPr>
                <w:sz w:val="20"/>
                <w:szCs w:val="20"/>
                <w:color w:val="auto"/>
              </w:rPr>
            </w:pPr>
            <w:r>
              <w:rPr>
                <w:rFonts w:ascii="Arial" w:cs="Arial" w:eastAsia="Arial" w:hAnsi="Arial"/>
                <w:sz w:val="18"/>
                <w:szCs w:val="18"/>
                <w:color w:val="auto"/>
              </w:rPr>
              <w:t>(10,000)</w:t>
            </w:r>
          </w:p>
        </w:tc>
        <w:tc>
          <w:tcPr>
            <w:tcW w:w="2600" w:type="dxa"/>
            <w:vAlign w:val="bottom"/>
          </w:tcPr>
          <w:p>
            <w:pPr>
              <w:jc w:val="right"/>
              <w:ind w:right="970"/>
              <w:spacing w:after="0"/>
              <w:rPr>
                <w:sz w:val="20"/>
                <w:szCs w:val="20"/>
                <w:color w:val="auto"/>
              </w:rPr>
            </w:pPr>
            <w:r>
              <w:rPr>
                <w:rFonts w:ascii="Arial" w:cs="Arial" w:eastAsia="Arial" w:hAnsi="Arial"/>
                <w:sz w:val="18"/>
                <w:szCs w:val="18"/>
                <w:color w:val="auto"/>
              </w:rPr>
              <w:t>9.3000</w:t>
            </w:r>
          </w:p>
        </w:tc>
      </w:tr>
    </w:tbl>
    <w:p>
      <w:pPr>
        <w:spacing w:after="0" w:line="1" w:lineRule="exact"/>
        <w:rPr>
          <w:sz w:val="20"/>
          <w:szCs w:val="20"/>
          <w:color w:val="auto"/>
        </w:rPr>
      </w:pP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decimal"/>
      <w:start w:val="14"/>
    </w:lvl>
  </w:abstractNum>
  <w:abstractNum w:abstractNumId="3">
    <w:nsid w:val="46E87CCD"/>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4">
    <w:nsid w:val="3D1B58BA"/>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2"/>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2019-12-08T05:06:49Z</dcterms:created>
  <dcterms:modified xsi:type="dcterms:W3CDTF">2019-12-08T05:06:49Z</dcterms:modified>
</cp:coreProperties>
</file>