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32"/>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Date of Report (Date of earliest event reported): March 1, 2021</w:t>
      </w:r>
    </w:p>
    <w:p>
      <w:pPr>
        <w:spacing w:after="0" w:line="13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ARCTURUS THERAPEUTICS HOLDINGS INC.</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6" w:lineRule="exact"/>
        <w:rPr>
          <w:sz w:val="24"/>
          <w:szCs w:val="24"/>
          <w:color w:val="auto"/>
        </w:rPr>
      </w:pPr>
    </w:p>
    <w:tbl>
      <w:tblPr>
        <w:tblLayout w:type="fixed"/>
        <w:tblInd w:w="1148" w:type="dxa"/>
        <w:tblCellMar>
          <w:top w:w="0" w:type="dxa"/>
          <w:left w:w="0" w:type="dxa"/>
          <w:bottom w:w="0" w:type="dxa"/>
          <w:right w:w="0" w:type="dxa"/>
        </w:tblCellMar>
      </w:tblPr>
      <w:tr>
        <w:trPr>
          <w:trHeight w:val="144"/>
        </w:trPr>
        <w:tc>
          <w:tcPr>
            <w:tcW w:w="2080" w:type="dxa"/>
            <w:vAlign w:val="bottom"/>
          </w:tcPr>
          <w:p>
            <w:pPr>
              <w:jc w:val="center"/>
              <w:ind w:right="620"/>
              <w:spacing w:after="0"/>
              <w:rPr>
                <w:sz w:val="20"/>
                <w:szCs w:val="20"/>
                <w:color w:val="auto"/>
              </w:rPr>
            </w:pPr>
            <w:r>
              <w:rPr>
                <w:rFonts w:ascii="Arial" w:cs="Arial" w:eastAsia="Arial" w:hAnsi="Arial"/>
                <w:sz w:val="12"/>
                <w:szCs w:val="12"/>
                <w:b w:val="1"/>
                <w:bCs w:val="1"/>
                <w:color w:val="auto"/>
                <w:w w:val="91"/>
              </w:rPr>
              <w:t>Delaware</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001-38942</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0"/>
              </w:rPr>
              <w:t>32-0595345</w:t>
            </w:r>
          </w:p>
        </w:tc>
      </w:tr>
      <w:tr>
        <w:trPr>
          <w:trHeight w:val="144"/>
        </w:trPr>
        <w:tc>
          <w:tcPr>
            <w:tcW w:w="2080" w:type="dxa"/>
            <w:vAlign w:val="bottom"/>
          </w:tcPr>
          <w:p>
            <w:pPr>
              <w:jc w:val="center"/>
              <w:ind w:right="640"/>
              <w:spacing w:after="0"/>
              <w:rPr>
                <w:sz w:val="20"/>
                <w:szCs w:val="20"/>
                <w:color w:val="auto"/>
              </w:rPr>
            </w:pPr>
            <w:r>
              <w:rPr>
                <w:rFonts w:ascii="Arial" w:cs="Arial" w:eastAsia="Arial" w:hAnsi="Arial"/>
                <w:sz w:val="12"/>
                <w:szCs w:val="12"/>
                <w:b w:val="1"/>
                <w:bCs w:val="1"/>
                <w:color w:val="auto"/>
                <w:w w:val="91"/>
              </w:rPr>
              <w:t>(State or other jurisdiction</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(Commission</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3"/>
              </w:rPr>
              <w:t>(I.R.S. Employer</w:t>
            </w:r>
          </w:p>
        </w:tc>
      </w:tr>
      <w:tr>
        <w:trPr>
          <w:trHeight w:val="157"/>
        </w:trPr>
        <w:tc>
          <w:tcPr>
            <w:tcW w:w="2080" w:type="dxa"/>
            <w:vAlign w:val="bottom"/>
          </w:tcPr>
          <w:p>
            <w:pPr>
              <w:jc w:val="center"/>
              <w:ind w:right="620"/>
              <w:spacing w:after="0"/>
              <w:rPr>
                <w:sz w:val="20"/>
                <w:szCs w:val="20"/>
                <w:color w:val="auto"/>
              </w:rPr>
            </w:pPr>
            <w:r>
              <w:rPr>
                <w:rFonts w:ascii="Arial" w:cs="Arial" w:eastAsia="Arial" w:hAnsi="Arial"/>
                <w:sz w:val="12"/>
                <w:szCs w:val="12"/>
                <w:b w:val="1"/>
                <w:bCs w:val="1"/>
                <w:color w:val="auto"/>
                <w:w w:val="91"/>
              </w:rPr>
              <w:t>of incorporation)</w:t>
            </w: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2"/>
              </w:rPr>
              <w:t>File Number)</w:t>
            </w:r>
          </w:p>
        </w:tc>
        <w:tc>
          <w:tcPr>
            <w:tcW w:w="1740" w:type="dxa"/>
            <w:vAlign w:val="bottom"/>
          </w:tcPr>
          <w:p>
            <w:pPr>
              <w:jc w:val="center"/>
              <w:ind w:left="740"/>
              <w:spacing w:after="0"/>
              <w:rPr>
                <w:sz w:val="20"/>
                <w:szCs w:val="20"/>
                <w:color w:val="auto"/>
              </w:rPr>
            </w:pPr>
            <w:r>
              <w:rPr>
                <w:rFonts w:ascii="Arial" w:cs="Arial" w:eastAsia="Arial" w:hAnsi="Arial"/>
                <w:sz w:val="12"/>
                <w:szCs w:val="12"/>
                <w:b w:val="1"/>
                <w:bCs w:val="1"/>
                <w:color w:val="auto"/>
                <w:w w:val="92"/>
              </w:rPr>
              <w:t>Identification No.)</w:t>
            </w:r>
          </w:p>
        </w:tc>
      </w:tr>
      <w:tr>
        <w:trPr>
          <w:trHeight w:val="275"/>
        </w:trPr>
        <w:tc>
          <w:tcPr>
            <w:tcW w:w="2080" w:type="dxa"/>
            <w:vAlign w:val="bottom"/>
          </w:tcPr>
          <w:p>
            <w:pPr>
              <w:spacing w:after="0"/>
              <w:rPr>
                <w:sz w:val="23"/>
                <w:szCs w:val="23"/>
                <w:color w:val="auto"/>
              </w:rPr>
            </w:pPr>
          </w:p>
        </w:tc>
        <w:tc>
          <w:tcPr>
            <w:tcW w:w="496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10628 Science Center Drive, Suite 250</w:t>
            </w:r>
          </w:p>
        </w:tc>
        <w:tc>
          <w:tcPr>
            <w:tcW w:w="174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91"/>
              </w:rPr>
              <w:t>San Diego, California 92121</w:t>
            </w:r>
          </w:p>
        </w:tc>
        <w:tc>
          <w:tcPr>
            <w:tcW w:w="1740" w:type="dxa"/>
            <w:vAlign w:val="bottom"/>
          </w:tcPr>
          <w:p>
            <w:pPr>
              <w:spacing w:after="0"/>
              <w:rPr>
                <w:sz w:val="12"/>
                <w:szCs w:val="12"/>
                <w:color w:val="auto"/>
              </w:rPr>
            </w:pPr>
          </w:p>
        </w:tc>
      </w:tr>
      <w:tr>
        <w:trPr>
          <w:trHeight w:val="157"/>
        </w:trPr>
        <w:tc>
          <w:tcPr>
            <w:tcW w:w="2080" w:type="dxa"/>
            <w:vAlign w:val="bottom"/>
          </w:tcPr>
          <w:p>
            <w:pPr>
              <w:spacing w:after="0"/>
              <w:rPr>
                <w:sz w:val="13"/>
                <w:szCs w:val="13"/>
                <w:color w:val="auto"/>
              </w:rPr>
            </w:pPr>
          </w:p>
        </w:tc>
        <w:tc>
          <w:tcPr>
            <w:tcW w:w="496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174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Registrant’s telephone number, including area code: (858) 900-2660</w:t>
            </w:r>
          </w:p>
        </w:tc>
        <w:tc>
          <w:tcPr>
            <w:tcW w:w="1740" w:type="dxa"/>
            <w:vAlign w:val="bottom"/>
          </w:tcPr>
          <w:p>
            <w:pPr>
              <w:spacing w:after="0"/>
              <w:rPr>
                <w:sz w:val="24"/>
                <w:szCs w:val="24"/>
                <w:color w:val="auto"/>
              </w:rPr>
            </w:pP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0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75"/>
        </w:trPr>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Trading</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87"/>
              </w:rPr>
              <w:t>Name of each exchange</w:t>
            </w:r>
          </w:p>
        </w:tc>
      </w:tr>
      <w:tr>
        <w:trPr>
          <w:trHeight w:val="157"/>
        </w:trPr>
        <w:tc>
          <w:tcPr>
            <w:tcW w:w="40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Title of each class</w:t>
            </w:r>
          </w:p>
        </w:tc>
        <w:tc>
          <w:tcPr>
            <w:tcW w:w="33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Symbol(s)</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88"/>
              </w:rPr>
              <w:t>on which registered</w:t>
            </w:r>
          </w:p>
        </w:tc>
      </w:tr>
      <w:tr>
        <w:trPr>
          <w:trHeight w:val="146"/>
        </w:trPr>
        <w:tc>
          <w:tcPr>
            <w:tcW w:w="38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$0.001 per share</w:t>
            </w:r>
          </w:p>
        </w:tc>
        <w:tc>
          <w:tcPr>
            <w:tcW w:w="120" w:type="dxa"/>
            <w:vAlign w:val="bottom"/>
          </w:tcPr>
          <w:p>
            <w:pPr>
              <w:spacing w:after="0"/>
              <w:rPr>
                <w:sz w:val="12"/>
                <w:szCs w:val="12"/>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ARCT</w:t>
            </w:r>
          </w:p>
        </w:tc>
        <w:tc>
          <w:tcPr>
            <w:tcW w:w="120" w:type="dxa"/>
            <w:vAlign w:val="bottom"/>
          </w:tcPr>
          <w:p>
            <w:pPr>
              <w:spacing w:after="0"/>
              <w:rPr>
                <w:sz w:val="12"/>
                <w:szCs w:val="12"/>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233045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1"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Conditions.</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On March 1, 2021, Arcturus Therapeutics Holdings Inc. (the “Company” or “Arcturus”) issued a press release, a copy of which is furnished herewith as Exhibit 99.1, announcing the Company’s financial results for the quarter and year ended December 31, 2020 and providing a corporate update (the “Press Release”).</w:t>
      </w:r>
    </w:p>
    <w:p>
      <w:pPr>
        <w:spacing w:after="0" w:line="115"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Company has made available a presentation about its business (the “Presentation”), a copy of which is furnished herewith as Exhibit 99.2 to this Current Report on Form 8-K and is hereby incorporated by reference.</w:t>
      </w:r>
    </w:p>
    <w:p>
      <w:pPr>
        <w:spacing w:after="0" w:line="162"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furnishing of the Presentation is not an admission as to the materiality of any information therein. The information contained in the Presentation is summary information that should be considered in the context of the Company’s filings with the SEC and other public announcements the Company may make by press release or otherwise from time to time.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ind w:right="40"/>
        <w:spacing w:after="0" w:line="309" w:lineRule="auto"/>
        <w:rPr>
          <w:sz w:val="20"/>
          <w:szCs w:val="20"/>
          <w:color w:val="auto"/>
        </w:rPr>
      </w:pPr>
      <w:r>
        <w:rPr>
          <w:rFonts w:ascii="Arial" w:cs="Arial" w:eastAsia="Arial" w:hAnsi="Arial"/>
          <w:sz w:val="10"/>
          <w:szCs w:val="10"/>
          <w:color w:val="auto"/>
        </w:rPr>
        <w:t>Certain statements in this Current Report on Form 8-K, the Press Release and the Presentation are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collaborations, the likelihood of success, and the efficacy or safety, of the Company’s pipeline, including ARCT-021, ARCT-810 or ARCT-032, the planned initiation, design or completion of clinical trials, the likelihood that the Company will obtain clearance from regulatory authorities to proceed with planned clinical trials, the likelihood that preclinical or clinical data will be predictive of future clinical results, the likelihood that clinical data will be sufficient for regulatory approval or completed in time to submit an application for regulatory approval within a particular timeframe, the ability to enroll subjects in clinical trials, the Company’s efforts to develop a vaccine against COVID-19 and therapeutic potential thereof based on the Company’s mRNA therapeutics, the ability of the Company to scale up manufacturing of vaccine doses or to manufacture and scale up manufacturing of any other product or substance, the likelihood that a patent will issue from any patent application, the results of advancements in the Company’s manufacturing methods and technologies, including purification and lyophilization, its current cash position and expected cash burn and the impact of general business and economic condition.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2020, filed with the SEC on March 1, 2021 and in subsequent filings with, or submissions to, the SEC.</w:t>
      </w:r>
    </w:p>
    <w:p>
      <w:pPr>
        <w:spacing w:after="0" w:line="103"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The statements made in this Current Report on Form 8-K, the Press Release and the Presentation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20" w:type="dxa"/>
            <w:vAlign w:val="bottom"/>
          </w:tcPr>
          <w:p>
            <w:pPr>
              <w:spacing w:after="0"/>
              <w:rPr>
                <w:sz w:val="20"/>
                <w:szCs w:val="20"/>
                <w:color w:val="auto"/>
              </w:rPr>
            </w:pPr>
            <w:r>
              <w:rPr>
                <w:rFonts w:ascii="Arial" w:cs="Arial" w:eastAsia="Arial" w:hAnsi="Arial"/>
                <w:sz w:val="12"/>
                <w:szCs w:val="12"/>
                <w:b w:val="1"/>
                <w:bCs w:val="1"/>
                <w:i w:val="1"/>
                <w:iCs w:val="1"/>
                <w:color w:val="auto"/>
              </w:rPr>
              <w:t>(d) Exhibits.</w:t>
            </w:r>
          </w:p>
        </w:tc>
        <w:tc>
          <w:tcPr>
            <w:tcW w:w="10380" w:type="dxa"/>
            <w:vAlign w:val="bottom"/>
          </w:tcPr>
          <w:p>
            <w:pPr>
              <w:spacing w:after="0"/>
              <w:rPr>
                <w:sz w:val="13"/>
                <w:szCs w:val="13"/>
                <w:color w:val="auto"/>
              </w:rPr>
            </w:pPr>
          </w:p>
        </w:tc>
      </w:tr>
      <w:tr>
        <w:trPr>
          <w:trHeight w:val="288"/>
        </w:trPr>
        <w:tc>
          <w:tcPr>
            <w:tcW w:w="920" w:type="dxa"/>
            <w:vAlign w:val="bottom"/>
          </w:tcPr>
          <w:p>
            <w:pPr>
              <w:spacing w:after="0"/>
              <w:rPr>
                <w:sz w:val="20"/>
                <w:szCs w:val="20"/>
                <w:color w:val="auto"/>
              </w:rPr>
            </w:pPr>
            <w:r>
              <w:rPr>
                <w:rFonts w:ascii="Arial" w:cs="Arial" w:eastAsia="Arial" w:hAnsi="Arial"/>
                <w:sz w:val="12"/>
                <w:szCs w:val="12"/>
                <w:b w:val="1"/>
                <w:bCs w:val="1"/>
                <w:color w:val="auto"/>
              </w:rPr>
              <w:t>Exhibit No.</w:t>
            </w:r>
          </w:p>
        </w:tc>
        <w:tc>
          <w:tcPr>
            <w:tcW w:w="10380" w:type="dxa"/>
            <w:vAlign w:val="bottom"/>
          </w:tcPr>
          <w:p>
            <w:pPr>
              <w:ind w:left="320"/>
              <w:spacing w:after="0"/>
              <w:rPr>
                <w:sz w:val="20"/>
                <w:szCs w:val="20"/>
                <w:color w:val="auto"/>
              </w:rPr>
            </w:pPr>
            <w:r>
              <w:rPr>
                <w:rFonts w:ascii="Arial" w:cs="Arial" w:eastAsia="Arial" w:hAnsi="Arial"/>
                <w:sz w:val="12"/>
                <w:szCs w:val="12"/>
                <w:b w:val="1"/>
                <w:bCs w:val="1"/>
                <w:color w:val="auto"/>
              </w:rPr>
              <w:t>Description of Exhibit</w:t>
            </w:r>
          </w:p>
        </w:tc>
      </w:tr>
      <w:tr>
        <w:trPr>
          <w:trHeight w:val="279"/>
        </w:trPr>
        <w:tc>
          <w:tcPr>
            <w:tcW w:w="920" w:type="dxa"/>
            <w:vAlign w:val="bottom"/>
          </w:tcPr>
          <w:p>
            <w:pPr>
              <w:spacing w:after="0"/>
              <w:rPr>
                <w:sz w:val="20"/>
                <w:szCs w:val="20"/>
                <w:color w:val="auto"/>
              </w:rPr>
            </w:pPr>
            <w:r>
              <w:rPr>
                <w:rFonts w:ascii="Arial" w:cs="Arial" w:eastAsia="Arial" w:hAnsi="Arial"/>
                <w:sz w:val="12"/>
                <w:szCs w:val="12"/>
                <w:color w:val="auto"/>
              </w:rPr>
              <w:t>99.1</w:t>
            </w:r>
          </w:p>
        </w:tc>
        <w:tc>
          <w:tcPr>
            <w:tcW w:w="10380" w:type="dxa"/>
            <w:vAlign w:val="bottom"/>
          </w:tcPr>
          <w:p>
            <w:pPr>
              <w:ind w:left="32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Press Release dated March 1, 2021</w:t>
              </w:r>
            </w:hyperlink>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99.2</w:t>
            </w:r>
          </w:p>
        </w:tc>
        <w:tc>
          <w:tcPr>
            <w:tcW w:w="10380" w:type="dxa"/>
            <w:vAlign w:val="bottom"/>
          </w:tcPr>
          <w:p>
            <w:pPr>
              <w:ind w:left="320"/>
              <w:spacing w:after="0"/>
              <w:rPr>
                <w:rFonts w:ascii="Arial" w:cs="Arial" w:eastAsia="Arial" w:hAnsi="Arial"/>
                <w:sz w:val="12"/>
                <w:szCs w:val="12"/>
                <w:u w:val="single" w:color="auto"/>
                <w:color w:val="0000EE"/>
              </w:rPr>
            </w:pPr>
            <w:hyperlink w:anchor="page11">
              <w:r>
                <w:rPr>
                  <w:rFonts w:ascii="Arial" w:cs="Arial" w:eastAsia="Arial" w:hAnsi="Arial"/>
                  <w:sz w:val="12"/>
                  <w:szCs w:val="12"/>
                  <w:u w:val="single" w:color="auto"/>
                  <w:color w:val="0000EE"/>
                </w:rPr>
                <w:t>Presentation, dated March 2021</w:t>
              </w:r>
            </w:hyperlink>
          </w:p>
        </w:tc>
      </w:t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104</w:t>
            </w:r>
          </w:p>
        </w:tc>
        <w:tc>
          <w:tcPr>
            <w:tcW w:w="10380" w:type="dxa"/>
            <w:vAlign w:val="bottom"/>
          </w:tcPr>
          <w:p>
            <w:pPr>
              <w:ind w:left="320"/>
              <w:spacing w:after="0"/>
              <w:rPr>
                <w:sz w:val="20"/>
                <w:szCs w:val="20"/>
                <w:color w:val="auto"/>
              </w:rPr>
            </w:pPr>
            <w:r>
              <w:rPr>
                <w:rFonts w:ascii="Arial" w:cs="Arial" w:eastAsia="Arial" w:hAnsi="Arial"/>
                <w:sz w:val="12"/>
                <w:szCs w:val="12"/>
                <w:color w:val="auto"/>
              </w:rPr>
              <w:t>Cover Page to this Current Report on Form 8-K in Inline XBRL</w:t>
            </w:r>
          </w:p>
        </w:tc>
      </w:tr>
      <w:tr>
        <w:trPr>
          <w:trHeight w:val="378"/>
        </w:trPr>
        <w:tc>
          <w:tcPr>
            <w:tcW w:w="9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1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Arcturus Therapeutics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Date: March 1, 2021</w:t>
      </w:r>
    </w:p>
    <w:p>
      <w:pPr>
        <w:spacing w:after="0" w:line="141"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Joseph E. Payne</w:t>
            </w:r>
          </w:p>
        </w:tc>
      </w:tr>
      <w:tr>
        <w:trPr>
          <w:trHeight w:val="124"/>
        </w:trPr>
        <w:tc>
          <w:tcPr>
            <w:tcW w:w="660" w:type="dxa"/>
            <w:vAlign w:val="bottom"/>
          </w:tcPr>
          <w:p>
            <w:pPr>
              <w:spacing w:after="0" w:line="124" w:lineRule="exact"/>
              <w:rPr>
                <w:sz w:val="20"/>
                <w:szCs w:val="20"/>
                <w:color w:val="auto"/>
              </w:rPr>
            </w:pPr>
            <w:r>
              <w:rPr>
                <w:rFonts w:ascii="Arial" w:cs="Arial" w:eastAsia="Arial" w:hAnsi="Arial"/>
                <w:sz w:val="12"/>
                <w:szCs w:val="12"/>
                <w:color w:val="auto"/>
              </w:rPr>
              <w:t>Name:</w:t>
            </w:r>
          </w:p>
        </w:tc>
        <w:tc>
          <w:tcPr>
            <w:tcW w:w="4980" w:type="dxa"/>
            <w:vAlign w:val="bottom"/>
          </w:tcPr>
          <w:p>
            <w:pPr>
              <w:spacing w:after="0" w:line="124" w:lineRule="exact"/>
              <w:rPr>
                <w:sz w:val="20"/>
                <w:szCs w:val="20"/>
                <w:color w:val="auto"/>
              </w:rPr>
            </w:pPr>
            <w:r>
              <w:rPr>
                <w:rFonts w:ascii="Arial" w:cs="Arial" w:eastAsia="Arial" w:hAnsi="Arial"/>
                <w:sz w:val="12"/>
                <w:szCs w:val="12"/>
                <w:color w:val="auto"/>
              </w:rPr>
              <w:t>Joseph E. Payne</w:t>
            </w:r>
          </w:p>
        </w:tc>
      </w:tr>
      <w:tr>
        <w:trPr>
          <w:trHeight w:val="153"/>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498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300"/>
          </w:cols>
          <w:pgMar w:left="300" w:top="514"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b w:val="1"/>
          <w:bCs w:val="1"/>
          <w:color w:val="auto"/>
        </w:rPr>
        <w:t>Arcturus Therapeutics Announces Fourth Quarter and Full Year 2020 Financial Results and Positive Clinical Updates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ARCT-021 single-shot COVID-19 STARR™ mRNA vaccine to be advanced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Phase 3 clinical development – on track to initiate Phase 3 study in Q2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ARCT-021 single shot immunogenicity profile compares favorably with new data generated from recipients of a single dose of an approved conventional mRNA vaccine</w:t>
      </w:r>
    </w:p>
    <w:p>
      <w:pPr>
        <w:spacing w:after="0" w:line="150" w:lineRule="exact"/>
        <w:rPr>
          <w:sz w:val="20"/>
          <w:szCs w:val="20"/>
          <w:color w:val="auto"/>
        </w:rPr>
      </w:pPr>
    </w:p>
    <w:p>
      <w:pPr>
        <w:ind w:left="3460"/>
        <w:spacing w:after="0"/>
        <w:rPr>
          <w:sz w:val="20"/>
          <w:szCs w:val="20"/>
          <w:color w:val="auto"/>
        </w:rPr>
      </w:pPr>
      <w:r>
        <w:rPr>
          <w:rFonts w:ascii="Arial" w:cs="Arial" w:eastAsia="Arial" w:hAnsi="Arial"/>
          <w:sz w:val="12"/>
          <w:szCs w:val="12"/>
          <w:i w:val="1"/>
          <w:iCs w:val="1"/>
          <w:color w:val="auto"/>
        </w:rPr>
        <w:t>ARCT-810 mRNA therapeutic for ornithine transcarbamylase deficiency to be advanced to</w:t>
      </w:r>
    </w:p>
    <w:p>
      <w:pPr>
        <w:spacing w:after="0" w:line="15" w:lineRule="exact"/>
        <w:rPr>
          <w:sz w:val="20"/>
          <w:szCs w:val="20"/>
          <w:color w:val="auto"/>
        </w:rPr>
      </w:pPr>
    </w:p>
    <w:p>
      <w:pPr>
        <w:ind w:left="3480"/>
        <w:spacing w:after="0"/>
        <w:rPr>
          <w:sz w:val="20"/>
          <w:szCs w:val="20"/>
          <w:color w:val="auto"/>
        </w:rPr>
      </w:pPr>
      <w:r>
        <w:rPr>
          <w:rFonts w:ascii="Arial" w:cs="Arial" w:eastAsia="Arial" w:hAnsi="Arial"/>
          <w:sz w:val="12"/>
          <w:szCs w:val="12"/>
          <w:i w:val="1"/>
          <w:iCs w:val="1"/>
          <w:color w:val="auto"/>
        </w:rPr>
        <w:t>Phase 2 clinical development – on track to file CTA for Phase 2 multiple dose study in Q2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ARCT-032 mRNA therapeutic for cystic fibrosis: completed successful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pre-IND interaction with FDA – on track to file CTA in Q4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Investor conference call at 4:30 p.m. ET today</w:t>
      </w:r>
    </w:p>
    <w:p>
      <w:pPr>
        <w:spacing w:after="0" w:line="146" w:lineRule="exact"/>
        <w:rPr>
          <w:sz w:val="20"/>
          <w:szCs w:val="20"/>
          <w:color w:val="auto"/>
        </w:rPr>
      </w:pPr>
    </w:p>
    <w:p>
      <w:pPr>
        <w:jc w:val="both"/>
        <w:spacing w:after="0" w:line="330" w:lineRule="auto"/>
        <w:rPr>
          <w:sz w:val="20"/>
          <w:szCs w:val="20"/>
          <w:color w:val="auto"/>
        </w:rPr>
      </w:pPr>
      <w:r>
        <w:rPr>
          <w:rFonts w:ascii="Arial" w:cs="Arial" w:eastAsia="Arial" w:hAnsi="Arial"/>
          <w:sz w:val="11"/>
          <w:szCs w:val="11"/>
          <w:b w:val="1"/>
          <w:bCs w:val="1"/>
          <w:color w:val="auto"/>
        </w:rPr>
        <w:t xml:space="preserve">San Diego, Calif, March 1, 2021 </w:t>
      </w:r>
      <w:r>
        <w:rPr>
          <w:rFonts w:ascii="Arial" w:cs="Arial" w:eastAsia="Arial" w:hAnsi="Arial"/>
          <w:sz w:val="11"/>
          <w:szCs w:val="11"/>
          <w:color w:val="auto"/>
        </w:rPr>
        <w:t>– Arcturus Therapeutics Holdings Inc. (the “Company”, “Arcturus”, Nasdaq: ARCT), a leading clinical-stage messenger RNA medicines company focused on the development of infectious disease</w:t>
      </w:r>
      <w:r>
        <w:rPr>
          <w:rFonts w:ascii="Arial" w:cs="Arial" w:eastAsia="Arial" w:hAnsi="Arial"/>
          <w:sz w:val="11"/>
          <w:szCs w:val="11"/>
          <w:b w:val="1"/>
          <w:bCs w:val="1"/>
          <w:color w:val="auto"/>
        </w:rPr>
        <w:t xml:space="preserve"> </w:t>
      </w:r>
      <w:r>
        <w:rPr>
          <w:rFonts w:ascii="Arial" w:cs="Arial" w:eastAsia="Arial" w:hAnsi="Arial"/>
          <w:sz w:val="11"/>
          <w:szCs w:val="11"/>
          <w:color w:val="auto"/>
        </w:rPr>
        <w:t>vaccines and significant opportunities within liver and respiratory rare diseases, today announced its financial results for the quarter and full year ended December 31, 2020 and provided a corporate update.</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“Based on highly promising clinical data from our Phase 1/2 study and emerging mRNA vaccine immunological data, we are advancing ARCT-021 for further development in Phase 3. We are presently preparing to move forward a 5 µg single dose regimen, to be confirmed based on pending Phase 2 data. Our self-amplifying mRNA-based investigational vaccine may provide a differentiated clinical profile and characteristics that support widespread distribution across the globe. Our expectation is that successful protection from COVID-19 will require repeated vaccination of billions of individuals for years to come and that ARCT-021 will be re-dosable. We believe that a re-dosable, more easily distributable single shot mRNA vaccine would be a valuable option for many countries,” said Joseph Payne, President and CEO of Arcturus.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advancing our vaccine franchise, we have made continued progress advancing our pipeline of promising liver and lung mRNA therapeutic candidates. After successfully beginning enrollment in the U.S. for our Phase 1b study for ARCT-810, a therapeutic candidate for Ornithine Transcarbamylase (OTC) Deficiency, we have now also received approval from Health Canada to enroll subjects. We look forward to obtaining clinical data this year,” concluded Mr.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b w:val="1"/>
          <w:bCs w:val="1"/>
          <w:u w:val="single" w:color="auto"/>
          <w:color w:val="auto"/>
        </w:rPr>
        <w:t>Recent Corporate Highlights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ARCT-021, Vaccine Candidate for SARS-CoV-2</w:t>
      </w:r>
    </w:p>
    <w:p>
      <w:pPr>
        <w:spacing w:after="0" w:line="150"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222222"/>
        </w:rPr>
      </w:pPr>
      <w:r>
        <w:rPr>
          <w:rFonts w:ascii="Arial" w:cs="Arial" w:eastAsia="Arial" w:hAnsi="Arial"/>
          <w:sz w:val="12"/>
          <w:szCs w:val="12"/>
          <w:b w:val="1"/>
          <w:bCs w:val="1"/>
          <w:color w:val="222222"/>
        </w:rPr>
        <w:t>Ongoing Phase 2 clinical study and planning for Phase 3 development:</w:t>
      </w:r>
    </w:p>
    <w:p>
      <w:pPr>
        <w:spacing w:after="0" w:line="18" w:lineRule="exact"/>
        <w:rPr>
          <w:rFonts w:ascii="Arial" w:cs="Arial" w:eastAsia="Arial" w:hAnsi="Arial"/>
          <w:sz w:val="12"/>
          <w:szCs w:val="12"/>
          <w:b w:val="1"/>
          <w:bCs w:val="1"/>
          <w:color w:val="222222"/>
        </w:rPr>
      </w:pPr>
    </w:p>
    <w:p>
      <w:pPr>
        <w:ind w:left="640" w:hanging="16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More than 500 participants dosed across USA and Singapore</w:t>
      </w:r>
    </w:p>
    <w:p>
      <w:pPr>
        <w:spacing w:after="0" w:line="6" w:lineRule="exact"/>
        <w:rPr>
          <w:rFonts w:ascii="Arial" w:cs="Arial" w:eastAsia="Arial" w:hAnsi="Arial"/>
          <w:sz w:val="12"/>
          <w:szCs w:val="12"/>
          <w:color w:val="auto"/>
        </w:rPr>
      </w:pPr>
    </w:p>
    <w:p>
      <w:pPr>
        <w:ind w:left="640" w:hanging="162"/>
        <w:spacing w:after="0"/>
        <w:tabs>
          <w:tab w:leader="none" w:pos="640" w:val="left"/>
        </w:tabs>
        <w:numPr>
          <w:ilvl w:val="1"/>
          <w:numId w:val="2"/>
        </w:numPr>
        <w:rPr>
          <w:rFonts w:ascii="Arial" w:cs="Arial" w:eastAsia="Arial" w:hAnsi="Arial"/>
          <w:sz w:val="12"/>
          <w:szCs w:val="12"/>
          <w:color w:val="auto"/>
        </w:rPr>
      </w:pPr>
      <w:r>
        <w:rPr>
          <w:rFonts w:ascii="Arial" w:cs="Arial" w:eastAsia="Arial" w:hAnsi="Arial"/>
          <w:sz w:val="12"/>
          <w:szCs w:val="12"/>
          <w:color w:val="auto"/>
        </w:rPr>
        <w:t>Phase 3 study initiation remains on track for Q2</w:t>
      </w:r>
    </w:p>
    <w:p>
      <w:pPr>
        <w:spacing w:after="0" w:line="6" w:lineRule="exact"/>
        <w:rPr>
          <w:rFonts w:ascii="Arial" w:cs="Arial" w:eastAsia="Arial" w:hAnsi="Arial"/>
          <w:sz w:val="12"/>
          <w:szCs w:val="12"/>
          <w:color w:val="auto"/>
        </w:rPr>
      </w:pPr>
    </w:p>
    <w:p>
      <w:pPr>
        <w:ind w:left="640" w:hanging="162"/>
        <w:spacing w:after="0"/>
        <w:tabs>
          <w:tab w:leader="none" w:pos="640" w:val="left"/>
        </w:tabs>
        <w:numPr>
          <w:ilvl w:val="1"/>
          <w:numId w:val="2"/>
        </w:numPr>
        <w:rPr>
          <w:rFonts w:ascii="Arial" w:cs="Arial" w:eastAsia="Arial" w:hAnsi="Arial"/>
          <w:sz w:val="12"/>
          <w:szCs w:val="12"/>
          <w:color w:val="222222"/>
        </w:rPr>
      </w:pPr>
      <w:r>
        <w:rPr>
          <w:rFonts w:ascii="Arial" w:cs="Arial" w:eastAsia="Arial" w:hAnsi="Arial"/>
          <w:sz w:val="12"/>
          <w:szCs w:val="12"/>
          <w:color w:val="222222"/>
        </w:rPr>
        <w:t>Targeting application for Emergency Use Authorization in one or more jurisdictions in H2 2021</w:t>
      </w:r>
    </w:p>
    <w:p>
      <w:pPr>
        <w:spacing w:after="0" w:line="6" w:lineRule="exact"/>
        <w:rPr>
          <w:rFonts w:ascii="Arial" w:cs="Arial" w:eastAsia="Arial" w:hAnsi="Arial"/>
          <w:sz w:val="12"/>
          <w:szCs w:val="12"/>
          <w:color w:val="222222"/>
        </w:rPr>
      </w:pPr>
    </w:p>
    <w:p>
      <w:pPr>
        <w:ind w:left="420" w:hanging="212"/>
        <w:spacing w:after="0"/>
        <w:tabs>
          <w:tab w:leader="none" w:pos="420" w:val="left"/>
        </w:tabs>
        <w:numPr>
          <w:ilvl w:val="0"/>
          <w:numId w:val="2"/>
        </w:numPr>
        <w:rPr>
          <w:rFonts w:ascii="Arial" w:cs="Arial" w:eastAsia="Arial" w:hAnsi="Arial"/>
          <w:sz w:val="12"/>
          <w:szCs w:val="12"/>
          <w:b w:val="1"/>
          <w:bCs w:val="1"/>
          <w:color w:val="222222"/>
        </w:rPr>
      </w:pPr>
      <w:r>
        <w:rPr>
          <w:rFonts w:ascii="Arial" w:cs="Arial" w:eastAsia="Arial" w:hAnsi="Arial"/>
          <w:sz w:val="12"/>
          <w:szCs w:val="12"/>
          <w:b w:val="1"/>
          <w:bCs w:val="1"/>
          <w:color w:val="222222"/>
        </w:rPr>
        <w:t>Encouraging new supportive data from Duke-NUS Medical School submitted for publication:</w:t>
      </w:r>
    </w:p>
    <w:p>
      <w:pPr>
        <w:spacing w:after="0" w:line="6" w:lineRule="exact"/>
        <w:rPr>
          <w:rFonts w:ascii="Arial" w:cs="Arial" w:eastAsia="Arial" w:hAnsi="Arial"/>
          <w:sz w:val="12"/>
          <w:szCs w:val="12"/>
          <w:b w:val="1"/>
          <w:bCs w:val="1"/>
          <w:color w:val="222222"/>
        </w:rPr>
      </w:pPr>
    </w:p>
    <w:p>
      <w:pPr>
        <w:ind w:left="640" w:right="360" w:hanging="162"/>
        <w:spacing w:after="0" w:line="250" w:lineRule="auto"/>
        <w:tabs>
          <w:tab w:leader="none" w:pos="640" w:val="left"/>
        </w:tabs>
        <w:numPr>
          <w:ilvl w:val="1"/>
          <w:numId w:val="2"/>
        </w:numPr>
        <w:rPr>
          <w:rFonts w:ascii="Arial" w:cs="Arial" w:eastAsia="Arial" w:hAnsi="Arial"/>
          <w:sz w:val="12"/>
          <w:szCs w:val="12"/>
          <w:color w:val="222222"/>
        </w:rPr>
      </w:pPr>
      <w:r>
        <w:rPr>
          <w:rFonts w:ascii="Arial" w:cs="Arial" w:eastAsia="Arial" w:hAnsi="Arial"/>
          <w:sz w:val="12"/>
          <w:szCs w:val="12"/>
          <w:color w:val="222222"/>
        </w:rPr>
        <w:t>Dr. Eng Eong Ooi, Professor of Emerging Infectious Diseases at Duke-NUS Medical School, and colleagues, examined the adaptive immune responses of an approved conventional mRNA vaccine after a single administration</w:t>
      </w:r>
    </w:p>
    <w:p>
      <w:pPr>
        <w:ind w:left="640" w:hanging="162"/>
        <w:spacing w:after="0"/>
        <w:tabs>
          <w:tab w:leader="none" w:pos="640" w:val="left"/>
        </w:tabs>
        <w:numPr>
          <w:ilvl w:val="1"/>
          <w:numId w:val="2"/>
        </w:numPr>
        <w:rPr>
          <w:rFonts w:ascii="Arial" w:cs="Arial" w:eastAsia="Arial" w:hAnsi="Arial"/>
          <w:sz w:val="12"/>
          <w:szCs w:val="12"/>
          <w:color w:val="222222"/>
        </w:rPr>
      </w:pPr>
      <w:r>
        <w:rPr>
          <w:rFonts w:ascii="Arial" w:cs="Arial" w:eastAsia="Arial" w:hAnsi="Arial"/>
          <w:sz w:val="12"/>
          <w:szCs w:val="12"/>
          <w:color w:val="222222"/>
        </w:rPr>
        <w:t>Data suggest that binding antibodies and cellular immunity are associated with COVID-19 protection at early timepoints after the first injection</w:t>
      </w:r>
    </w:p>
    <w:p>
      <w:pPr>
        <w:spacing w:after="0" w:line="6" w:lineRule="exact"/>
        <w:rPr>
          <w:rFonts w:ascii="Arial" w:cs="Arial" w:eastAsia="Arial" w:hAnsi="Arial"/>
          <w:sz w:val="12"/>
          <w:szCs w:val="12"/>
          <w:color w:val="222222"/>
        </w:rPr>
      </w:pPr>
    </w:p>
    <w:p>
      <w:pPr>
        <w:ind w:left="640" w:hanging="162"/>
        <w:spacing w:after="0"/>
        <w:tabs>
          <w:tab w:leader="none" w:pos="640" w:val="left"/>
        </w:tabs>
        <w:numPr>
          <w:ilvl w:val="1"/>
          <w:numId w:val="2"/>
        </w:numPr>
        <w:rPr>
          <w:rFonts w:ascii="Arial" w:cs="Arial" w:eastAsia="Arial" w:hAnsi="Arial"/>
          <w:sz w:val="12"/>
          <w:szCs w:val="12"/>
          <w:color w:val="222222"/>
        </w:rPr>
      </w:pPr>
      <w:r>
        <w:rPr>
          <w:rFonts w:ascii="Arial" w:cs="Arial" w:eastAsia="Arial" w:hAnsi="Arial"/>
          <w:sz w:val="12"/>
          <w:szCs w:val="12"/>
          <w:color w:val="222222"/>
        </w:rPr>
        <w:t>ARCT-021 single shot immunogenicity profile in Phase 1/2 study compares favorably, providing additional support for the potential efficacy of the ARCT-021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95250</wp:posOffset>
            </wp:positionV>
            <wp:extent cx="2491740" cy="1102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1740" cy="110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b w:val="1"/>
          <w:bCs w:val="1"/>
          <w:color w:val="222222"/>
        </w:rPr>
      </w:pPr>
      <w:r>
        <w:rPr>
          <w:rFonts w:ascii="Arial" w:cs="Arial" w:eastAsia="Arial" w:hAnsi="Arial"/>
          <w:sz w:val="12"/>
          <w:szCs w:val="12"/>
          <w:b w:val="1"/>
          <w:bCs w:val="1"/>
          <w:color w:val="222222"/>
        </w:rPr>
        <w:t>Completed Phase 1/2 clinical study and supporting preclinical studies:</w:t>
      </w:r>
    </w:p>
    <w:p>
      <w:pPr>
        <w:spacing w:after="0" w:line="18" w:lineRule="exact"/>
        <w:rPr>
          <w:rFonts w:ascii="Arial" w:cs="Arial" w:eastAsia="Arial" w:hAnsi="Arial"/>
          <w:sz w:val="12"/>
          <w:szCs w:val="12"/>
          <w:b w:val="1"/>
          <w:bCs w:val="1"/>
          <w:color w:val="222222"/>
        </w:rPr>
      </w:pPr>
    </w:p>
    <w:p>
      <w:pPr>
        <w:ind w:left="640" w:hanging="162"/>
        <w:spacing w:after="0"/>
        <w:tabs>
          <w:tab w:leader="none" w:pos="640" w:val="left"/>
        </w:tabs>
        <w:numPr>
          <w:ilvl w:val="2"/>
          <w:numId w:val="3"/>
        </w:numPr>
        <w:rPr>
          <w:rFonts w:ascii="Arial" w:cs="Arial" w:eastAsia="Arial" w:hAnsi="Arial"/>
          <w:sz w:val="12"/>
          <w:szCs w:val="12"/>
          <w:color w:val="222222"/>
        </w:rPr>
      </w:pPr>
      <w:r>
        <w:rPr>
          <w:rFonts w:ascii="Arial" w:cs="Arial" w:eastAsia="Arial" w:hAnsi="Arial"/>
          <w:sz w:val="12"/>
          <w:szCs w:val="12"/>
          <w:color w:val="222222"/>
        </w:rPr>
        <w:t>Phase 1/2 study is complete and final data are under analysis; plan to submit results for publication in Q2</w:t>
      </w:r>
    </w:p>
    <w:p>
      <w:pPr>
        <w:spacing w:after="0" w:line="6" w:lineRule="exact"/>
        <w:rPr>
          <w:rFonts w:ascii="Arial" w:cs="Arial" w:eastAsia="Arial" w:hAnsi="Arial"/>
          <w:sz w:val="12"/>
          <w:szCs w:val="12"/>
          <w:color w:val="222222"/>
        </w:rPr>
      </w:pPr>
    </w:p>
    <w:p>
      <w:pPr>
        <w:ind w:left="640" w:hanging="162"/>
        <w:spacing w:after="0"/>
        <w:tabs>
          <w:tab w:leader="none" w:pos="640" w:val="left"/>
        </w:tabs>
        <w:numPr>
          <w:ilvl w:val="2"/>
          <w:numId w:val="3"/>
        </w:numPr>
        <w:rPr>
          <w:rFonts w:ascii="Arial" w:cs="Arial" w:eastAsia="Arial" w:hAnsi="Arial"/>
          <w:sz w:val="12"/>
          <w:szCs w:val="12"/>
          <w:color w:val="222222"/>
        </w:rPr>
      </w:pPr>
      <w:r>
        <w:rPr>
          <w:rFonts w:ascii="Arial" w:cs="Arial" w:eastAsia="Arial" w:hAnsi="Arial"/>
          <w:sz w:val="12"/>
          <w:szCs w:val="12"/>
          <w:color w:val="222222"/>
        </w:rPr>
        <w:t>ARCT-021 demonstrated robust protection with single dose in a primate challenge model and in a human ACE2 receptor transgenic mouse challenge model</w:t>
      </w:r>
    </w:p>
    <w:p>
      <w:pPr>
        <w:spacing w:after="0" w:line="6" w:lineRule="exact"/>
        <w:rPr>
          <w:rFonts w:ascii="Arial" w:cs="Arial" w:eastAsia="Arial" w:hAnsi="Arial"/>
          <w:sz w:val="12"/>
          <w:szCs w:val="12"/>
          <w:color w:val="222222"/>
        </w:rPr>
      </w:pPr>
    </w:p>
    <w:p>
      <w:pPr>
        <w:ind w:left="640" w:hanging="162"/>
        <w:spacing w:after="0" w:line="250" w:lineRule="auto"/>
        <w:tabs>
          <w:tab w:leader="none" w:pos="640" w:val="left"/>
        </w:tabs>
        <w:numPr>
          <w:ilvl w:val="2"/>
          <w:numId w:val="3"/>
        </w:numPr>
        <w:rPr>
          <w:rFonts w:ascii="Arial" w:cs="Arial" w:eastAsia="Arial" w:hAnsi="Arial"/>
          <w:sz w:val="12"/>
          <w:szCs w:val="12"/>
          <w:color w:val="222222"/>
        </w:rPr>
      </w:pPr>
      <w:r>
        <w:rPr>
          <w:rFonts w:ascii="Arial" w:cs="Arial" w:eastAsia="Arial" w:hAnsi="Arial"/>
          <w:sz w:val="12"/>
          <w:szCs w:val="12"/>
          <w:color w:val="222222"/>
        </w:rPr>
        <w:t>ARCT-021 demonstrated robust protection with a single dose in mice depleted of B cells, whereas depletion of T lymphocytes yielded no protection following virus challenge, emphasizing the importance of ARCT-021 induced cellular immunity</w:t>
      </w:r>
    </w:p>
    <w:p>
      <w:pPr>
        <w:ind w:left="420" w:hanging="212"/>
        <w:spacing w:after="0"/>
        <w:tabs>
          <w:tab w:leader="none" w:pos="420" w:val="left"/>
        </w:tabs>
        <w:numPr>
          <w:ilvl w:val="0"/>
          <w:numId w:val="3"/>
        </w:numPr>
        <w:rPr>
          <w:rFonts w:ascii="Arial" w:cs="Arial" w:eastAsia="Arial" w:hAnsi="Arial"/>
          <w:sz w:val="12"/>
          <w:szCs w:val="12"/>
          <w:b w:val="1"/>
          <w:bCs w:val="1"/>
          <w:color w:val="222222"/>
        </w:rPr>
      </w:pPr>
      <w:r>
        <w:rPr>
          <w:rFonts w:ascii="Arial" w:cs="Arial" w:eastAsia="Arial" w:hAnsi="Arial"/>
          <w:sz w:val="12"/>
          <w:szCs w:val="12"/>
          <w:b w:val="1"/>
          <w:bCs w:val="1"/>
          <w:color w:val="222222"/>
        </w:rPr>
        <w:t>Manufacturing</w:t>
      </w:r>
      <w:r>
        <w:rPr>
          <w:rFonts w:ascii="Arial" w:cs="Arial" w:eastAsia="Arial" w:hAnsi="Arial"/>
          <w:sz w:val="12"/>
          <w:szCs w:val="12"/>
          <w:color w:val="222222"/>
        </w:rPr>
        <w:t>:</w:t>
      </w:r>
    </w:p>
    <w:p>
      <w:pPr>
        <w:spacing w:after="0" w:line="6" w:lineRule="exact"/>
        <w:rPr>
          <w:rFonts w:ascii="Arial" w:cs="Arial" w:eastAsia="Arial" w:hAnsi="Arial"/>
          <w:sz w:val="12"/>
          <w:szCs w:val="12"/>
          <w:b w:val="1"/>
          <w:bCs w:val="1"/>
          <w:color w:val="222222"/>
        </w:rPr>
      </w:pPr>
    </w:p>
    <w:p>
      <w:pPr>
        <w:ind w:left="640" w:hanging="162"/>
        <w:spacing w:after="0"/>
        <w:tabs>
          <w:tab w:leader="none" w:pos="640" w:val="left"/>
        </w:tabs>
        <w:numPr>
          <w:ilvl w:val="2"/>
          <w:numId w:val="3"/>
        </w:numPr>
        <w:rPr>
          <w:rFonts w:ascii="Arial" w:cs="Arial" w:eastAsia="Arial" w:hAnsi="Arial"/>
          <w:sz w:val="12"/>
          <w:szCs w:val="12"/>
          <w:color w:val="222222"/>
        </w:rPr>
      </w:pPr>
      <w:r>
        <w:rPr>
          <w:rFonts w:ascii="Arial" w:cs="Arial" w:eastAsia="Arial" w:hAnsi="Arial"/>
          <w:sz w:val="12"/>
          <w:szCs w:val="12"/>
          <w:color w:val="222222"/>
        </w:rPr>
        <w:t>Recently received $46.6M from Singapore EDB to support ARCT-021 stockpiling</w:t>
      </w:r>
    </w:p>
    <w:p>
      <w:pPr>
        <w:spacing w:after="0" w:line="6" w:lineRule="exact"/>
        <w:rPr>
          <w:rFonts w:ascii="Arial" w:cs="Arial" w:eastAsia="Arial" w:hAnsi="Arial"/>
          <w:sz w:val="12"/>
          <w:szCs w:val="12"/>
          <w:color w:val="222222"/>
        </w:rPr>
      </w:pPr>
    </w:p>
    <w:p>
      <w:pPr>
        <w:ind w:left="640" w:hanging="162"/>
        <w:spacing w:after="0"/>
        <w:tabs>
          <w:tab w:leader="none" w:pos="640" w:val="left"/>
        </w:tabs>
        <w:numPr>
          <w:ilvl w:val="2"/>
          <w:numId w:val="3"/>
        </w:numPr>
        <w:rPr>
          <w:rFonts w:ascii="Arial" w:cs="Arial" w:eastAsia="Arial" w:hAnsi="Arial"/>
          <w:sz w:val="12"/>
          <w:szCs w:val="12"/>
          <w:color w:val="222222"/>
        </w:rPr>
      </w:pPr>
      <w:r>
        <w:rPr>
          <w:rFonts w:ascii="Arial" w:cs="Arial" w:eastAsia="Arial" w:hAnsi="Arial"/>
          <w:sz w:val="12"/>
          <w:szCs w:val="12"/>
          <w:color w:val="222222"/>
        </w:rPr>
        <w:t>Manufacturing of lyophilized ARCT-021 to support Phase 3 and initial commercial supply well on track</w:t>
      </w:r>
    </w:p>
    <w:p>
      <w:pPr>
        <w:spacing w:after="0" w:line="6" w:lineRule="exact"/>
        <w:rPr>
          <w:rFonts w:ascii="Arial" w:cs="Arial" w:eastAsia="Arial" w:hAnsi="Arial"/>
          <w:sz w:val="12"/>
          <w:szCs w:val="12"/>
          <w:color w:val="222222"/>
        </w:rPr>
      </w:pPr>
    </w:p>
    <w:p>
      <w:pPr>
        <w:ind w:left="640" w:hanging="162"/>
        <w:spacing w:after="0"/>
        <w:tabs>
          <w:tab w:leader="none" w:pos="640" w:val="left"/>
        </w:tabs>
        <w:numPr>
          <w:ilvl w:val="2"/>
          <w:numId w:val="3"/>
        </w:numPr>
        <w:rPr>
          <w:rFonts w:ascii="Arial" w:cs="Arial" w:eastAsia="Arial" w:hAnsi="Arial"/>
          <w:sz w:val="12"/>
          <w:szCs w:val="12"/>
          <w:color w:val="222222"/>
        </w:rPr>
      </w:pPr>
      <w:r>
        <w:rPr>
          <w:rFonts w:ascii="Arial" w:cs="Arial" w:eastAsia="Arial" w:hAnsi="Arial"/>
          <w:sz w:val="12"/>
          <w:szCs w:val="12"/>
          <w:color w:val="222222"/>
        </w:rPr>
        <w:t>Stability studies for lyophilized ARCT-021 at -20°C, 2-8°C and room temperature storage conditions ongoing</w:t>
      </w:r>
    </w:p>
    <w:p>
      <w:pPr>
        <w:spacing w:after="0" w:line="6" w:lineRule="exact"/>
        <w:rPr>
          <w:rFonts w:ascii="Arial" w:cs="Arial" w:eastAsia="Arial" w:hAnsi="Arial"/>
          <w:sz w:val="12"/>
          <w:szCs w:val="12"/>
          <w:color w:val="222222"/>
        </w:rPr>
      </w:pPr>
    </w:p>
    <w:p>
      <w:pPr>
        <w:ind w:left="420" w:hanging="212"/>
        <w:spacing w:after="0"/>
        <w:tabs>
          <w:tab w:leader="none" w:pos="420" w:val="left"/>
        </w:tabs>
        <w:numPr>
          <w:ilvl w:val="0"/>
          <w:numId w:val="3"/>
        </w:numPr>
        <w:rPr>
          <w:rFonts w:ascii="Arial" w:cs="Arial" w:eastAsia="Arial" w:hAnsi="Arial"/>
          <w:sz w:val="12"/>
          <w:szCs w:val="12"/>
          <w:b w:val="1"/>
          <w:bCs w:val="1"/>
          <w:color w:val="222222"/>
        </w:rPr>
      </w:pPr>
      <w:r>
        <w:rPr>
          <w:rFonts w:ascii="Arial" w:cs="Arial" w:eastAsia="Arial" w:hAnsi="Arial"/>
          <w:sz w:val="12"/>
          <w:szCs w:val="12"/>
          <w:b w:val="1"/>
          <w:bCs w:val="1"/>
          <w:color w:val="222222"/>
        </w:rPr>
        <w:t>Agreements</w:t>
      </w:r>
      <w:r>
        <w:rPr>
          <w:rFonts w:ascii="Arial" w:cs="Arial" w:eastAsia="Arial" w:hAnsi="Arial"/>
          <w:sz w:val="12"/>
          <w:szCs w:val="12"/>
          <w:color w:val="222222"/>
        </w:rPr>
        <w:t>:</w:t>
      </w:r>
    </w:p>
    <w:p>
      <w:pPr>
        <w:spacing w:after="0" w:line="6" w:lineRule="exact"/>
        <w:rPr>
          <w:rFonts w:ascii="Arial" w:cs="Arial" w:eastAsia="Arial" w:hAnsi="Arial"/>
          <w:sz w:val="12"/>
          <w:szCs w:val="12"/>
          <w:b w:val="1"/>
          <w:bCs w:val="1"/>
          <w:color w:val="222222"/>
        </w:rPr>
      </w:pPr>
    </w:p>
    <w:p>
      <w:pPr>
        <w:ind w:left="640" w:hanging="216"/>
        <w:spacing w:after="0"/>
        <w:tabs>
          <w:tab w:leader="none" w:pos="640" w:val="left"/>
        </w:tabs>
        <w:numPr>
          <w:ilvl w:val="1"/>
          <w:numId w:val="3"/>
        </w:numPr>
        <w:rPr>
          <w:rFonts w:ascii="Arial" w:cs="Arial" w:eastAsia="Arial" w:hAnsi="Arial"/>
          <w:sz w:val="12"/>
          <w:szCs w:val="12"/>
          <w:color w:val="222222"/>
        </w:rPr>
      </w:pPr>
      <w:r>
        <w:rPr>
          <w:rFonts w:ascii="Arial" w:cs="Arial" w:eastAsia="Arial" w:hAnsi="Arial"/>
          <w:sz w:val="12"/>
          <w:szCs w:val="12"/>
          <w:color w:val="222222"/>
        </w:rPr>
        <w:t>Strategic, government, and country supply agreement discussions continue to progress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ARCT-810, Therapeutic Candidate for Ornithine Transcarbamylase (OTC) Deficiency</w:t>
      </w:r>
    </w:p>
    <w:p>
      <w:pPr>
        <w:spacing w:after="0" w:line="19" w:lineRule="exact"/>
        <w:rPr>
          <w:sz w:val="20"/>
          <w:szCs w:val="20"/>
          <w:color w:val="auto"/>
        </w:rPr>
      </w:pPr>
    </w:p>
    <w:p>
      <w:pPr>
        <w:ind w:left="580" w:hanging="156"/>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Received approval from Health Canada to enroll subjects into Phase 1b study</w:t>
      </w:r>
    </w:p>
    <w:p>
      <w:pPr>
        <w:spacing w:after="0" w:line="6" w:lineRule="exact"/>
        <w:rPr>
          <w:rFonts w:ascii="Arial" w:cs="Arial" w:eastAsia="Arial" w:hAnsi="Arial"/>
          <w:sz w:val="12"/>
          <w:szCs w:val="12"/>
          <w:color w:val="auto"/>
        </w:rPr>
      </w:pPr>
    </w:p>
    <w:p>
      <w:pPr>
        <w:ind w:left="580" w:hanging="156"/>
        <w:spacing w:after="0"/>
        <w:tabs>
          <w:tab w:leader="none" w:pos="5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CTA filing for Phase 2 multiple dose study on track for Q2</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ARCT-032, Therapeutic Candidate for Cystic Fibrosis</w:t>
      </w:r>
    </w:p>
    <w:p>
      <w:pPr>
        <w:spacing w:after="0" w:line="19" w:lineRule="exact"/>
        <w:rPr>
          <w:sz w:val="20"/>
          <w:szCs w:val="20"/>
          <w:color w:val="auto"/>
        </w:rPr>
      </w:pPr>
    </w:p>
    <w:p>
      <w:pPr>
        <w:ind w:left="580" w:hanging="156"/>
        <w:spacing w:after="0"/>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Completed successful pre-IND interaction with FDA</w:t>
      </w:r>
    </w:p>
    <w:p>
      <w:pPr>
        <w:spacing w:after="0" w:line="6" w:lineRule="exact"/>
        <w:rPr>
          <w:rFonts w:ascii="Arial" w:cs="Arial" w:eastAsia="Arial" w:hAnsi="Arial"/>
          <w:sz w:val="12"/>
          <w:szCs w:val="12"/>
          <w:color w:val="auto"/>
        </w:rPr>
      </w:pPr>
    </w:p>
    <w:p>
      <w:pPr>
        <w:ind w:left="580" w:hanging="156"/>
        <w:spacing w:after="0"/>
        <w:tabs>
          <w:tab w:leader="none" w:pos="580" w:val="left"/>
        </w:tabs>
        <w:numPr>
          <w:ilvl w:val="0"/>
          <w:numId w:val="5"/>
        </w:numPr>
        <w:rPr>
          <w:rFonts w:ascii="Arial" w:cs="Arial" w:eastAsia="Arial" w:hAnsi="Arial"/>
          <w:sz w:val="12"/>
          <w:szCs w:val="12"/>
          <w:color w:val="auto"/>
        </w:rPr>
      </w:pPr>
      <w:r>
        <w:rPr>
          <w:rFonts w:ascii="Arial" w:cs="Arial" w:eastAsia="Arial" w:hAnsi="Arial"/>
          <w:sz w:val="12"/>
          <w:szCs w:val="12"/>
          <w:color w:val="auto"/>
        </w:rPr>
        <w:t>CTA filing on track for Q4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243840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300" w:top="514" w:right="4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Acquisition of Exclusive License to mRNA Manufacturing Technology from Alexion Pharmaceuticals</w:t>
      </w:r>
    </w:p>
    <w:p>
      <w:pPr>
        <w:spacing w:after="0" w:line="19" w:lineRule="exact"/>
        <w:rPr>
          <w:sz w:val="20"/>
          <w:szCs w:val="20"/>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technology supports Arcturus’ highly efficient processes to manufacture high purity mRNA vaccine and therapeutic candidates at kilogram scale</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Extends the substantial intellectual property portfolio held by Arcturus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results for the quarter and full year ended December 31, 2020</w:t>
      </w:r>
    </w:p>
    <w:p>
      <w:pPr>
        <w:spacing w:after="0" w:line="154" w:lineRule="exact"/>
        <w:rPr>
          <w:sz w:val="20"/>
          <w:szCs w:val="20"/>
          <w:color w:val="auto"/>
        </w:rPr>
      </w:pPr>
    </w:p>
    <w:p>
      <w:pPr>
        <w:ind w:right="700"/>
        <w:spacing w:after="0" w:line="276" w:lineRule="auto"/>
        <w:rPr>
          <w:sz w:val="20"/>
          <w:szCs w:val="20"/>
          <w:color w:val="auto"/>
        </w:rPr>
      </w:pPr>
      <w:r>
        <w:rPr>
          <w:rFonts w:ascii="Arial" w:cs="Arial" w:eastAsia="Arial" w:hAnsi="Arial"/>
          <w:sz w:val="12"/>
          <w:szCs w:val="12"/>
          <w:b w:val="1"/>
          <w:bCs w:val="1"/>
          <w:i w:val="1"/>
          <w:iCs w:val="1"/>
          <w:color w:val="auto"/>
        </w:rPr>
        <w:t>Revenues in conjunction with strategic alliances and collaborations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Arcturus’ primary source of revenues is from license fees and collaboration payments received from research and development arrangements with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pharmaceutical and biotechnology partners.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On a quarterly basis, total revenue for the three months ended December 31, 2020 was $2.2 million and was relatively flat when compared to the $2.3 million of the quarter ended September 30, 2020.</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a yearly basis, reported revenues of $9.5 million during the year ended December 31, 2020, decreased from $20.8 million in the year ended December 31, 2019. The decline in collaboration revenues primarily relates to three factors: a $5.6 million decrease in reimbursements from CureVac associated with the OTC collaboration that ended in the third quarter of 2019, a decrease in one-time license revenue of $3.3 million from Synthetic Genomics that occurred in 2019, and lower activity with other collaboration partners.</w:t>
      </w:r>
    </w:p>
    <w:p>
      <w:pPr>
        <w:spacing w:after="0" w:line="122" w:lineRule="exact"/>
        <w:rPr>
          <w:sz w:val="20"/>
          <w:szCs w:val="20"/>
          <w:color w:val="auto"/>
        </w:rPr>
      </w:pPr>
    </w:p>
    <w:p>
      <w:pPr>
        <w:ind w:right="280"/>
        <w:spacing w:after="0" w:line="340" w:lineRule="auto"/>
        <w:rPr>
          <w:sz w:val="20"/>
          <w:szCs w:val="20"/>
          <w:color w:val="auto"/>
        </w:rPr>
      </w:pPr>
      <w:r>
        <w:rPr>
          <w:rFonts w:ascii="Arial" w:cs="Arial" w:eastAsia="Arial" w:hAnsi="Arial"/>
          <w:sz w:val="10"/>
          <w:szCs w:val="10"/>
          <w:b w:val="1"/>
          <w:bCs w:val="1"/>
          <w:i w:val="1"/>
          <w:iCs w:val="1"/>
          <w:color w:val="auto"/>
        </w:rPr>
        <w:t>Operating expenses</w:t>
      </w:r>
      <w:r>
        <w:rPr>
          <w:rFonts w:ascii="Arial" w:cs="Arial" w:eastAsia="Arial" w:hAnsi="Arial"/>
          <w:sz w:val="10"/>
          <w:szCs w:val="10"/>
          <w:i w:val="1"/>
          <w:iCs w:val="1"/>
          <w:color w:val="auto"/>
        </w:rPr>
        <w: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On a quarterly basis, total operating expenses for the three months ended December 31, 2020 were $33.3 million compared with $23.3 million for quarter ended September 30, 2020, and $13.8 million in same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period of 2019. Approximately $8 million of the sequential increase in operating expenses during the quarter ended December 31, 2020 was due to the ramp in the Covid-19 program related expenses, which included additional personnel, manufacturing and clinical trial expenses. The current quarter operating expenses were partially offset by $2.7 million in funds awarded under the Singapore vaccine grants and by the Cystic Fibrosis Foundation.</w:t>
      </w:r>
    </w:p>
    <w:p>
      <w:pPr>
        <w:spacing w:after="0" w:line="87"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On a yearly basis, total operating expenses were $81.1 million for the year-ended December 31, 2020 compared with $46.3 million for the year ended December 31, 2019. The current year operating expenses were partially offset by $15.2 million of funds earned under the Singapore vaccine grants and funds awarded by the Cystic Fibrosis Foundation. The increase in net expenditures for the year ended December 31, 2020 as compared to the prior year was due primarily to the increased activity in clinical and manufacturing expenditures related to the Company’s Covid-19 and OTC programs as well as increased personnel costs and other facility costs related to the organizational growth of the Company.</w:t>
      </w:r>
    </w:p>
    <w:p>
      <w:pPr>
        <w:spacing w:after="0" w:line="124"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Net loss</w:t>
      </w:r>
      <w:r>
        <w:rPr>
          <w:rFonts w:ascii="Arial" w:cs="Arial" w:eastAsia="Arial" w:hAnsi="Arial"/>
          <w:sz w:val="12"/>
          <w:szCs w:val="12"/>
          <w:color w:val="auto"/>
        </w:rPr>
        <w:t>: For the three months ended December 31, 2020 Arcturus reported a net loss of approximately $31.1 million, or ($1.25) per basic and diluted share, compared with a net loss in the three months ended September 30, 2020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$21.0 million, or ($0.92) per basic and diluted share, and three months ended December 31, 2019 of $11.0 million, or ($0.76) per basic and diluted share.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For the year ended December 31, 2020, net loss was approximately $72.1 million, or ($3.55) per basic and diluted share, compared with a net loss for the year ended 2019 of $26.0 million, or ($2.15) per basic and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14" w:right="299" w:bottom="1440" w:gutter="0" w:footer="0" w:header="0"/>
        </w:sectPr>
      </w:pPr>
    </w:p>
    <w:bookmarkStart w:id="6" w:name="page7"/>
    <w:bookmarkEnd w:id="6"/>
    <w:p>
      <w:pPr>
        <w:jc w:val="both"/>
        <w:ind w:left="8" w:right="300"/>
        <w:spacing w:after="0" w:line="259" w:lineRule="auto"/>
        <w:rPr>
          <w:sz w:val="20"/>
          <w:szCs w:val="20"/>
          <w:color w:val="auto"/>
        </w:rPr>
      </w:pPr>
      <w:r>
        <w:rPr>
          <w:rFonts w:ascii="Arial" w:cs="Arial" w:eastAsia="Arial" w:hAnsi="Arial"/>
          <w:sz w:val="12"/>
          <w:szCs w:val="12"/>
          <w:b w:val="1"/>
          <w:bCs w:val="1"/>
          <w:i w:val="1"/>
          <w:iCs w:val="1"/>
          <w:color w:val="auto"/>
        </w:rPr>
        <w:t>Cash and Cash Equivalents</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Company’s cash balance was $463.0 million as of December 31, 2020, compared to cash and cash equivalents of $301.1 million on September 30, 2020. The increase in cash and cash equivalents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compared to the prior year is primarily due to the receipt of approximately $162 million in net proceeds from our December 2020 public offering. Subsequent to the end of the quarter, in January 2021 the Company received $46.6 million in funds under a manufacturing loan from Singapore EDB for our Covid-19 vaccine program. Based on our current pipeline, the Company’s cash position is expected to be sufficient to support operations for more than two years.</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Monday, March 1 @ 4:30 p.m. ET</w:t>
      </w:r>
    </w:p>
    <w:p>
      <w:pPr>
        <w:spacing w:after="0" w:line="19" w:lineRule="exact"/>
        <w:rPr>
          <w:sz w:val="20"/>
          <w:szCs w:val="20"/>
          <w:color w:val="auto"/>
        </w:rPr>
      </w:pPr>
    </w:p>
    <w:p>
      <w:pPr>
        <w:ind w:left="8"/>
        <w:spacing w:after="0"/>
        <w:tabs>
          <w:tab w:leader="none" w:pos="1888" w:val="left"/>
        </w:tabs>
        <w:rPr>
          <w:sz w:val="20"/>
          <w:szCs w:val="20"/>
          <w:color w:val="auto"/>
        </w:rPr>
      </w:pPr>
      <w:r>
        <w:rPr>
          <w:rFonts w:ascii="Arial" w:cs="Arial" w:eastAsia="Arial" w:hAnsi="Arial"/>
          <w:sz w:val="12"/>
          <w:szCs w:val="12"/>
          <w:color w:val="auto"/>
        </w:rPr>
        <w:t>Domestic:</w:t>
      </w:r>
      <w:r>
        <w:rPr>
          <w:sz w:val="20"/>
          <w:szCs w:val="20"/>
          <w:color w:val="auto"/>
        </w:rPr>
        <w:tab/>
      </w:r>
      <w:r>
        <w:rPr>
          <w:rFonts w:ascii="Arial" w:cs="Arial" w:eastAsia="Arial" w:hAnsi="Arial"/>
          <w:sz w:val="12"/>
          <w:szCs w:val="12"/>
          <w:color w:val="auto"/>
        </w:rPr>
        <w:t>877-407-0784</w:t>
      </w:r>
    </w:p>
    <w:p>
      <w:pPr>
        <w:spacing w:after="0" w:line="6" w:lineRule="exact"/>
        <w:rPr>
          <w:sz w:val="20"/>
          <w:szCs w:val="20"/>
          <w:color w:val="auto"/>
        </w:rPr>
      </w:pPr>
    </w:p>
    <w:p>
      <w:pPr>
        <w:ind w:left="8"/>
        <w:spacing w:after="0"/>
        <w:tabs>
          <w:tab w:leader="none" w:pos="1888" w:val="left"/>
        </w:tabs>
        <w:rPr>
          <w:sz w:val="20"/>
          <w:szCs w:val="20"/>
          <w:color w:val="auto"/>
        </w:rPr>
      </w:pPr>
      <w:r>
        <w:rPr>
          <w:rFonts w:ascii="Arial" w:cs="Arial" w:eastAsia="Arial" w:hAnsi="Arial"/>
          <w:sz w:val="12"/>
          <w:szCs w:val="12"/>
          <w:color w:val="auto"/>
        </w:rPr>
        <w:t>International:</w:t>
      </w:r>
      <w:r>
        <w:rPr>
          <w:sz w:val="20"/>
          <w:szCs w:val="20"/>
          <w:color w:val="auto"/>
        </w:rPr>
        <w:tab/>
      </w:r>
      <w:r>
        <w:rPr>
          <w:rFonts w:ascii="Arial" w:cs="Arial" w:eastAsia="Arial" w:hAnsi="Arial"/>
          <w:sz w:val="12"/>
          <w:szCs w:val="12"/>
          <w:color w:val="auto"/>
        </w:rPr>
        <w:t>201-689-8560</w:t>
      </w:r>
    </w:p>
    <w:p>
      <w:pPr>
        <w:spacing w:after="0" w:line="6" w:lineRule="exact"/>
        <w:rPr>
          <w:sz w:val="20"/>
          <w:szCs w:val="20"/>
          <w:color w:val="auto"/>
        </w:rPr>
      </w:pPr>
    </w:p>
    <w:p>
      <w:pPr>
        <w:ind w:left="8"/>
        <w:spacing w:after="0"/>
        <w:tabs>
          <w:tab w:leader="none" w:pos="1888" w:val="left"/>
        </w:tabs>
        <w:rPr>
          <w:sz w:val="20"/>
          <w:szCs w:val="20"/>
          <w:color w:val="auto"/>
        </w:rPr>
      </w:pPr>
      <w:r>
        <w:rPr>
          <w:rFonts w:ascii="Arial" w:cs="Arial" w:eastAsia="Arial" w:hAnsi="Arial"/>
          <w:sz w:val="12"/>
          <w:szCs w:val="12"/>
          <w:color w:val="auto"/>
        </w:rPr>
        <w:t>Conference ID:</w:t>
      </w:r>
      <w:r>
        <w:rPr>
          <w:sz w:val="20"/>
          <w:szCs w:val="20"/>
          <w:color w:val="auto"/>
        </w:rPr>
        <w:tab/>
      </w:r>
      <w:r>
        <w:rPr>
          <w:rFonts w:ascii="Arial" w:cs="Arial" w:eastAsia="Arial" w:hAnsi="Arial"/>
          <w:sz w:val="10"/>
          <w:szCs w:val="10"/>
          <w:color w:val="auto"/>
        </w:rPr>
        <w:t>13716298</w:t>
      </w:r>
    </w:p>
    <w:p>
      <w:pPr>
        <w:spacing w:after="0" w:line="6" w:lineRule="exact"/>
        <w:rPr>
          <w:sz w:val="20"/>
          <w:szCs w:val="20"/>
          <w:color w:val="auto"/>
        </w:rPr>
      </w:pPr>
    </w:p>
    <w:p>
      <w:pPr>
        <w:ind w:left="8"/>
        <w:spacing w:after="0"/>
        <w:tabs>
          <w:tab w:leader="none" w:pos="1888" w:val="left"/>
        </w:tabs>
        <w:rPr>
          <w:sz w:val="20"/>
          <w:szCs w:val="20"/>
          <w:color w:val="auto"/>
        </w:rPr>
      </w:pPr>
      <w:r>
        <w:rPr>
          <w:rFonts w:ascii="Arial" w:cs="Arial" w:eastAsia="Arial" w:hAnsi="Arial"/>
          <w:sz w:val="12"/>
          <w:szCs w:val="12"/>
          <w:color w:val="auto"/>
        </w:rPr>
        <w:t>Webcast:</w:t>
      </w:r>
      <w:r>
        <w:rPr>
          <w:sz w:val="20"/>
          <w:szCs w:val="20"/>
          <w:color w:val="auto"/>
        </w:rPr>
        <w:tab/>
      </w:r>
      <w:r>
        <w:rPr>
          <w:rFonts w:ascii="Arial" w:cs="Arial" w:eastAsia="Arial" w:hAnsi="Arial"/>
          <w:sz w:val="12"/>
          <w:szCs w:val="12"/>
          <w:color w:val="auto"/>
        </w:rPr>
        <w:t>http://public.viavid.com/index.php?id=143486</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About Arcturus Therapeutics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1"/>
          <w:szCs w:val="11"/>
          <w:color w:val="auto"/>
        </w:rPr>
        <w:t>Founded in 2013 and based in San Diego, California, Arcturus Therapeutics Holdings Inc. (Nasdaq: ARCT) is a clinical-stage mRNA medicines and vaccines company with enabling technologies: (i) LUNAR® lipid-mediated delivery,</w:t>
      </w:r>
    </w:p>
    <w:p>
      <w:pPr>
        <w:spacing w:after="0" w:line="18" w:lineRule="exact"/>
        <w:rPr>
          <w:sz w:val="20"/>
          <w:szCs w:val="20"/>
          <w:color w:val="auto"/>
        </w:rPr>
      </w:pPr>
    </w:p>
    <w:p>
      <w:pPr>
        <w:jc w:val="both"/>
        <w:ind w:left="8" w:hanging="8"/>
        <w:spacing w:after="0" w:line="252" w:lineRule="auto"/>
        <w:tabs>
          <w:tab w:leader="none" w:pos="188" w:val="left"/>
        </w:tabs>
        <w:numPr>
          <w:ilvl w:val="0"/>
          <w:numId w:val="7"/>
        </w:numPr>
        <w:rPr>
          <w:rFonts w:ascii="Arial" w:cs="Arial" w:eastAsia="Arial" w:hAnsi="Arial"/>
          <w:sz w:val="12"/>
          <w:szCs w:val="12"/>
          <w:color w:val="auto"/>
        </w:rPr>
      </w:pPr>
      <w:r>
        <w:rPr>
          <w:rFonts w:ascii="Arial" w:cs="Arial" w:eastAsia="Arial" w:hAnsi="Arial"/>
          <w:sz w:val="12"/>
          <w:szCs w:val="12"/>
          <w:color w:val="auto"/>
        </w:rPr>
        <w:t>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(209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Medical School, and the Cystic Fibrosis Foundation. For more information visit www.ArcturusRx.com. In addition, please connect with us on Twitter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236220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18" w:right="299" w:bottom="1440" w:gutter="0" w:footer="0" w:header="0"/>
        </w:sectPr>
      </w:pPr>
    </w:p>
    <w:bookmarkStart w:id="7" w:name="page8"/>
    <w:bookmarkEnd w:id="7"/>
    <w:p>
      <w:pPr>
        <w:ind w:left="8"/>
        <w:spacing w:after="0"/>
        <w:rPr>
          <w:sz w:val="20"/>
          <w:szCs w:val="20"/>
          <w:color w:val="auto"/>
        </w:rPr>
      </w:pPr>
      <w:r>
        <w:rPr>
          <w:rFonts w:ascii="Arial" w:cs="Arial" w:eastAsia="Arial" w:hAnsi="Arial"/>
          <w:sz w:val="12"/>
          <w:szCs w:val="12"/>
          <w:b w:val="1"/>
          <w:bCs w:val="1"/>
          <w:color w:val="auto"/>
        </w:rPr>
        <w:t>Forward Looking Statements</w:t>
      </w:r>
    </w:p>
    <w:p>
      <w:pPr>
        <w:spacing w:after="0" w:line="19" w:lineRule="exact"/>
        <w:rPr>
          <w:sz w:val="20"/>
          <w:szCs w:val="20"/>
          <w:color w:val="auto"/>
        </w:rPr>
      </w:pPr>
    </w:p>
    <w:p>
      <w:pPr>
        <w:jc w:val="both"/>
        <w:ind w:left="8"/>
        <w:spacing w:after="0" w:line="276" w:lineRule="auto"/>
        <w:rPr>
          <w:sz w:val="20"/>
          <w:szCs w:val="20"/>
          <w:color w:val="auto"/>
        </w:rPr>
      </w:pPr>
      <w:r>
        <w:rPr>
          <w:rFonts w:ascii="Arial" w:cs="Arial" w:eastAsia="Arial" w:hAnsi="Arial"/>
          <w:sz w:val="11"/>
          <w:szCs w:val="11"/>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collaborations, the likelihood of success, and the efficacy or safety, of the Company’s pipeline, including ARCT-021, ARCT-810 or ARCT-032, the planned initiation, design or completion of clinical trials, the likelihood that the Company will obtain clearance from regulatory authorities to proceed with planned clinical trials, the likelihood that preclinical or clinical data will be predictive of future clinical results, the likelihood that clinical data will be sufficient for regulatory approval or completed in time to submit an application for regulatory approval within a particular timeframe, the ability to enroll subjects in clinical trials, the Company’s efforts to develop a vaccine against COVID-19 and therapeutic potential thereof based on the Company’s mRNA therapeutics, the ability of the Company to scale up manufacturing of vaccine doses or to manufacture and scale up manufacturing of any other product or substance, the likelihood that a patent will issue from any patent application, the results of advancements in the Company’s manufacturing methods and technologies, including purification and lyophilization, its current cash position and expected cash burn and the impact of general business and economic conditions. Actual results and performance could differ materially from those projected in any forward-looking statements as a result of many factors including, without limitation, the ability to enroll subjects in clinical trials as a result of the COVID-19 pandemic, the impact of commercialization of third-party COVID-19 vaccines on the design, and ability to conduct, clinical trials, the availability of manufacturing capacity and raw materials, unexpected clinical results, and general market conditions that may prevent such achievements or performance.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2020,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IR and Media Contacts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Arcturus Therapeutics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Neda Safarzadeh</w:t>
      </w:r>
    </w:p>
    <w:p>
      <w:pPr>
        <w:spacing w:after="0" w:line="6" w:lineRule="exact"/>
        <w:rPr>
          <w:sz w:val="20"/>
          <w:szCs w:val="20"/>
          <w:color w:val="auto"/>
        </w:rPr>
      </w:pPr>
    </w:p>
    <w:p>
      <w:pPr>
        <w:ind w:left="288" w:hanging="288"/>
        <w:spacing w:after="0"/>
        <w:tabs>
          <w:tab w:leader="none" w:pos="288" w:val="left"/>
        </w:tabs>
        <w:numPr>
          <w:ilvl w:val="0"/>
          <w:numId w:val="8"/>
        </w:numPr>
        <w:rPr>
          <w:rFonts w:ascii="Arial" w:cs="Arial" w:eastAsia="Arial" w:hAnsi="Arial"/>
          <w:sz w:val="12"/>
          <w:szCs w:val="12"/>
          <w:color w:val="auto"/>
        </w:rPr>
      </w:pPr>
      <w:r>
        <w:rPr>
          <w:rFonts w:ascii="Arial" w:cs="Arial" w:eastAsia="Arial" w:hAnsi="Arial"/>
          <w:sz w:val="12"/>
          <w:szCs w:val="12"/>
          <w:color w:val="auto"/>
        </w:rPr>
        <w:t>900-2682</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IR@ArcturusRx.com</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Kendall Investor Relations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Carlo Tanzi, Ph.D.</w:t>
      </w:r>
    </w:p>
    <w:p>
      <w:pPr>
        <w:spacing w:after="0" w:line="6" w:lineRule="exact"/>
        <w:rPr>
          <w:sz w:val="20"/>
          <w:szCs w:val="20"/>
          <w:color w:val="auto"/>
        </w:rPr>
      </w:pPr>
    </w:p>
    <w:p>
      <w:pPr>
        <w:ind w:left="288" w:hanging="288"/>
        <w:spacing w:after="0"/>
        <w:tabs>
          <w:tab w:leader="none" w:pos="288" w:val="left"/>
        </w:tabs>
        <w:numPr>
          <w:ilvl w:val="0"/>
          <w:numId w:val="9"/>
        </w:numPr>
        <w:rPr>
          <w:rFonts w:ascii="Arial" w:cs="Arial" w:eastAsia="Arial" w:hAnsi="Arial"/>
          <w:sz w:val="12"/>
          <w:szCs w:val="12"/>
          <w:color w:val="auto"/>
        </w:rPr>
      </w:pPr>
      <w:r>
        <w:rPr>
          <w:rFonts w:ascii="Arial" w:cs="Arial" w:eastAsia="Arial" w:hAnsi="Arial"/>
          <w:sz w:val="12"/>
          <w:szCs w:val="12"/>
          <w:color w:val="auto"/>
        </w:rPr>
        <w:t>914-0008</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ctanzi@kendallir.com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14"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7"/>
        </w:trPr>
        <w:tc>
          <w:tcPr>
            <w:tcW w:w="8500" w:type="dxa"/>
            <w:vAlign w:val="bottom"/>
            <w:gridSpan w:val="2"/>
          </w:tcPr>
          <w:p>
            <w:pPr>
              <w:jc w:val="center"/>
              <w:ind w:left="2720"/>
              <w:spacing w:after="0"/>
              <w:rPr>
                <w:sz w:val="20"/>
                <w:szCs w:val="20"/>
                <w:color w:val="auto"/>
              </w:rPr>
            </w:pPr>
            <w:r>
              <w:rPr>
                <w:rFonts w:ascii="Arial" w:cs="Arial" w:eastAsia="Arial" w:hAnsi="Arial"/>
                <w:sz w:val="12"/>
                <w:szCs w:val="12"/>
                <w:b w:val="1"/>
                <w:bCs w:val="1"/>
                <w:color w:val="auto"/>
              </w:rPr>
              <w:t>ARCTURUS THERAPEUTICS HOLDINGS INC. AND ITS SUBSIDIARIES</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7340" w:type="dxa"/>
            <w:vAlign w:val="bottom"/>
          </w:tcPr>
          <w:p>
            <w:pPr>
              <w:jc w:val="center"/>
              <w:ind w:left="3880"/>
              <w:spacing w:after="0"/>
              <w:rPr>
                <w:sz w:val="20"/>
                <w:szCs w:val="20"/>
                <w:color w:val="auto"/>
              </w:rPr>
            </w:pPr>
            <w:r>
              <w:rPr>
                <w:rFonts w:ascii="Arial" w:cs="Arial" w:eastAsia="Arial" w:hAnsi="Arial"/>
                <w:sz w:val="12"/>
                <w:szCs w:val="12"/>
                <w:b w:val="1"/>
                <w:bCs w:val="1"/>
                <w:color w:val="auto"/>
                <w:w w:val="99"/>
              </w:rPr>
              <w:t>CONSOLIDATED BALANCE SHEETS</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88"/>
        </w:trPr>
        <w:tc>
          <w:tcPr>
            <w:tcW w:w="7340" w:type="dxa"/>
            <w:vAlign w:val="bottom"/>
          </w:tcPr>
          <w:p>
            <w:pPr>
              <w:jc w:val="center"/>
              <w:ind w:left="3880"/>
              <w:spacing w:after="0"/>
              <w:rPr>
                <w:sz w:val="20"/>
                <w:szCs w:val="20"/>
                <w:color w:val="auto"/>
              </w:rPr>
            </w:pPr>
            <w:r>
              <w:rPr>
                <w:rFonts w:ascii="Arial" w:cs="Arial" w:eastAsia="Arial" w:hAnsi="Arial"/>
                <w:sz w:val="12"/>
                <w:szCs w:val="12"/>
                <w:b w:val="1"/>
                <w:bCs w:val="1"/>
                <w:color w:val="auto"/>
                <w:w w:val="90"/>
              </w:rPr>
              <w:t>(in thousands, except par value information)</w:t>
            </w: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73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2"/>
                <w:szCs w:val="12"/>
                <w:b w:val="1"/>
                <w:bCs w:val="1"/>
                <w:color w:val="auto"/>
              </w:rPr>
              <w:t>As of December 31,</w:t>
            </w:r>
          </w:p>
        </w:tc>
        <w:tc>
          <w:tcPr>
            <w:tcW w:w="1260" w:type="dxa"/>
            <w:vAlign w:val="bottom"/>
            <w:tcBorders>
              <w:bottom w:val="single" w:sz="8" w:color="auto"/>
            </w:tcBorders>
          </w:tcPr>
          <w:p>
            <w:pPr>
              <w:spacing w:after="0"/>
              <w:rPr>
                <w:sz w:val="24"/>
                <w:szCs w:val="24"/>
                <w:color w:val="auto"/>
              </w:rPr>
            </w:pPr>
          </w:p>
        </w:tc>
      </w:tr>
      <w:tr>
        <w:trPr>
          <w:trHeight w:val="142"/>
        </w:trPr>
        <w:tc>
          <w:tcPr>
            <w:tcW w:w="73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rPr>
              <w:t>2020</w:t>
            </w:r>
          </w:p>
        </w:tc>
        <w:tc>
          <w:tcPr>
            <w:tcW w:w="6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b w:val="1"/>
                <w:bCs w:val="1"/>
                <w:color w:val="auto"/>
              </w:rPr>
              <w:t>2019</w:t>
            </w:r>
          </w:p>
        </w:tc>
      </w:tr>
      <w:tr>
        <w:trPr>
          <w:trHeight w:val="133"/>
        </w:trPr>
        <w:tc>
          <w:tcPr>
            <w:tcW w:w="73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1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4"/>
        </w:trPr>
        <w:tc>
          <w:tcPr>
            <w:tcW w:w="7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1160" w:type="dxa"/>
            <w:vAlign w:val="bottom"/>
            <w:shd w:val="clear" w:color="auto" w:fill="CCEEFF"/>
          </w:tcPr>
          <w:p>
            <w:pPr>
              <w:jc w:val="right"/>
              <w:ind w:right="105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462,895</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71,353</w:t>
            </w:r>
          </w:p>
        </w:tc>
      </w:tr>
      <w:tr>
        <w:trPr>
          <w:trHeight w:val="144"/>
        </w:trPr>
        <w:tc>
          <w:tcPr>
            <w:tcW w:w="734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2,125</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2,179</w:t>
            </w:r>
          </w:p>
        </w:tc>
      </w:tr>
      <w:tr>
        <w:trPr>
          <w:trHeight w:val="153"/>
        </w:trPr>
        <w:tc>
          <w:tcPr>
            <w:tcW w:w="7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2,769</w:t>
            </w: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758</w:t>
            </w:r>
          </w:p>
        </w:tc>
      </w:tr>
      <w:tr>
        <w:trPr>
          <w:trHeight w:val="133"/>
        </w:trPr>
        <w:tc>
          <w:tcPr>
            <w:tcW w:w="7340" w:type="dxa"/>
            <w:vAlign w:val="bottom"/>
          </w:tcPr>
          <w:p>
            <w:pPr>
              <w:spacing w:after="0" w:line="133" w:lineRule="exact"/>
              <w:rPr>
                <w:sz w:val="20"/>
                <w:szCs w:val="20"/>
                <w:color w:val="auto"/>
              </w:rPr>
            </w:pPr>
            <w:r>
              <w:rPr>
                <w:rFonts w:ascii="Arial" w:cs="Arial" w:eastAsia="Arial" w:hAnsi="Arial"/>
                <w:sz w:val="12"/>
                <w:szCs w:val="12"/>
                <w:b w:val="1"/>
                <w:bCs w:val="1"/>
                <w:color w:val="auto"/>
              </w:rPr>
              <w:t>Total current assets</w:t>
            </w:r>
          </w:p>
        </w:tc>
        <w:tc>
          <w:tcPr>
            <w:tcW w:w="1160" w:type="dxa"/>
            <w:vAlign w:val="bottom"/>
          </w:tcPr>
          <w:p>
            <w:pPr>
              <w:spacing w:after="0"/>
              <w:rPr>
                <w:sz w:val="11"/>
                <w:szCs w:val="11"/>
                <w:color w:val="auto"/>
              </w:rPr>
            </w:pPr>
          </w:p>
        </w:tc>
        <w:tc>
          <w:tcPr>
            <w:tcW w:w="6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467,789</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jc w:val="right"/>
              <w:ind w:right="80"/>
              <w:spacing w:after="0" w:line="133" w:lineRule="exact"/>
              <w:rPr>
                <w:sz w:val="20"/>
                <w:szCs w:val="20"/>
                <w:color w:val="auto"/>
              </w:rPr>
            </w:pPr>
            <w:r>
              <w:rPr>
                <w:rFonts w:ascii="Arial" w:cs="Arial" w:eastAsia="Arial" w:hAnsi="Arial"/>
                <w:sz w:val="12"/>
                <w:szCs w:val="12"/>
                <w:color w:val="auto"/>
              </w:rPr>
              <w:t>74,290</w:t>
            </w:r>
          </w:p>
        </w:tc>
      </w:tr>
      <w:tr>
        <w:trPr>
          <w:trHeight w:val="144"/>
        </w:trPr>
        <w:tc>
          <w:tcPr>
            <w:tcW w:w="7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Property and equipment, net</w:t>
            </w: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3,378</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2,349</w:t>
            </w:r>
          </w:p>
        </w:tc>
      </w:tr>
      <w:tr>
        <w:trPr>
          <w:trHeight w:val="144"/>
        </w:trPr>
        <w:tc>
          <w:tcPr>
            <w:tcW w:w="7340" w:type="dxa"/>
            <w:vAlign w:val="bottom"/>
          </w:tcPr>
          <w:p>
            <w:pPr>
              <w:ind w:left="160"/>
              <w:spacing w:after="0"/>
              <w:rPr>
                <w:sz w:val="20"/>
                <w:szCs w:val="20"/>
                <w:color w:val="auto"/>
              </w:rPr>
            </w:pPr>
            <w:r>
              <w:rPr>
                <w:rFonts w:ascii="Arial" w:cs="Arial" w:eastAsia="Arial" w:hAnsi="Arial"/>
                <w:sz w:val="12"/>
                <w:szCs w:val="12"/>
                <w:color w:val="auto"/>
              </w:rPr>
              <w:t>Operating lease right-of-use asset, net</w:t>
            </w: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5,182</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5,134</w:t>
            </w:r>
          </w:p>
        </w:tc>
      </w:tr>
      <w:tr>
        <w:trPr>
          <w:trHeight w:val="144"/>
        </w:trPr>
        <w:tc>
          <w:tcPr>
            <w:tcW w:w="7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Equity-method investment</w:t>
            </w:r>
          </w:p>
        </w:tc>
        <w:tc>
          <w:tcPr>
            <w:tcW w:w="1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263</w:t>
            </w:r>
          </w:p>
        </w:tc>
      </w:tr>
      <w:tr>
        <w:trPr>
          <w:trHeight w:val="153"/>
        </w:trPr>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Non-current restricted cash</w:t>
            </w:r>
          </w:p>
        </w:tc>
        <w:tc>
          <w:tcPr>
            <w:tcW w:w="1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107</w:t>
            </w:r>
          </w:p>
        </w:tc>
        <w:tc>
          <w:tcPr>
            <w:tcW w:w="2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107</w:t>
            </w:r>
          </w:p>
        </w:tc>
      </w:tr>
      <w:tr>
        <w:trPr>
          <w:trHeight w:val="162"/>
        </w:trPr>
        <w:tc>
          <w:tcPr>
            <w:tcW w:w="734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assets</w:t>
            </w:r>
          </w:p>
        </w:tc>
        <w:tc>
          <w:tcPr>
            <w:tcW w:w="11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476,456</w:t>
            </w:r>
          </w:p>
        </w:tc>
        <w:tc>
          <w:tcPr>
            <w:tcW w:w="2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82,143</w:t>
            </w:r>
          </w:p>
        </w:tc>
      </w:tr>
      <w:tr>
        <w:trPr>
          <w:trHeight w:val="131"/>
        </w:trPr>
        <w:tc>
          <w:tcPr>
            <w:tcW w:w="7340" w:type="dxa"/>
            <w:vAlign w:val="bottom"/>
          </w:tcPr>
          <w:p>
            <w:pPr>
              <w:spacing w:after="0" w:line="131" w:lineRule="exact"/>
              <w:rPr>
                <w:sz w:val="20"/>
                <w:szCs w:val="20"/>
                <w:color w:val="auto"/>
              </w:rPr>
            </w:pPr>
            <w:r>
              <w:rPr>
                <w:rFonts w:ascii="Arial" w:cs="Arial" w:eastAsia="Arial" w:hAnsi="Arial"/>
                <w:sz w:val="12"/>
                <w:szCs w:val="12"/>
                <w:b w:val="1"/>
                <w:bCs w:val="1"/>
                <w:color w:val="auto"/>
              </w:rPr>
              <w:t>Liabilities and stockholders’ equity</w:t>
            </w:r>
          </w:p>
        </w:tc>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44"/>
        </w:trPr>
        <w:tc>
          <w:tcPr>
            <w:tcW w:w="7340" w:type="dxa"/>
            <w:vAlign w:val="bottom"/>
          </w:tcPr>
          <w:p>
            <w:pPr>
              <w:ind w:left="160"/>
              <w:spacing w:after="0"/>
              <w:rPr>
                <w:sz w:val="20"/>
                <w:szCs w:val="20"/>
                <w:color w:val="auto"/>
              </w:rPr>
            </w:pPr>
            <w:r>
              <w:rPr>
                <w:rFonts w:ascii="Arial" w:cs="Arial" w:eastAsia="Arial" w:hAnsi="Arial"/>
                <w:sz w:val="12"/>
                <w:szCs w:val="12"/>
                <w:color w:val="auto"/>
              </w:rPr>
              <w:t>Accounts payable</w:t>
            </w:r>
          </w:p>
        </w:tc>
        <w:tc>
          <w:tcPr>
            <w:tcW w:w="1160" w:type="dxa"/>
            <w:vAlign w:val="bottom"/>
          </w:tcPr>
          <w:p>
            <w:pPr>
              <w:jc w:val="right"/>
              <w:ind w:right="105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10,774</w:t>
            </w:r>
          </w:p>
        </w:tc>
        <w:tc>
          <w:tcPr>
            <w:tcW w:w="280" w:type="dxa"/>
            <w:vAlign w:val="bottom"/>
          </w:tcPr>
          <w:p>
            <w:pPr>
              <w:spacing w:after="0"/>
              <w:rPr>
                <w:sz w:val="12"/>
                <w:szCs w:val="12"/>
                <w:color w:val="auto"/>
              </w:rPr>
            </w:pPr>
          </w:p>
        </w:tc>
        <w:tc>
          <w:tcPr>
            <w:tcW w:w="580" w:type="dxa"/>
            <w:vAlign w:val="bottom"/>
          </w:tcPr>
          <w:p>
            <w:pPr>
              <w:jc w:val="right"/>
              <w:ind w:right="472"/>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5,793</w:t>
            </w:r>
          </w:p>
        </w:tc>
      </w:tr>
      <w:tr>
        <w:trPr>
          <w:trHeight w:val="144"/>
        </w:trPr>
        <w:tc>
          <w:tcPr>
            <w:tcW w:w="7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liabilities</w:t>
            </w: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20,639</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7,134</w:t>
            </w:r>
          </w:p>
        </w:tc>
      </w:tr>
      <w:tr>
        <w:trPr>
          <w:trHeight w:val="153"/>
        </w:trPr>
        <w:tc>
          <w:tcPr>
            <w:tcW w:w="734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Deferred revenue</w:t>
            </w:r>
          </w:p>
        </w:tc>
        <w:tc>
          <w:tcPr>
            <w:tcW w:w="1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18,108</w:t>
            </w:r>
          </w:p>
        </w:tc>
        <w:tc>
          <w:tcPr>
            <w:tcW w:w="2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8,397</w:t>
            </w:r>
          </w:p>
        </w:tc>
      </w:tr>
      <w:tr>
        <w:trPr>
          <w:trHeight w:val="133"/>
        </w:trPr>
        <w:tc>
          <w:tcPr>
            <w:tcW w:w="73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current liabilities</w:t>
            </w:r>
          </w:p>
        </w:tc>
        <w:tc>
          <w:tcPr>
            <w:tcW w:w="11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49,521</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21,324</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Deferred revenue, net of current portion</w:t>
            </w: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12,512</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15,182</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Long-term debt, net of current portion</w:t>
            </w:r>
          </w:p>
        </w:tc>
        <w:tc>
          <w:tcPr>
            <w:tcW w:w="1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13,845</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14,995</w:t>
            </w:r>
          </w:p>
        </w:tc>
      </w:tr>
      <w:tr>
        <w:trPr>
          <w:trHeight w:val="153"/>
        </w:trPr>
        <w:tc>
          <w:tcPr>
            <w:tcW w:w="73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Operating lease liability, net of current portion</w:t>
            </w:r>
          </w:p>
        </w:tc>
        <w:tc>
          <w:tcPr>
            <w:tcW w:w="1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4,025</w:t>
            </w:r>
          </w:p>
        </w:tc>
        <w:tc>
          <w:tcPr>
            <w:tcW w:w="2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4,850</w:t>
            </w:r>
          </w:p>
        </w:tc>
      </w:tr>
      <w:tr>
        <w:trPr>
          <w:trHeight w:val="133"/>
        </w:trPr>
        <w:tc>
          <w:tcPr>
            <w:tcW w:w="734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11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79,903</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56,351</w:t>
            </w:r>
          </w:p>
        </w:tc>
      </w:tr>
      <w:tr>
        <w:trPr>
          <w:trHeight w:val="144"/>
        </w:trPr>
        <w:tc>
          <w:tcPr>
            <w:tcW w:w="7340" w:type="dxa"/>
            <w:vAlign w:val="bottom"/>
          </w:tcPr>
          <w:p>
            <w:pPr>
              <w:spacing w:after="0"/>
              <w:rPr>
                <w:sz w:val="20"/>
                <w:szCs w:val="20"/>
                <w:color w:val="auto"/>
              </w:rPr>
            </w:pPr>
            <w:r>
              <w:rPr>
                <w:rFonts w:ascii="Arial" w:cs="Arial" w:eastAsia="Arial" w:hAnsi="Arial"/>
                <w:sz w:val="12"/>
                <w:szCs w:val="12"/>
                <w:b w:val="1"/>
                <w:bCs w:val="1"/>
                <w:color w:val="auto"/>
              </w:rPr>
              <w:t>Stockholders’ equity:</w:t>
            </w: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7340" w:type="dxa"/>
            <w:vAlign w:val="bottom"/>
            <w:shd w:val="clear" w:color="auto" w:fill="CCEEFF"/>
          </w:tcPr>
          <w:p>
            <w:pPr>
              <w:ind w:left="160"/>
              <w:spacing w:after="0" w:line="135" w:lineRule="exact"/>
              <w:rPr>
                <w:sz w:val="20"/>
                <w:szCs w:val="20"/>
                <w:color w:val="auto"/>
              </w:rPr>
            </w:pPr>
            <w:r>
              <w:rPr>
                <w:rFonts w:ascii="Arial" w:cs="Arial" w:eastAsia="Arial" w:hAnsi="Arial"/>
                <w:sz w:val="12"/>
                <w:szCs w:val="12"/>
                <w:color w:val="auto"/>
                <w:w w:val="95"/>
              </w:rPr>
              <w:t>Common stock: $0.001 par value; 60,000 shares authorized and 26,192 shares issued and outstanding at December 31, 2020; 30,000 shares</w:t>
            </w:r>
          </w:p>
        </w:tc>
        <w:tc>
          <w:tcPr>
            <w:tcW w:w="1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53"/>
        </w:trPr>
        <w:tc>
          <w:tcPr>
            <w:tcW w:w="7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authorized and 15,138 shares issued and outstanding at December 31, 2019</w:t>
            </w:r>
          </w:p>
        </w:tc>
        <w:tc>
          <w:tcPr>
            <w:tcW w:w="11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r>
      <w:tr>
        <w:trPr>
          <w:trHeight w:val="144"/>
        </w:trPr>
        <w:tc>
          <w:tcPr>
            <w:tcW w:w="734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540,343</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97,445</w:t>
            </w:r>
          </w:p>
        </w:tc>
      </w:tr>
      <w:tr>
        <w:trPr>
          <w:trHeight w:val="153"/>
        </w:trPr>
        <w:tc>
          <w:tcPr>
            <w:tcW w:w="7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Accumulated deficit</w:t>
            </w:r>
          </w:p>
        </w:tc>
        <w:tc>
          <w:tcPr>
            <w:tcW w:w="1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(143,816)</w:t>
            </w:r>
          </w:p>
        </w:tc>
        <w:tc>
          <w:tcPr>
            <w:tcW w:w="2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(71,668)</w:t>
            </w:r>
          </w:p>
        </w:tc>
      </w:tr>
      <w:tr>
        <w:trPr>
          <w:trHeight w:val="133"/>
        </w:trPr>
        <w:tc>
          <w:tcPr>
            <w:tcW w:w="734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Total stockholders’ equity</w:t>
            </w:r>
          </w:p>
        </w:tc>
        <w:tc>
          <w:tcPr>
            <w:tcW w:w="1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396,553</w:t>
            </w:r>
          </w:p>
        </w:tc>
        <w:tc>
          <w:tcPr>
            <w:tcW w:w="2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25,792</w:t>
            </w:r>
          </w:p>
        </w:tc>
      </w:tr>
      <w:tr>
        <w:trPr>
          <w:trHeight w:val="149"/>
        </w:trPr>
        <w:tc>
          <w:tcPr>
            <w:tcW w:w="734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liabilities and stockholders’ equity</w:t>
            </w:r>
          </w:p>
        </w:tc>
        <w:tc>
          <w:tcPr>
            <w:tcW w:w="11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476,456</w:t>
            </w:r>
          </w:p>
        </w:tc>
        <w:tc>
          <w:tcPr>
            <w:tcW w:w="2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82,143</w:t>
            </w:r>
          </w:p>
        </w:tc>
      </w:tr>
      <w:tr>
        <w:trPr>
          <w:trHeight w:val="378"/>
        </w:trPr>
        <w:tc>
          <w:tcPr>
            <w:tcW w:w="7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14" w:right="2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20" w:type="dxa"/>
            <w:vAlign w:val="bottom"/>
          </w:tcPr>
          <w:p>
            <w:pPr>
              <w:spacing w:after="0"/>
              <w:rPr>
                <w:sz w:val="13"/>
                <w:szCs w:val="13"/>
                <w:color w:val="auto"/>
              </w:rPr>
            </w:pPr>
          </w:p>
        </w:tc>
        <w:tc>
          <w:tcPr>
            <w:tcW w:w="4900" w:type="dxa"/>
            <w:vAlign w:val="bottom"/>
            <w:gridSpan w:val="11"/>
          </w:tcPr>
          <w:p>
            <w:pPr>
              <w:jc w:val="center"/>
              <w:ind w:left="280"/>
              <w:spacing w:after="0"/>
              <w:rPr>
                <w:sz w:val="20"/>
                <w:szCs w:val="20"/>
                <w:color w:val="auto"/>
              </w:rPr>
            </w:pPr>
            <w:r>
              <w:rPr>
                <w:rFonts w:ascii="Arial" w:cs="Arial" w:eastAsia="Arial" w:hAnsi="Arial"/>
                <w:sz w:val="12"/>
                <w:szCs w:val="12"/>
                <w:b w:val="1"/>
                <w:bCs w:val="1"/>
                <w:color w:val="auto"/>
              </w:rPr>
              <w:t>ARCTURUS THERAPEUTICS HOLDINGS INC. AND ITS SUBSIDIARIES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88"/>
        </w:trPr>
        <w:tc>
          <w:tcPr>
            <w:tcW w:w="3020" w:type="dxa"/>
            <w:vAlign w:val="bottom"/>
          </w:tcPr>
          <w:p>
            <w:pPr>
              <w:spacing w:after="0"/>
              <w:rPr>
                <w:sz w:val="24"/>
                <w:szCs w:val="24"/>
                <w:color w:val="auto"/>
              </w:rPr>
            </w:pPr>
          </w:p>
        </w:tc>
        <w:tc>
          <w:tcPr>
            <w:tcW w:w="4900" w:type="dxa"/>
            <w:vAlign w:val="bottom"/>
            <w:gridSpan w:val="11"/>
          </w:tcPr>
          <w:p>
            <w:pPr>
              <w:jc w:val="center"/>
              <w:ind w:left="280"/>
              <w:spacing w:after="0"/>
              <w:rPr>
                <w:sz w:val="20"/>
                <w:szCs w:val="20"/>
                <w:color w:val="auto"/>
              </w:rPr>
            </w:pPr>
            <w:r>
              <w:rPr>
                <w:rFonts w:ascii="Arial" w:cs="Arial" w:eastAsia="Arial" w:hAnsi="Arial"/>
                <w:sz w:val="12"/>
                <w:szCs w:val="12"/>
                <w:b w:val="1"/>
                <w:bCs w:val="1"/>
                <w:color w:val="auto"/>
                <w:w w:val="98"/>
              </w:rPr>
              <w:t>CONSOLIDATED STATEMENTS OF OPERATIONS AND COMPREHENSIVE LOSS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8"/>
        </w:trPr>
        <w:tc>
          <w:tcPr>
            <w:tcW w:w="3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80" w:type="dxa"/>
            <w:vAlign w:val="bottom"/>
            <w:gridSpan w:val="8"/>
          </w:tcPr>
          <w:p>
            <w:pPr>
              <w:jc w:val="center"/>
              <w:ind w:right="700"/>
              <w:spacing w:after="0"/>
              <w:rPr>
                <w:sz w:val="20"/>
                <w:szCs w:val="20"/>
                <w:color w:val="auto"/>
              </w:rPr>
            </w:pPr>
            <w:r>
              <w:rPr>
                <w:rFonts w:ascii="Arial" w:cs="Arial" w:eastAsia="Arial" w:hAnsi="Arial"/>
                <w:sz w:val="12"/>
                <w:szCs w:val="12"/>
                <w:b w:val="1"/>
                <w:bCs w:val="1"/>
                <w:color w:val="auto"/>
                <w:w w:val="88"/>
              </w:rPr>
              <w:t>(in thousands, except per share data)</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3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42"/>
        </w:trPr>
        <w:tc>
          <w:tcPr>
            <w:tcW w:w="30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2"/>
                <w:szCs w:val="12"/>
                <w:b w:val="1"/>
                <w:bCs w:val="1"/>
                <w:color w:val="auto"/>
                <w:w w:val="89"/>
              </w:rPr>
              <w:t>2019</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2018</w:t>
            </w:r>
          </w:p>
        </w:tc>
      </w:tr>
      <w:tr>
        <w:trPr>
          <w:trHeight w:val="133"/>
        </w:trPr>
        <w:tc>
          <w:tcPr>
            <w:tcW w:w="30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Collaboration revenue</w:t>
            </w:r>
          </w:p>
        </w:tc>
        <w:tc>
          <w:tcPr>
            <w:tcW w:w="1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3"/>
              <w:spacing w:after="0" w:line="133" w:lineRule="exact"/>
              <w:rPr>
                <w:sz w:val="20"/>
                <w:szCs w:val="20"/>
                <w:color w:val="auto"/>
              </w:rPr>
            </w:pPr>
            <w:r>
              <w:rPr>
                <w:rFonts w:ascii="Arial" w:cs="Arial" w:eastAsia="Arial" w:hAnsi="Arial"/>
                <w:sz w:val="12"/>
                <w:szCs w:val="12"/>
                <w:color w:val="auto"/>
              </w:rPr>
              <w:t>9,539</w:t>
            </w: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20,789</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15,753</w:t>
            </w:r>
          </w:p>
        </w:tc>
      </w:tr>
      <w:tr>
        <w:trPr>
          <w:trHeight w:val="144"/>
        </w:trPr>
        <w:tc>
          <w:tcPr>
            <w:tcW w:w="3020" w:type="dxa"/>
            <w:vAlign w:val="bottom"/>
          </w:tcPr>
          <w:p>
            <w:pPr>
              <w:spacing w:after="0"/>
              <w:rPr>
                <w:sz w:val="20"/>
                <w:szCs w:val="20"/>
                <w:color w:val="auto"/>
              </w:rPr>
            </w:pPr>
            <w:r>
              <w:rPr>
                <w:rFonts w:ascii="Arial" w:cs="Arial" w:eastAsia="Arial" w:hAnsi="Arial"/>
                <w:sz w:val="12"/>
                <w:szCs w:val="12"/>
                <w:color w:val="auto"/>
              </w:rPr>
              <w:t>Operating expenses:</w:t>
            </w: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3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Research and development, net</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57,846</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33,640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16,982</w:t>
            </w:r>
          </w:p>
        </w:tc>
      </w:tr>
      <w:tr>
        <w:trPr>
          <w:trHeight w:val="153"/>
        </w:trPr>
        <w:tc>
          <w:tcPr>
            <w:tcW w:w="30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General and administrative</w:t>
            </w:r>
          </w:p>
        </w:tc>
        <w:tc>
          <w:tcPr>
            <w:tcW w:w="15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2"/>
                <w:szCs w:val="12"/>
                <w:color w:val="auto"/>
              </w:rPr>
              <w:t>23,217</w:t>
            </w:r>
          </w:p>
        </w:tc>
        <w:tc>
          <w:tcPr>
            <w:tcW w:w="2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12,662</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20,582</w:t>
            </w:r>
          </w:p>
        </w:tc>
      </w:tr>
      <w:tr>
        <w:trPr>
          <w:trHeight w:val="133"/>
        </w:trPr>
        <w:tc>
          <w:tcPr>
            <w:tcW w:w="3020" w:type="dxa"/>
            <w:vAlign w:val="bottom"/>
            <w:shd w:val="clear" w:color="auto" w:fill="CCEEFF"/>
          </w:tcPr>
          <w:p>
            <w:pPr>
              <w:ind w:left="320"/>
              <w:spacing w:after="0" w:line="133" w:lineRule="exact"/>
              <w:rPr>
                <w:sz w:val="20"/>
                <w:szCs w:val="20"/>
                <w:color w:val="auto"/>
              </w:rPr>
            </w:pPr>
            <w:r>
              <w:rPr>
                <w:rFonts w:ascii="Arial" w:cs="Arial" w:eastAsia="Arial" w:hAnsi="Arial"/>
                <w:sz w:val="12"/>
                <w:szCs w:val="12"/>
                <w:color w:val="auto"/>
              </w:rPr>
              <w:t>Total operating expenses</w:t>
            </w:r>
          </w:p>
        </w:tc>
        <w:tc>
          <w:tcPr>
            <w:tcW w:w="1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gridSpan w:val="2"/>
            <w:shd w:val="clear" w:color="auto" w:fill="CCEEFF"/>
          </w:tcPr>
          <w:p>
            <w:pPr>
              <w:jc w:val="right"/>
              <w:ind w:right="43"/>
              <w:spacing w:after="0" w:line="133" w:lineRule="exact"/>
              <w:rPr>
                <w:sz w:val="20"/>
                <w:szCs w:val="20"/>
                <w:color w:val="auto"/>
              </w:rPr>
            </w:pPr>
            <w:r>
              <w:rPr>
                <w:rFonts w:ascii="Arial" w:cs="Arial" w:eastAsia="Arial" w:hAnsi="Arial"/>
                <w:sz w:val="12"/>
                <w:szCs w:val="12"/>
                <w:color w:val="auto"/>
              </w:rPr>
              <w:t>81,063</w:t>
            </w:r>
          </w:p>
        </w:tc>
        <w:tc>
          <w:tcPr>
            <w:tcW w:w="2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46,302</w:t>
            </w:r>
          </w:p>
        </w:tc>
        <w:tc>
          <w:tcPr>
            <w:tcW w:w="60" w:type="dxa"/>
            <w:vAlign w:val="bottom"/>
            <w:tcBorders>
              <w:bottom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37,564</w:t>
            </w:r>
          </w:p>
        </w:tc>
      </w:tr>
      <w:tr>
        <w:trPr>
          <w:trHeight w:val="133"/>
        </w:trPr>
        <w:tc>
          <w:tcPr>
            <w:tcW w:w="3020" w:type="dxa"/>
            <w:vAlign w:val="bottom"/>
          </w:tcPr>
          <w:p>
            <w:pPr>
              <w:spacing w:after="0" w:line="133" w:lineRule="exact"/>
              <w:rPr>
                <w:sz w:val="20"/>
                <w:szCs w:val="20"/>
                <w:color w:val="auto"/>
              </w:rPr>
            </w:pPr>
            <w:r>
              <w:rPr>
                <w:rFonts w:ascii="Arial" w:cs="Arial" w:eastAsia="Arial" w:hAnsi="Arial"/>
                <w:sz w:val="12"/>
                <w:szCs w:val="12"/>
                <w:color w:val="auto"/>
              </w:rPr>
              <w:t>Loss from operations</w:t>
            </w: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3"/>
              <w:spacing w:after="0" w:line="133" w:lineRule="exact"/>
              <w:rPr>
                <w:sz w:val="20"/>
                <w:szCs w:val="20"/>
                <w:color w:val="auto"/>
              </w:rPr>
            </w:pPr>
            <w:r>
              <w:rPr>
                <w:rFonts w:ascii="Arial" w:cs="Arial" w:eastAsia="Arial" w:hAnsi="Arial"/>
                <w:sz w:val="12"/>
                <w:szCs w:val="12"/>
                <w:color w:val="auto"/>
              </w:rPr>
              <w:t>(71,524)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(25,513)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20"/>
              <w:spacing w:after="0" w:line="133" w:lineRule="exact"/>
              <w:rPr>
                <w:sz w:val="20"/>
                <w:szCs w:val="20"/>
                <w:color w:val="auto"/>
              </w:rPr>
            </w:pPr>
            <w:r>
              <w:rPr>
                <w:rFonts w:ascii="Arial" w:cs="Arial" w:eastAsia="Arial" w:hAnsi="Arial"/>
                <w:sz w:val="12"/>
                <w:szCs w:val="12"/>
                <w:color w:val="auto"/>
              </w:rPr>
              <w:t>(21,811)</w:t>
            </w:r>
          </w:p>
        </w:tc>
      </w:tr>
      <w:tr>
        <w:trPr>
          <w:trHeight w:val="144"/>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Loss from equity-method investment</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(263)</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(302)</w:t>
            </w:r>
          </w:p>
        </w:tc>
      </w:tr>
      <w:tr>
        <w:trPr>
          <w:trHeight w:val="153"/>
        </w:trPr>
        <w:tc>
          <w:tcPr>
            <w:tcW w:w="3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Finance (expense) income, net</w:t>
            </w:r>
          </w:p>
        </w:tc>
        <w:tc>
          <w:tcPr>
            <w:tcW w:w="15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2"/>
                <w:szCs w:val="12"/>
                <w:color w:val="auto"/>
              </w:rPr>
              <w:t>(361)</w:t>
            </w:r>
          </w:p>
        </w:tc>
        <w:tc>
          <w:tcPr>
            <w:tcW w:w="2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(446)</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328</w:t>
            </w:r>
          </w:p>
        </w:tc>
      </w:tr>
      <w:tr>
        <w:trPr>
          <w:trHeight w:val="162"/>
        </w:trPr>
        <w:tc>
          <w:tcPr>
            <w:tcW w:w="30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loss</w:t>
            </w:r>
          </w:p>
        </w:tc>
        <w:tc>
          <w:tcPr>
            <w:tcW w:w="1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3"/>
              <w:spacing w:after="0"/>
              <w:rPr>
                <w:sz w:val="20"/>
                <w:szCs w:val="20"/>
                <w:color w:val="auto"/>
              </w:rPr>
            </w:pPr>
            <w:r>
              <w:rPr>
                <w:rFonts w:ascii="Arial" w:cs="Arial" w:eastAsia="Arial" w:hAnsi="Arial"/>
                <w:sz w:val="12"/>
                <w:szCs w:val="12"/>
                <w:color w:val="auto"/>
              </w:rPr>
              <w:t>(72,148)</w:t>
            </w:r>
          </w:p>
        </w:tc>
        <w:tc>
          <w:tcPr>
            <w:tcW w:w="2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(25,991)</w:t>
            </w:r>
          </w:p>
        </w:tc>
        <w:tc>
          <w:tcPr>
            <w:tcW w:w="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(21,785)</w:t>
            </w:r>
          </w:p>
        </w:tc>
      </w:tr>
      <w:tr>
        <w:trPr>
          <w:trHeight w:val="138"/>
        </w:trPr>
        <w:tc>
          <w:tcPr>
            <w:tcW w:w="3020" w:type="dxa"/>
            <w:vAlign w:val="bottom"/>
            <w:tcBorders>
              <w:bottom w:val="single" w:sz="8" w:color="CCEEFF"/>
            </w:tcBorders>
          </w:tcPr>
          <w:p>
            <w:pPr>
              <w:spacing w:after="0" w:line="131" w:lineRule="exact"/>
              <w:rPr>
                <w:sz w:val="20"/>
                <w:szCs w:val="20"/>
                <w:color w:val="auto"/>
              </w:rPr>
            </w:pPr>
            <w:r>
              <w:rPr>
                <w:rFonts w:ascii="Arial" w:cs="Arial" w:eastAsia="Arial" w:hAnsi="Arial"/>
                <w:sz w:val="12"/>
                <w:szCs w:val="12"/>
                <w:color w:val="auto"/>
              </w:rPr>
              <w:t>Net loss per share, basic and diluted</w:t>
            </w:r>
          </w:p>
        </w:tc>
        <w:tc>
          <w:tcPr>
            <w:tcW w:w="15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72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3"/>
              <w:spacing w:after="0" w:line="131" w:lineRule="exact"/>
              <w:rPr>
                <w:sz w:val="20"/>
                <w:szCs w:val="20"/>
                <w:color w:val="auto"/>
              </w:rPr>
            </w:pPr>
            <w:r>
              <w:rPr>
                <w:rFonts w:ascii="Arial" w:cs="Arial" w:eastAsia="Arial" w:hAnsi="Arial"/>
                <w:sz w:val="12"/>
                <w:szCs w:val="12"/>
                <w:color w:val="auto"/>
              </w:rPr>
              <w:t>(3.55)</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tcPr>
          <w:p>
            <w:pPr>
              <w:jc w:val="right"/>
              <w:spacing w:after="0" w:line="131" w:lineRule="exact"/>
              <w:rPr>
                <w:sz w:val="20"/>
                <w:szCs w:val="20"/>
                <w:color w:val="auto"/>
              </w:rPr>
            </w:pPr>
            <w:r>
              <w:rPr>
                <w:rFonts w:ascii="Arial" w:cs="Arial" w:eastAsia="Arial" w:hAnsi="Arial"/>
                <w:sz w:val="12"/>
                <w:szCs w:val="12"/>
                <w:color w:val="auto"/>
              </w:rPr>
              <w:t>(2.15)</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
              <w:spacing w:after="0" w:line="131" w:lineRule="exact"/>
              <w:rPr>
                <w:sz w:val="20"/>
                <w:szCs w:val="20"/>
                <w:color w:val="auto"/>
              </w:rPr>
            </w:pPr>
            <w:r>
              <w:rPr>
                <w:rFonts w:ascii="Arial" w:cs="Arial" w:eastAsia="Arial" w:hAnsi="Arial"/>
                <w:sz w:val="12"/>
                <w:szCs w:val="12"/>
                <w:color w:val="auto"/>
              </w:rPr>
              <w:t>(2.16)</w:t>
            </w:r>
          </w:p>
        </w:tc>
      </w:tr>
      <w:tr>
        <w:trPr>
          <w:trHeight w:val="164"/>
        </w:trPr>
        <w:tc>
          <w:tcPr>
            <w:tcW w:w="30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Weighted-average shares outstanding, basic and diluted</w:t>
            </w:r>
          </w:p>
        </w:tc>
        <w:tc>
          <w:tcPr>
            <w:tcW w:w="1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2"/>
                <w:szCs w:val="12"/>
                <w:color w:val="auto"/>
              </w:rPr>
              <w:t>20,305</w:t>
            </w:r>
          </w:p>
        </w:tc>
        <w:tc>
          <w:tcPr>
            <w:tcW w:w="2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12,069</w:t>
            </w:r>
          </w:p>
        </w:tc>
        <w:tc>
          <w:tcPr>
            <w:tcW w:w="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10,069</w:t>
            </w:r>
          </w:p>
        </w:tc>
      </w:tr>
      <w:tr>
        <w:trPr>
          <w:trHeight w:val="131"/>
        </w:trPr>
        <w:tc>
          <w:tcPr>
            <w:tcW w:w="3020" w:type="dxa"/>
            <w:vAlign w:val="bottom"/>
          </w:tcPr>
          <w:p>
            <w:pPr>
              <w:spacing w:after="0" w:line="131" w:lineRule="exact"/>
              <w:rPr>
                <w:sz w:val="20"/>
                <w:szCs w:val="20"/>
                <w:color w:val="auto"/>
              </w:rPr>
            </w:pPr>
            <w:r>
              <w:rPr>
                <w:rFonts w:ascii="Arial" w:cs="Arial" w:eastAsia="Arial" w:hAnsi="Arial"/>
                <w:sz w:val="12"/>
                <w:szCs w:val="12"/>
                <w:color w:val="auto"/>
              </w:rPr>
              <w:t>Comprehensive loss:</w:t>
            </w: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4"/>
        </w:trPr>
        <w:tc>
          <w:tcPr>
            <w:tcW w:w="3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Net loss</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2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(72,148)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(25,991)</w:t>
            </w:r>
          </w:p>
        </w:tc>
        <w:tc>
          <w:tcPr>
            <w:tcW w:w="400" w:type="dxa"/>
            <w:vAlign w:val="bottom"/>
            <w:gridSpan w:val="3"/>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(21,785)</w:t>
            </w:r>
          </w:p>
        </w:tc>
      </w:tr>
      <w:tr>
        <w:trPr>
          <w:trHeight w:val="153"/>
        </w:trPr>
        <w:tc>
          <w:tcPr>
            <w:tcW w:w="302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Unrealized gain on short-term investments</w:t>
            </w:r>
          </w:p>
        </w:tc>
        <w:tc>
          <w:tcPr>
            <w:tcW w:w="15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w:t>
            </w:r>
          </w:p>
        </w:tc>
      </w:tr>
      <w:tr>
        <w:trPr>
          <w:trHeight w:val="142"/>
        </w:trPr>
        <w:tc>
          <w:tcPr>
            <w:tcW w:w="3020" w:type="dxa"/>
            <w:vAlign w:val="bottom"/>
            <w:shd w:val="clear" w:color="auto" w:fill="CCEEFF"/>
          </w:tcPr>
          <w:p>
            <w:pPr>
              <w:ind w:left="160"/>
              <w:spacing w:after="0" w:line="133" w:lineRule="exact"/>
              <w:rPr>
                <w:sz w:val="20"/>
                <w:szCs w:val="20"/>
                <w:color w:val="auto"/>
              </w:rPr>
            </w:pPr>
            <w:r>
              <w:rPr>
                <w:rFonts w:ascii="Arial" w:cs="Arial" w:eastAsia="Arial" w:hAnsi="Arial"/>
                <w:sz w:val="12"/>
                <w:szCs w:val="12"/>
                <w:color w:val="auto"/>
              </w:rPr>
              <w:t>Comprehensive loss</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
              <w:spacing w:after="0"/>
              <w:rPr>
                <w:sz w:val="20"/>
                <w:szCs w:val="20"/>
                <w:color w:val="auto"/>
              </w:rPr>
            </w:pPr>
            <w:r>
              <w:rPr>
                <w:rFonts w:ascii="Arial" w:cs="Arial" w:eastAsia="Arial" w:hAnsi="Arial"/>
                <w:sz w:val="12"/>
                <w:szCs w:val="12"/>
                <w:color w:val="auto"/>
              </w:rPr>
              <w:t>(72,148)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(25,991)</w:t>
            </w:r>
          </w:p>
        </w:tc>
        <w:tc>
          <w:tcPr>
            <w:tcW w:w="400" w:type="dxa"/>
            <w:vAlign w:val="bottom"/>
            <w:gridSpan w:val="3"/>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(21,782)</w:t>
            </w:r>
          </w:p>
        </w:tc>
      </w:tr>
      <w:tr>
        <w:trPr>
          <w:trHeight w:val="27"/>
        </w:trPr>
        <w:tc>
          <w:tcPr>
            <w:tcW w:w="30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gridSpan w:val="2"/>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r>
      <w:tr>
        <w:trPr>
          <w:trHeight w:val="293"/>
        </w:trPr>
        <w:tc>
          <w:tcPr>
            <w:tcW w:w="3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4"/>
              </w:rPr>
              <w:t>Fourth Quarter 2019</w:t>
            </w:r>
          </w:p>
        </w:tc>
        <w:tc>
          <w:tcPr>
            <w:tcW w:w="60" w:type="dxa"/>
            <w:vAlign w:val="bottom"/>
          </w:tcPr>
          <w:p>
            <w:pPr>
              <w:spacing w:after="0"/>
              <w:rPr>
                <w:sz w:val="24"/>
                <w:szCs w:val="2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3"/>
              </w:rPr>
              <w:t>First Quarter 2020</w:t>
            </w:r>
          </w:p>
        </w:tc>
        <w:tc>
          <w:tcPr>
            <w:tcW w:w="1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w w:val="89"/>
              </w:rPr>
              <w:t>Second Quarter 2020</w:t>
            </w:r>
          </w:p>
        </w:tc>
        <w:tc>
          <w:tcPr>
            <w:tcW w:w="220" w:type="dxa"/>
            <w:vAlign w:val="bottom"/>
          </w:tcPr>
          <w:p>
            <w:pPr>
              <w:spacing w:after="0"/>
              <w:rPr>
                <w:sz w:val="24"/>
                <w:szCs w:val="24"/>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2"/>
                <w:szCs w:val="12"/>
                <w:b w:val="1"/>
                <w:bCs w:val="1"/>
                <w:color w:val="auto"/>
                <w:w w:val="95"/>
              </w:rPr>
              <w:t>Third Quarter 2020</w:t>
            </w:r>
          </w:p>
        </w:tc>
        <w:tc>
          <w:tcPr>
            <w:tcW w:w="1120" w:type="dxa"/>
            <w:vAlign w:val="bottom"/>
            <w:gridSpan w:val="2"/>
          </w:tcPr>
          <w:p>
            <w:pPr>
              <w:jc w:val="right"/>
              <w:spacing w:after="0"/>
              <w:rPr>
                <w:sz w:val="20"/>
                <w:szCs w:val="20"/>
                <w:color w:val="auto"/>
              </w:rPr>
            </w:pPr>
            <w:r>
              <w:rPr>
                <w:rFonts w:ascii="Arial" w:cs="Arial" w:eastAsia="Arial" w:hAnsi="Arial"/>
                <w:sz w:val="12"/>
                <w:szCs w:val="12"/>
                <w:b w:val="1"/>
                <w:bCs w:val="1"/>
                <w:color w:val="auto"/>
                <w:w w:val="94"/>
              </w:rPr>
              <w:t>Fourth Quarter 2020</w:t>
            </w:r>
          </w:p>
        </w:tc>
      </w:tr>
      <w:tr>
        <w:trPr>
          <w:trHeight w:val="157"/>
        </w:trPr>
        <w:tc>
          <w:tcPr>
            <w:tcW w:w="3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1"/>
              </w:rPr>
              <w:t>(unaudited)</w:t>
            </w:r>
          </w:p>
        </w:tc>
        <w:tc>
          <w:tcPr>
            <w:tcW w:w="60" w:type="dxa"/>
            <w:vAlign w:val="bottom"/>
          </w:tcPr>
          <w:p>
            <w:pPr>
              <w:spacing w:after="0"/>
              <w:rPr>
                <w:sz w:val="13"/>
                <w:szCs w:val="13"/>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1"/>
              </w:rPr>
              <w:t>(unaudited)</w:t>
            </w:r>
          </w:p>
        </w:tc>
        <w:tc>
          <w:tcPr>
            <w:tcW w:w="120" w:type="dxa"/>
            <w:vAlign w:val="bottom"/>
          </w:tcPr>
          <w:p>
            <w:pPr>
              <w:spacing w:after="0"/>
              <w:rPr>
                <w:sz w:val="13"/>
                <w:szCs w:val="13"/>
                <w:color w:val="auto"/>
              </w:rPr>
            </w:pPr>
          </w:p>
        </w:tc>
        <w:tc>
          <w:tcPr>
            <w:tcW w:w="1120" w:type="dxa"/>
            <w:vAlign w:val="bottom"/>
            <w:gridSpan w:val="3"/>
          </w:tcPr>
          <w:p>
            <w:pPr>
              <w:jc w:val="right"/>
              <w:ind w:right="208"/>
              <w:spacing w:after="0"/>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3"/>
                <w:szCs w:val="13"/>
                <w:color w:val="auto"/>
              </w:rPr>
            </w:pPr>
          </w:p>
        </w:tc>
        <w:tc>
          <w:tcPr>
            <w:tcW w:w="13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1"/>
              </w:rPr>
              <w:t>(unaudited)</w:t>
            </w:r>
          </w:p>
        </w:tc>
        <w:tc>
          <w:tcPr>
            <w:tcW w:w="160" w:type="dxa"/>
            <w:vAlign w:val="bottom"/>
          </w:tcPr>
          <w:p>
            <w:pPr>
              <w:spacing w:after="0"/>
              <w:rPr>
                <w:sz w:val="13"/>
                <w:szCs w:val="13"/>
                <w:color w:val="auto"/>
              </w:rPr>
            </w:pPr>
          </w:p>
        </w:tc>
        <w:tc>
          <w:tcPr>
            <w:tcW w:w="960" w:type="dxa"/>
            <w:vAlign w:val="bottom"/>
          </w:tcPr>
          <w:p>
            <w:pPr>
              <w:jc w:val="right"/>
              <w:ind w:right="200"/>
              <w:spacing w:after="0"/>
              <w:rPr>
                <w:sz w:val="20"/>
                <w:szCs w:val="20"/>
                <w:color w:val="auto"/>
              </w:rPr>
            </w:pPr>
            <w:r>
              <w:rPr>
                <w:rFonts w:ascii="Arial" w:cs="Arial" w:eastAsia="Arial" w:hAnsi="Arial"/>
                <w:sz w:val="12"/>
                <w:szCs w:val="12"/>
                <w:b w:val="1"/>
                <w:bCs w:val="1"/>
                <w:color w:val="auto"/>
              </w:rPr>
              <w:t>(unaudited)</w:t>
            </w:r>
          </w:p>
        </w:tc>
      </w:tr>
      <w:tr>
        <w:trPr>
          <w:trHeight w:val="133"/>
        </w:trPr>
        <w:tc>
          <w:tcPr>
            <w:tcW w:w="30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Collaboration revenue</w:t>
            </w:r>
          </w:p>
        </w:tc>
        <w:tc>
          <w:tcPr>
            <w:tcW w:w="1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2,968</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gridSpan w:val="2"/>
            <w:shd w:val="clear" w:color="auto" w:fill="CCEEFF"/>
          </w:tcPr>
          <w:p>
            <w:pPr>
              <w:jc w:val="right"/>
              <w:ind w:right="69"/>
              <w:spacing w:after="0" w:line="133" w:lineRule="exact"/>
              <w:rPr>
                <w:sz w:val="20"/>
                <w:szCs w:val="20"/>
                <w:color w:val="auto"/>
              </w:rPr>
            </w:pPr>
            <w:r>
              <w:rPr>
                <w:rFonts w:ascii="Arial" w:cs="Arial" w:eastAsia="Arial" w:hAnsi="Arial"/>
                <w:sz w:val="12"/>
                <w:szCs w:val="12"/>
                <w:color w:val="auto"/>
              </w:rPr>
              <w:t>2,646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gridSpan w:val="2"/>
            <w:shd w:val="clear" w:color="auto" w:fill="CCEEFF"/>
          </w:tcPr>
          <w:p>
            <w:pPr>
              <w:jc w:val="right"/>
              <w:ind w:right="68"/>
              <w:spacing w:after="0" w:line="133" w:lineRule="exact"/>
              <w:rPr>
                <w:sz w:val="20"/>
                <w:szCs w:val="20"/>
                <w:color w:val="auto"/>
              </w:rPr>
            </w:pPr>
            <w:r>
              <w:rPr>
                <w:rFonts w:ascii="Arial" w:cs="Arial" w:eastAsia="Arial" w:hAnsi="Arial"/>
                <w:sz w:val="12"/>
                <w:szCs w:val="12"/>
                <w:color w:val="auto"/>
              </w:rPr>
              <w:t>2,322</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ind w:right="600"/>
              <w:spacing w:after="0" w:line="133" w:lineRule="exact"/>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gridSpan w:val="3"/>
            <w:shd w:val="clear" w:color="auto" w:fill="CCEEFF"/>
          </w:tcPr>
          <w:p>
            <w:pPr>
              <w:jc w:val="right"/>
              <w:ind w:right="72"/>
              <w:spacing w:after="0" w:line="133" w:lineRule="exact"/>
              <w:rPr>
                <w:sz w:val="20"/>
                <w:szCs w:val="20"/>
                <w:color w:val="auto"/>
              </w:rPr>
            </w:pPr>
            <w:r>
              <w:rPr>
                <w:rFonts w:ascii="Arial" w:cs="Arial" w:eastAsia="Arial" w:hAnsi="Arial"/>
                <w:sz w:val="12"/>
                <w:szCs w:val="12"/>
                <w:color w:val="auto"/>
                <w:w w:val="86"/>
              </w:rPr>
              <w:t>2,333</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2,238</w:t>
            </w:r>
          </w:p>
        </w:tc>
      </w:tr>
      <w:tr>
        <w:trPr>
          <w:trHeight w:val="144"/>
        </w:trPr>
        <w:tc>
          <w:tcPr>
            <w:tcW w:w="3020" w:type="dxa"/>
            <w:vAlign w:val="bottom"/>
          </w:tcPr>
          <w:p>
            <w:pPr>
              <w:spacing w:after="0"/>
              <w:rPr>
                <w:sz w:val="20"/>
                <w:szCs w:val="20"/>
                <w:color w:val="auto"/>
              </w:rPr>
            </w:pPr>
            <w:r>
              <w:rPr>
                <w:rFonts w:ascii="Arial" w:cs="Arial" w:eastAsia="Arial" w:hAnsi="Arial"/>
                <w:sz w:val="12"/>
                <w:szCs w:val="12"/>
                <w:color w:val="auto"/>
              </w:rPr>
              <w:t>Research and development expenses, net</w:t>
            </w: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11,994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69"/>
              <w:spacing w:after="0"/>
              <w:rPr>
                <w:sz w:val="20"/>
                <w:szCs w:val="20"/>
                <w:color w:val="auto"/>
              </w:rPr>
            </w:pPr>
            <w:r>
              <w:rPr>
                <w:rFonts w:ascii="Arial" w:cs="Arial" w:eastAsia="Arial" w:hAnsi="Arial"/>
                <w:sz w:val="12"/>
                <w:szCs w:val="12"/>
                <w:color w:val="auto"/>
              </w:rPr>
              <w:t>7,917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2"/>
                <w:szCs w:val="12"/>
                <w:color w:val="auto"/>
              </w:rPr>
              <w:t>7,944</w:t>
            </w:r>
          </w:p>
        </w:tc>
        <w:tc>
          <w:tcPr>
            <w:tcW w:w="1340" w:type="dxa"/>
            <w:vAlign w:val="bottom"/>
            <w:gridSpan w:val="5"/>
          </w:tcPr>
          <w:p>
            <w:pPr>
              <w:jc w:val="right"/>
              <w:ind w:right="72"/>
              <w:spacing w:after="0"/>
              <w:rPr>
                <w:sz w:val="20"/>
                <w:szCs w:val="20"/>
                <w:color w:val="auto"/>
              </w:rPr>
            </w:pPr>
            <w:r>
              <w:rPr>
                <w:rFonts w:ascii="Arial" w:cs="Arial" w:eastAsia="Arial" w:hAnsi="Arial"/>
                <w:sz w:val="12"/>
                <w:szCs w:val="12"/>
                <w:color w:val="auto"/>
              </w:rPr>
              <w:t>17,699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24,286</w:t>
            </w:r>
          </w:p>
        </w:tc>
      </w:tr>
      <w:tr>
        <w:trPr>
          <w:trHeight w:val="144"/>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1,791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9"/>
              <w:spacing w:after="0"/>
              <w:rPr>
                <w:sz w:val="20"/>
                <w:szCs w:val="20"/>
                <w:color w:val="auto"/>
              </w:rPr>
            </w:pPr>
            <w:r>
              <w:rPr>
                <w:rFonts w:ascii="Arial" w:cs="Arial" w:eastAsia="Arial" w:hAnsi="Arial"/>
                <w:sz w:val="12"/>
                <w:szCs w:val="12"/>
                <w:color w:val="auto"/>
              </w:rPr>
              <w:t>4,191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2"/>
                <w:szCs w:val="12"/>
                <w:color w:val="auto"/>
              </w:rPr>
              <w:t>4,420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w w:val="86"/>
              </w:rPr>
              <w:t>5,572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9,034</w:t>
            </w:r>
          </w:p>
        </w:tc>
      </w:tr>
      <w:tr>
        <w:trPr>
          <w:trHeight w:val="144"/>
        </w:trPr>
        <w:tc>
          <w:tcPr>
            <w:tcW w:w="3020" w:type="dxa"/>
            <w:vAlign w:val="bottom"/>
          </w:tcPr>
          <w:p>
            <w:pPr>
              <w:spacing w:after="0"/>
              <w:rPr>
                <w:sz w:val="20"/>
                <w:szCs w:val="20"/>
                <w:color w:val="auto"/>
              </w:rPr>
            </w:pPr>
            <w:r>
              <w:rPr>
                <w:rFonts w:ascii="Arial" w:cs="Arial" w:eastAsia="Arial" w:hAnsi="Arial"/>
                <w:sz w:val="12"/>
                <w:szCs w:val="12"/>
                <w:color w:val="auto"/>
              </w:rPr>
              <w:t>Loss from operations</w:t>
            </w: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(10,817)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29"/>
              <w:spacing w:after="0"/>
              <w:rPr>
                <w:sz w:val="20"/>
                <w:szCs w:val="20"/>
                <w:color w:val="auto"/>
              </w:rPr>
            </w:pPr>
            <w:r>
              <w:rPr>
                <w:rFonts w:ascii="Arial" w:cs="Arial" w:eastAsia="Arial" w:hAnsi="Arial"/>
                <w:sz w:val="12"/>
                <w:szCs w:val="12"/>
                <w:color w:val="auto"/>
              </w:rPr>
              <w:t>(9,462)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2"/>
                <w:szCs w:val="12"/>
                <w:color w:val="auto"/>
              </w:rPr>
              <w:t>(10,042)</w:t>
            </w:r>
          </w:p>
        </w:tc>
        <w:tc>
          <w:tcPr>
            <w:tcW w:w="1340" w:type="dxa"/>
            <w:vAlign w:val="bottom"/>
            <w:gridSpan w:val="5"/>
          </w:tcPr>
          <w:p>
            <w:pPr>
              <w:jc w:val="right"/>
              <w:ind w:right="32"/>
              <w:spacing w:after="0"/>
              <w:rPr>
                <w:sz w:val="20"/>
                <w:szCs w:val="20"/>
                <w:color w:val="auto"/>
              </w:rPr>
            </w:pPr>
            <w:r>
              <w:rPr>
                <w:rFonts w:ascii="Arial" w:cs="Arial" w:eastAsia="Arial" w:hAnsi="Arial"/>
                <w:sz w:val="12"/>
                <w:szCs w:val="12"/>
                <w:color w:val="auto"/>
              </w:rPr>
              <w:t>(20,938)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(31,082)</w:t>
            </w:r>
          </w:p>
        </w:tc>
      </w:tr>
      <w:tr>
        <w:trPr>
          <w:trHeight w:val="144"/>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(10,989)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9"/>
              <w:spacing w:after="0"/>
              <w:rPr>
                <w:sz w:val="20"/>
                <w:szCs w:val="20"/>
                <w:color w:val="auto"/>
              </w:rPr>
            </w:pPr>
            <w:r>
              <w:rPr>
                <w:rFonts w:ascii="Arial" w:cs="Arial" w:eastAsia="Arial" w:hAnsi="Arial"/>
                <w:sz w:val="12"/>
                <w:szCs w:val="12"/>
                <w:color w:val="auto"/>
              </w:rPr>
              <w:t>(9,777)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(10,263)</w:t>
            </w:r>
          </w:p>
        </w:tc>
        <w:tc>
          <w:tcPr>
            <w:tcW w:w="1340" w:type="dxa"/>
            <w:vAlign w:val="bottom"/>
            <w:gridSpan w:val="5"/>
            <w:shd w:val="clear" w:color="auto" w:fill="CCEEFF"/>
          </w:tcPr>
          <w:p>
            <w:pPr>
              <w:jc w:val="right"/>
              <w:ind w:right="32"/>
              <w:spacing w:after="0"/>
              <w:rPr>
                <w:sz w:val="20"/>
                <w:szCs w:val="20"/>
                <w:color w:val="auto"/>
              </w:rPr>
            </w:pPr>
            <w:r>
              <w:rPr>
                <w:rFonts w:ascii="Arial" w:cs="Arial" w:eastAsia="Arial" w:hAnsi="Arial"/>
                <w:sz w:val="12"/>
                <w:szCs w:val="12"/>
                <w:color w:val="auto"/>
              </w:rPr>
              <w:t>(21,004)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(31,104)</w:t>
            </w:r>
          </w:p>
        </w:tc>
      </w:tr>
      <w:tr>
        <w:trPr>
          <w:trHeight w:val="144"/>
        </w:trPr>
        <w:tc>
          <w:tcPr>
            <w:tcW w:w="3020" w:type="dxa"/>
            <w:vAlign w:val="bottom"/>
          </w:tcPr>
          <w:p>
            <w:pPr>
              <w:spacing w:after="0"/>
              <w:rPr>
                <w:sz w:val="20"/>
                <w:szCs w:val="20"/>
                <w:color w:val="auto"/>
              </w:rPr>
            </w:pPr>
            <w:r>
              <w:rPr>
                <w:rFonts w:ascii="Arial" w:cs="Arial" w:eastAsia="Arial" w:hAnsi="Arial"/>
                <w:sz w:val="12"/>
                <w:szCs w:val="12"/>
                <w:color w:val="auto"/>
              </w:rPr>
              <w:t>Net loss per share, basic and diluted</w:t>
            </w:r>
          </w:p>
        </w:tc>
        <w:tc>
          <w:tcPr>
            <w:tcW w:w="1960" w:type="dxa"/>
            <w:vAlign w:val="bottom"/>
            <w:gridSpan w:val="3"/>
          </w:tcPr>
          <w:p>
            <w:pPr>
              <w:jc w:val="right"/>
              <w:ind w:right="46"/>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(0.76)</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9"/>
              <w:spacing w:after="0"/>
              <w:rPr>
                <w:sz w:val="20"/>
                <w:szCs w:val="20"/>
                <w:color w:val="auto"/>
              </w:rPr>
            </w:pPr>
            <w:r>
              <w:rPr>
                <w:rFonts w:ascii="Arial" w:cs="Arial" w:eastAsia="Arial" w:hAnsi="Arial"/>
                <w:sz w:val="12"/>
                <w:szCs w:val="12"/>
                <w:color w:val="auto"/>
              </w:rPr>
              <w:t>(0.67)</w:t>
            </w:r>
          </w:p>
        </w:tc>
        <w:tc>
          <w:tcPr>
            <w:tcW w:w="100" w:type="dxa"/>
            <w:vAlign w:val="bottom"/>
          </w:tcPr>
          <w:p>
            <w:pPr>
              <w:spacing w:after="0"/>
              <w:rPr>
                <w:sz w:val="12"/>
                <w:szCs w:val="12"/>
                <w:color w:val="auto"/>
              </w:rPr>
            </w:pPr>
          </w:p>
        </w:tc>
        <w:tc>
          <w:tcPr>
            <w:tcW w:w="540" w:type="dxa"/>
            <w:vAlign w:val="bottom"/>
            <w:gridSpan w:val="2"/>
          </w:tcPr>
          <w:p>
            <w:pPr>
              <w:jc w:val="right"/>
              <w:ind w:right="303"/>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8"/>
              <w:spacing w:after="0"/>
              <w:rPr>
                <w:sz w:val="20"/>
                <w:szCs w:val="20"/>
                <w:color w:val="auto"/>
              </w:rPr>
            </w:pPr>
            <w:r>
              <w:rPr>
                <w:rFonts w:ascii="Arial" w:cs="Arial" w:eastAsia="Arial" w:hAnsi="Arial"/>
                <w:sz w:val="12"/>
                <w:szCs w:val="12"/>
                <w:color w:val="auto"/>
              </w:rPr>
              <w:t>(0.55)</w:t>
            </w:r>
          </w:p>
        </w:tc>
        <w:tc>
          <w:tcPr>
            <w:tcW w:w="9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t>
            </w:r>
          </w:p>
        </w:tc>
        <w:tc>
          <w:tcPr>
            <w:tcW w:w="400" w:type="dxa"/>
            <w:vAlign w:val="bottom"/>
            <w:gridSpan w:val="3"/>
          </w:tcPr>
          <w:p>
            <w:pPr>
              <w:jc w:val="right"/>
              <w:ind w:right="32"/>
              <w:spacing w:after="0"/>
              <w:rPr>
                <w:sz w:val="20"/>
                <w:szCs w:val="20"/>
                <w:color w:val="auto"/>
              </w:rPr>
            </w:pPr>
            <w:r>
              <w:rPr>
                <w:rFonts w:ascii="Arial" w:cs="Arial" w:eastAsia="Arial" w:hAnsi="Arial"/>
                <w:sz w:val="12"/>
                <w:szCs w:val="12"/>
                <w:color w:val="auto"/>
                <w:w w:val="95"/>
              </w:rPr>
              <w:t>(0.92)</w:t>
            </w:r>
          </w:p>
        </w:tc>
        <w:tc>
          <w:tcPr>
            <w:tcW w:w="220" w:type="dxa"/>
            <w:vAlign w:val="bottom"/>
          </w:tcPr>
          <w:p>
            <w:pPr>
              <w:spacing w:after="0"/>
              <w:rPr>
                <w:sz w:val="12"/>
                <w:szCs w:val="12"/>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(1.25)</w:t>
            </w:r>
          </w:p>
        </w:tc>
      </w:tr>
      <w:tr>
        <w:trPr>
          <w:trHeight w:val="144"/>
        </w:trPr>
        <w:tc>
          <w:tcPr>
            <w:tcW w:w="30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 basic and diluted</w:t>
            </w: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14,505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9"/>
              <w:spacing w:after="0"/>
              <w:rPr>
                <w:sz w:val="20"/>
                <w:szCs w:val="20"/>
                <w:color w:val="auto"/>
              </w:rPr>
            </w:pPr>
            <w:r>
              <w:rPr>
                <w:rFonts w:ascii="Arial" w:cs="Arial" w:eastAsia="Arial" w:hAnsi="Arial"/>
                <w:sz w:val="12"/>
                <w:szCs w:val="12"/>
                <w:color w:val="auto"/>
              </w:rPr>
              <w:t>14,521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2"/>
                <w:szCs w:val="12"/>
                <w:color w:val="auto"/>
              </w:rPr>
              <w:t>18,794</w:t>
            </w:r>
          </w:p>
        </w:tc>
        <w:tc>
          <w:tcPr>
            <w:tcW w:w="1340" w:type="dxa"/>
            <w:vAlign w:val="bottom"/>
            <w:gridSpan w:val="5"/>
            <w:shd w:val="clear" w:color="auto" w:fill="CCEEFF"/>
          </w:tcPr>
          <w:p>
            <w:pPr>
              <w:jc w:val="right"/>
              <w:ind w:right="72"/>
              <w:spacing w:after="0"/>
              <w:rPr>
                <w:sz w:val="20"/>
                <w:szCs w:val="20"/>
                <w:color w:val="auto"/>
              </w:rPr>
            </w:pPr>
            <w:r>
              <w:rPr>
                <w:rFonts w:ascii="Arial" w:cs="Arial" w:eastAsia="Arial" w:hAnsi="Arial"/>
                <w:sz w:val="12"/>
                <w:szCs w:val="12"/>
                <w:color w:val="auto"/>
              </w:rPr>
              <w:t>22,938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24,886</w:t>
            </w:r>
          </w:p>
        </w:tc>
      </w:tr>
    </w:tbl>
    <w:p>
      <w:pPr>
        <w:sectPr>
          <w:pgSz w:w="11900" w:h="16838" w:orient="portrait"/>
          <w:cols w:equalWidth="0" w:num="1">
            <w:col w:w="11300"/>
          </w:cols>
          <w:pgMar w:left="300" w:top="514" w:right="299" w:bottom="1440"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274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274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274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274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477520</wp:posOffset>
            </wp:positionV>
            <wp:extent cx="7218680" cy="42748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2748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74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218680" cy="4114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
      <w:numFmt w:val="bullet"/>
      <w:start w:val="1"/>
    </w:lvl>
  </w:abstractNum>
  <w:abstractNum w:abstractNumId="2">
    <w:nsid w:val="507ED7AB"/>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858"/>
    </w:lvl>
  </w:abstractNum>
  <w:abstractNum w:abstractNumId="8">
    <w:nsid w:val="5BD062C2"/>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2021-03-01T15:51:15Z</dcterms:created>
  <dcterms:modified xsi:type="dcterms:W3CDTF">2021-03-01T15:51:15Z</dcterms:modified>
</cp:coreProperties>
</file>