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May 21, 2013</w:t>
      </w:r>
    </w:p>
    <w:p>
      <w:pPr>
        <w:spacing w:after="0" w:line="39"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Alcobra Ltd.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jc w:val="center"/>
        <w:ind w:right="800"/>
        <w:spacing w:after="0"/>
        <w:rPr>
          <w:sz w:val="20"/>
          <w:szCs w:val="20"/>
          <w:color w:val="auto"/>
        </w:rPr>
      </w:pPr>
      <w:r>
        <w:rPr>
          <w:rFonts w:ascii="Arial" w:cs="Arial" w:eastAsia="Arial" w:hAnsi="Arial"/>
          <w:sz w:val="17"/>
          <w:szCs w:val="17"/>
          <w:i w:val="1"/>
          <w:iCs w:val="1"/>
          <w:color w:val="auto"/>
        </w:rPr>
        <w:t>incorporation or organization)</w:t>
      </w:r>
    </w:p>
    <w:p>
      <w:pPr>
        <w:spacing w:after="0" w:line="218" w:lineRule="exact"/>
        <w:rPr>
          <w:sz w:val="24"/>
          <w:szCs w:val="24"/>
          <w:color w:val="auto"/>
        </w:rPr>
      </w:pPr>
    </w:p>
    <w:p>
      <w:pPr>
        <w:jc w:val="center"/>
        <w:ind w:left="1120"/>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ind w:left="1120"/>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4"/>
          <w:szCs w:val="24"/>
          <w:color w:val="auto"/>
        </w:rPr>
      </w:pPr>
    </w:p>
    <w:p>
      <w:pPr>
        <w:jc w:val="center"/>
        <w:ind w:left="1120"/>
        <w:spacing w:after="0"/>
        <w:rPr>
          <w:sz w:val="20"/>
          <w:szCs w:val="20"/>
          <w:color w:val="auto"/>
        </w:rPr>
      </w:pPr>
      <w:r>
        <w:rPr>
          <w:rFonts w:ascii="Arial" w:cs="Arial" w:eastAsia="Arial" w:hAnsi="Arial"/>
          <w:sz w:val="18"/>
          <w:szCs w:val="18"/>
          <w:b w:val="1"/>
          <w:bCs w:val="1"/>
          <w:color w:val="auto"/>
        </w:rPr>
        <w:t>35 Ehad Ha-Am Street</w:t>
      </w:r>
    </w:p>
    <w:p>
      <w:pPr>
        <w:jc w:val="center"/>
        <w:ind w:left="1080"/>
        <w:spacing w:after="0" w:line="18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left="1120"/>
        <w:spacing w:after="0"/>
        <w:rPr>
          <w:sz w:val="20"/>
          <w:szCs w:val="20"/>
          <w:color w:val="auto"/>
        </w:rPr>
      </w:pPr>
      <w:r>
        <w:rPr>
          <w:rFonts w:ascii="Arial" w:cs="Arial" w:eastAsia="Arial" w:hAnsi="Arial"/>
          <w:sz w:val="18"/>
          <w:szCs w:val="18"/>
          <w:b w:val="1"/>
          <w:bCs w:val="1"/>
          <w:color w:val="auto"/>
        </w:rPr>
        <w:t>Tel-Aviv, Israel 65202</w:t>
      </w:r>
    </w:p>
    <w:p>
      <w:pPr>
        <w:spacing w:after="0" w:line="7"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6"/>
          <w:szCs w:val="16"/>
          <w:i w:val="1"/>
          <w:iCs w:val="1"/>
          <w:color w:val="auto"/>
        </w:rPr>
        <w:t>(Address, including zip code, and telephone</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6"/>
          <w:szCs w:val="16"/>
          <w:i w:val="1"/>
          <w:iCs w:val="1"/>
          <w:color w:val="auto"/>
        </w:rPr>
        <w:t>number,including area code, of registrant’s</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8"/>
          <w:szCs w:val="18"/>
          <w:i w:val="1"/>
          <w:iCs w:val="1"/>
          <w:color w:val="auto"/>
        </w:rPr>
        <w:t>principal executive offices)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w:t>
            </w:r>
          </w:p>
        </w:tc>
        <w:tc>
          <w:tcPr>
            <w:tcW w:w="2720" w:type="dxa"/>
            <w:vAlign w:val="bottom"/>
          </w:tcPr>
          <w:p>
            <w:pPr>
              <w:jc w:val="center"/>
              <w:ind w:left="95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160" w:type="dxa"/>
            <w:vAlign w:val="bottom"/>
          </w:tcPr>
          <w:p>
            <w:pPr>
              <w:jc w:val="center"/>
              <w:ind w:right="950"/>
              <w:spacing w:after="0"/>
              <w:rPr>
                <w:sz w:val="20"/>
                <w:szCs w:val="20"/>
                <w:color w:val="auto"/>
              </w:rPr>
            </w:pPr>
            <w:r>
              <w:rPr>
                <w:rFonts w:ascii="Arial" w:cs="Arial" w:eastAsia="Arial" w:hAnsi="Arial"/>
                <w:sz w:val="18"/>
                <w:szCs w:val="18"/>
                <w:i w:val="1"/>
                <w:iCs w:val="1"/>
                <w:color w:val="auto"/>
                <w:w w:val="94"/>
              </w:rPr>
              <w:t>(Primary Standard Industrial</w:t>
            </w:r>
          </w:p>
        </w:tc>
        <w:tc>
          <w:tcPr>
            <w:tcW w:w="2720" w:type="dxa"/>
            <w:vAlign w:val="bottom"/>
          </w:tcPr>
          <w:p>
            <w:pPr>
              <w:jc w:val="center"/>
              <w:ind w:left="9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160" w:type="dxa"/>
            <w:vAlign w:val="bottom"/>
          </w:tcPr>
          <w:p>
            <w:pPr>
              <w:jc w:val="center"/>
              <w:ind w:right="950"/>
              <w:spacing w:after="0"/>
              <w:rPr>
                <w:sz w:val="20"/>
                <w:szCs w:val="20"/>
                <w:color w:val="auto"/>
              </w:rPr>
            </w:pPr>
            <w:r>
              <w:rPr>
                <w:rFonts w:ascii="Arial" w:cs="Arial" w:eastAsia="Arial" w:hAnsi="Arial"/>
                <w:sz w:val="18"/>
                <w:szCs w:val="18"/>
                <w:i w:val="1"/>
                <w:iCs w:val="1"/>
                <w:color w:val="auto"/>
                <w:w w:val="92"/>
              </w:rPr>
              <w:t>Classification Code Number)</w:t>
            </w:r>
          </w:p>
        </w:tc>
        <w:tc>
          <w:tcPr>
            <w:tcW w:w="2720" w:type="dxa"/>
            <w:vAlign w:val="bottom"/>
          </w:tcPr>
          <w:p>
            <w:pPr>
              <w:jc w:val="center"/>
              <w:ind w:left="97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4"/>
          <w:szCs w:val="24"/>
          <w:color w:val="auto"/>
        </w:rPr>
      </w:pPr>
    </w:p>
    <w:p>
      <w:pPr>
        <w:jc w:val="center"/>
        <w:ind w:left="-319"/>
        <w:spacing w:after="0"/>
        <w:rPr>
          <w:sz w:val="20"/>
          <w:szCs w:val="20"/>
          <w:color w:val="auto"/>
        </w:rPr>
      </w:pPr>
      <w:r>
        <w:rPr>
          <w:rFonts w:ascii="Arial" w:cs="Arial" w:eastAsia="Arial" w:hAnsi="Arial"/>
          <w:sz w:val="18"/>
          <w:szCs w:val="18"/>
          <w:b w:val="1"/>
          <w:bCs w:val="1"/>
          <w:color w:val="auto"/>
        </w:rPr>
        <w:t>Zysman, Aharoni, Gayer &amp;</w:t>
      </w:r>
    </w:p>
    <w:p>
      <w:pPr>
        <w:spacing w:after="0" w:line="27" w:lineRule="exact"/>
        <w:rPr>
          <w:sz w:val="24"/>
          <w:szCs w:val="24"/>
          <w:color w:val="auto"/>
        </w:rPr>
      </w:pPr>
    </w:p>
    <w:p>
      <w:pPr>
        <w:jc w:val="center"/>
        <w:ind w:left="-359"/>
        <w:spacing w:after="0"/>
        <w:rPr>
          <w:sz w:val="20"/>
          <w:szCs w:val="20"/>
          <w:color w:val="auto"/>
        </w:rPr>
      </w:pPr>
      <w:r>
        <w:rPr>
          <w:rFonts w:ascii="Arial" w:cs="Arial" w:eastAsia="Arial" w:hAnsi="Arial"/>
          <w:sz w:val="18"/>
          <w:szCs w:val="18"/>
          <w:b w:val="1"/>
          <w:bCs w:val="1"/>
          <w:color w:val="auto"/>
        </w:rPr>
        <w:t>Sullivan &amp; Worcester LLP</w:t>
      </w:r>
    </w:p>
    <w:p>
      <w:pPr>
        <w:spacing w:after="0" w:line="9" w:lineRule="exact"/>
        <w:rPr>
          <w:sz w:val="24"/>
          <w:szCs w:val="24"/>
          <w:color w:val="auto"/>
        </w:rPr>
      </w:pPr>
    </w:p>
    <w:p>
      <w:pPr>
        <w:jc w:val="center"/>
        <w:ind w:left="-359"/>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4"/>
          <w:szCs w:val="24"/>
          <w:color w:val="auto"/>
        </w:rPr>
      </w:pPr>
    </w:p>
    <w:p>
      <w:pPr>
        <w:jc w:val="center"/>
        <w:ind w:left="-35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left="-359"/>
        <w:spacing w:after="0"/>
        <w:rPr>
          <w:sz w:val="20"/>
          <w:szCs w:val="20"/>
          <w:color w:val="auto"/>
        </w:rPr>
      </w:pPr>
      <w:r>
        <w:rPr>
          <w:rFonts w:ascii="Arial" w:cs="Arial" w:eastAsia="Arial" w:hAnsi="Arial"/>
          <w:sz w:val="18"/>
          <w:szCs w:val="18"/>
          <w:b w:val="1"/>
          <w:bCs w:val="1"/>
          <w:color w:val="auto"/>
        </w:rPr>
        <w:t>Tel: 212.660.3000</w:t>
      </w:r>
    </w:p>
    <w:p>
      <w:pPr>
        <w:spacing w:after="0" w:line="9" w:lineRule="exact"/>
        <w:rPr>
          <w:sz w:val="24"/>
          <w:szCs w:val="24"/>
          <w:color w:val="auto"/>
        </w:rPr>
      </w:pPr>
    </w:p>
    <w:p>
      <w:pPr>
        <w:jc w:val="both"/>
        <w:ind w:left="1820" w:right="1200" w:hanging="19"/>
        <w:spacing w:after="0" w:line="323" w:lineRule="auto"/>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600" w:lineRule="exact"/>
        <w:rPr>
          <w:sz w:val="24"/>
          <w:szCs w:val="24"/>
          <w:color w:val="auto"/>
        </w:rPr>
      </w:pPr>
    </w:p>
    <w:p>
      <w:pPr>
        <w:sectPr>
          <w:pgSz w:w="11900" w:h="16838" w:orient="portrait"/>
          <w:cols w:equalWidth="0" w:num="2">
            <w:col w:w="4260" w:space="520"/>
            <w:col w:w="6640"/>
          </w:cols>
          <w:pgMar w:left="240" w:top="472" w:right="239" w:bottom="1440" w:gutter="0" w:footer="0" w:header="0"/>
          <w:type w:val="continuous"/>
        </w:sectPr>
      </w:pP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3500" w:type="dxa"/>
            <w:vAlign w:val="bottom"/>
          </w:tcPr>
          <w:p>
            <w:pPr>
              <w:ind w:left="2680"/>
              <w:spacing w:after="0"/>
              <w:rPr>
                <w:sz w:val="20"/>
                <w:szCs w:val="20"/>
                <w:color w:val="auto"/>
              </w:rPr>
            </w:pPr>
            <w:r>
              <w:rPr>
                <w:rFonts w:ascii="Arial" w:cs="Arial" w:eastAsia="Arial" w:hAnsi="Arial"/>
                <w:sz w:val="18"/>
                <w:szCs w:val="18"/>
                <w:b w:val="1"/>
                <w:bCs w:val="1"/>
                <w:i w:val="1"/>
                <w:iCs w:val="1"/>
                <w:color w:val="auto"/>
                <w:w w:val="90"/>
              </w:rPr>
              <w:t>Copies to:</w:t>
            </w:r>
          </w:p>
        </w:tc>
        <w:tc>
          <w:tcPr>
            <w:tcW w:w="24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Edwin L. Miller Jr.</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Eran Ben-Dor</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5"/>
              </w:rPr>
              <w:t>Henry I. Rothman</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Barry Levenfeld</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Oded Har-Even</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Zysman, Aharoni, Gayer &amp; Co.</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7"/>
              </w:rPr>
              <w:t>Joseph Walsh</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Eric Spindel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Shy S. Baranov</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41-45 Rothschild Blvd.</w:t>
            </w: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Troutman Sanders LLP</w:t>
            </w:r>
          </w:p>
        </w:tc>
        <w:tc>
          <w:tcPr>
            <w:tcW w:w="214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Yigal Arnon &amp; Co.</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rPr>
              <w:t>ZAG/S&amp;W LLP</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Beit Zion</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The Chrysler Building</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4"/>
              </w:rPr>
              <w:t>1 Azrieli Center</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1633 Broadway</w:t>
            </w:r>
          </w:p>
        </w:tc>
        <w:tc>
          <w:tcPr>
            <w:tcW w:w="3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Tel-Aviv, Israel 65784</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405 Lexington Avenue</w:t>
            </w:r>
          </w:p>
        </w:tc>
        <w:tc>
          <w:tcPr>
            <w:tcW w:w="21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Tel-Aviv, Israel</w:t>
            </w:r>
          </w:p>
        </w:tc>
      </w:tr>
      <w:tr>
        <w:trPr>
          <w:trHeight w:val="216"/>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New York, NY 10019</w:t>
            </w:r>
          </w:p>
        </w:tc>
        <w:tc>
          <w:tcPr>
            <w:tcW w:w="3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Tel: +972.3.795.5555</w:t>
            </w:r>
          </w:p>
        </w:tc>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New York, NY 10174</w:t>
            </w: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 +972.3.608.7868</w:t>
            </w:r>
          </w:p>
        </w:tc>
      </w:tr>
      <w:tr>
        <w:trPr>
          <w:trHeight w:val="234"/>
        </w:trPr>
        <w:tc>
          <w:tcPr>
            <w:tcW w:w="20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Tel: 212.660.3000</w:t>
            </w:r>
          </w:p>
        </w:tc>
        <w:tc>
          <w:tcPr>
            <w:tcW w:w="3500" w:type="dxa"/>
            <w:vAlign w:val="bottom"/>
          </w:tcPr>
          <w:p>
            <w:pPr>
              <w:spacing w:after="0"/>
              <w:rPr>
                <w:sz w:val="20"/>
                <w:szCs w:val="20"/>
                <w:color w:val="auto"/>
              </w:rPr>
            </w:pPr>
          </w:p>
        </w:tc>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Tel: 212.704.6000</w:t>
            </w:r>
          </w:p>
        </w:tc>
        <w:tc>
          <w:tcPr>
            <w:tcW w:w="21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w:t>
      </w:r>
    </w:p>
    <w:p>
      <w:pPr>
        <w:spacing w:after="0" w:line="229"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333-186003</w:t>
      </w:r>
    </w:p>
    <w:p>
      <w:pPr>
        <w:spacing w:after="0" w:line="1" w:lineRule="exact"/>
        <w:rPr>
          <w:sz w:val="24"/>
          <w:szCs w:val="24"/>
          <w:color w:val="auto"/>
        </w:rPr>
      </w:pPr>
    </w:p>
    <w:p>
      <w:pPr>
        <w:ind w:right="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740"/>
        <w:spacing w:after="0" w:line="22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6"/>
          </w:tcPr>
          <w:p>
            <w:pPr>
              <w:jc w:val="right"/>
              <w:ind w:right="71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Proposed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to</w:t>
            </w:r>
          </w:p>
        </w:tc>
        <w:tc>
          <w:tcPr>
            <w:tcW w:w="240" w:type="dxa"/>
            <w:vAlign w:val="bottom"/>
          </w:tcPr>
          <w:p>
            <w:pPr>
              <w:spacing w:after="0"/>
              <w:rPr>
                <w:sz w:val="18"/>
                <w:szCs w:val="18"/>
                <w:color w:val="auto"/>
              </w:rPr>
            </w:pPr>
          </w:p>
        </w:tc>
        <w:tc>
          <w:tcPr>
            <w:tcW w:w="112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4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be</w:t>
            </w:r>
          </w:p>
        </w:tc>
        <w:tc>
          <w:tcPr>
            <w:tcW w:w="24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Price Per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4780" w:type="dxa"/>
            <w:vAlign w:val="bottom"/>
          </w:tcPr>
          <w:p>
            <w:pPr>
              <w:ind w:left="880"/>
              <w:spacing w:after="0"/>
              <w:rPr>
                <w:sz w:val="20"/>
                <w:szCs w:val="20"/>
                <w:color w:val="auto"/>
              </w:rPr>
            </w:pPr>
            <w:r>
              <w:rPr>
                <w:rFonts w:ascii="Arial" w:cs="Arial" w:eastAsia="Arial" w:hAnsi="Arial"/>
                <w:sz w:val="18"/>
                <w:szCs w:val="18"/>
                <w:b w:val="1"/>
                <w:bCs w:val="1"/>
                <w:color w:val="auto"/>
                <w:w w:val="92"/>
              </w:rPr>
              <w:t>Title of Each Class of Securities to be Registered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40" w:type="dxa"/>
            <w:vAlign w:val="bottom"/>
          </w:tcPr>
          <w:p>
            <w:pPr>
              <w:spacing w:after="0"/>
              <w:rPr>
                <w:sz w:val="20"/>
                <w:szCs w:val="20"/>
                <w:color w:val="auto"/>
              </w:rPr>
            </w:pP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Fee(1)</w:t>
            </w:r>
          </w:p>
        </w:tc>
      </w:tr>
      <w:tr>
        <w:trPr>
          <w:trHeight w:val="210"/>
        </w:trPr>
        <w:tc>
          <w:tcPr>
            <w:tcW w:w="47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Ordinary shares, par value NIS 0.01 per share</w:t>
            </w:r>
          </w:p>
        </w:tc>
        <w:tc>
          <w:tcPr>
            <w:tcW w:w="7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853,125</w:t>
            </w:r>
          </w:p>
        </w:tc>
        <w:tc>
          <w:tcPr>
            <w:tcW w:w="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ind w:right="9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6,825,001</w:t>
            </w: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top w:val="single" w:sz="8" w:color="CCFFCC"/>
            </w:tcBorders>
            <w:shd w:val="clear" w:color="auto" w:fill="CCFFCC"/>
          </w:tcPr>
          <w:p>
            <w:pPr>
              <w:spacing w:after="0"/>
              <w:rPr>
                <w:sz w:val="18"/>
                <w:szCs w:val="18"/>
                <w:color w:val="auto"/>
              </w:rPr>
            </w:pPr>
          </w:p>
        </w:tc>
      </w:tr>
      <w:tr>
        <w:trPr>
          <w:trHeight w:val="243"/>
        </w:trPr>
        <w:tc>
          <w:tcPr>
            <w:tcW w:w="4780" w:type="dxa"/>
            <w:vAlign w:val="bottom"/>
          </w:tcPr>
          <w:p>
            <w:pPr>
              <w:spacing w:after="0"/>
              <w:rPr>
                <w:sz w:val="21"/>
                <w:szCs w:val="21"/>
                <w:color w:val="auto"/>
              </w:rPr>
            </w:pPr>
          </w:p>
        </w:tc>
        <w:tc>
          <w:tcPr>
            <w:tcW w:w="2100" w:type="dxa"/>
            <w:vAlign w:val="bottom"/>
            <w:gridSpan w:val="3"/>
          </w:tcPr>
          <w:p>
            <w:pPr>
              <w:jc w:val="right"/>
              <w:ind w:right="129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6,825,001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4"/>
          <w:szCs w:val="24"/>
          <w:color w:val="auto"/>
        </w:rPr>
      </w:pPr>
    </w:p>
    <w:p>
      <w:pPr>
        <w:jc w:val="both"/>
        <w:ind w:left="660" w:hanging="652"/>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hereby certifies to the Securities and Exchange Commission (the “Commission”) that (i) the registrant has instructed its bank to pay the Commission the filing fee of $931 for the additional securities being registered under this registration statement as soon as practicable but no later than the close of business on May 21, 2013; (ii) the registrant will not revoke such instructions; (iii) the registrant has sufficient funds in the relevant account to cover the amount of the filing fee; and (iv) the registrant undertakes to confirm receipt of such instructions by the bank on May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Registration Statement on Form F-1 is being filed pursuant to Rule 462(b) under the Securities Act of 1933, as amended. Alcobra, Ltd. (the “Company”) hereby incorporates by reference into this Registration Statement on Form F-1 the Registration Statement on Form F-1 (File No. 333-186003), as amended, in its entirety, registering 853,125 shares for sale by it and declared effective on May 21, 2013 by the Securities and Exchange Commission (the “Commission”), including each of the documents filed by the Company with the Commission and incorporated or deemed to be incorporated by reference in such Registration Statement and all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the exhibits filed with or incorporated by reference in Registration Statement No. 333-186003 are incorporated by reference into, and shall be deemed part of, this Registration Statement, except the following, which are filed 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0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418"/>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Opinion of Zysman, Aharoni, Gayer &amp; Co., Israeli counsel to the Company, as to the validity of the ordinary shares being offered</w:t>
            </w:r>
          </w:p>
        </w:tc>
      </w:tr>
      <w:tr>
        <w:trPr>
          <w:trHeight w:val="230"/>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(including consent)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Kost Forer Gabbay &amp; Kasierer (a Member of Ernst &amp; Young Global)</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648"/>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May 21, 2013.</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Dr. Yaron Daniely</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315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400" w:firstLine="47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70"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8"/>
          <w:szCs w:val="18"/>
          <w:color w:val="auto"/>
        </w:rPr>
        <w:t>The undersigned officers and directors of Alcobra Ltd. hereby constitute and appoint Dr. Yaron Daniely and Udi Gilboa, and each of them singly, with full power of substitution,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related to this offering.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r>
      <w:tr>
        <w:trPr>
          <w:trHeight w:val="655"/>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Yaron Daniely</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2060" w:type="dxa"/>
            <w:vAlign w:val="bottom"/>
          </w:tcPr>
          <w:p>
            <w:pPr>
              <w:spacing w:after="0"/>
              <w:rPr>
                <w:sz w:val="20"/>
                <w:szCs w:val="20"/>
                <w:color w:val="auto"/>
              </w:rPr>
            </w:pPr>
            <w:r>
              <w:rPr>
                <w:rFonts w:ascii="Arial" w:cs="Arial" w:eastAsia="Arial" w:hAnsi="Arial"/>
                <w:sz w:val="18"/>
                <w:szCs w:val="18"/>
                <w:color w:val="auto"/>
              </w:rPr>
              <w:t>May 21,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Yaron Daniely</w:t>
            </w: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Udi Gilboa</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060" w:type="dxa"/>
            <w:vAlign w:val="bottom"/>
          </w:tcPr>
          <w:p>
            <w:pPr>
              <w:spacing w:after="0"/>
              <w:rPr>
                <w:sz w:val="20"/>
                <w:szCs w:val="20"/>
                <w:color w:val="auto"/>
              </w:rPr>
            </w:pPr>
            <w:r>
              <w:rPr>
                <w:rFonts w:ascii="Arial" w:cs="Arial" w:eastAsia="Arial" w:hAnsi="Arial"/>
                <w:sz w:val="18"/>
                <w:szCs w:val="18"/>
                <w:color w:val="auto"/>
              </w:rPr>
              <w:t>May 21,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Udi Gilboa</w:t>
            </w: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and Accounting Officer) and Director</w:t>
            </w:r>
          </w:p>
        </w:tc>
        <w:tc>
          <w:tcPr>
            <w:tcW w:w="20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060" w:type="dxa"/>
            <w:vAlign w:val="bottom"/>
          </w:tcPr>
          <w:p>
            <w:pPr>
              <w:spacing w:after="0"/>
              <w:rPr>
                <w:sz w:val="20"/>
                <w:szCs w:val="20"/>
                <w:color w:val="auto"/>
              </w:rPr>
            </w:pPr>
            <w:r>
              <w:rPr>
                <w:rFonts w:ascii="Arial" w:cs="Arial" w:eastAsia="Arial" w:hAnsi="Arial"/>
                <w:sz w:val="18"/>
                <w:szCs w:val="18"/>
                <w:color w:val="auto"/>
              </w:rPr>
              <w:t>May 21, 2013</w:t>
            </w:r>
          </w:p>
        </w:tc>
      </w:tr>
      <w:tr>
        <w:trPr>
          <w:trHeight w:val="224"/>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Dr. Aharon Schwartz</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Dalia Megiddo</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May 21, 2013</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Dalia Megiddo</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Geffken</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May 21, 2013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May 21, 2013.</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SULLIVAN &amp; WORCESTER LLP</w:t>
      </w:r>
    </w:p>
    <w:p>
      <w:pPr>
        <w:spacing w:after="0" w:line="211" w:lineRule="exact"/>
        <w:rPr>
          <w:sz w:val="20"/>
          <w:szCs w:val="20"/>
          <w:color w:val="auto"/>
        </w:rPr>
      </w:pPr>
    </w:p>
    <w:p>
      <w:pPr>
        <w:jc w:val="center"/>
        <w:ind w:left="4420"/>
        <w:spacing w:after="0"/>
        <w:tabs>
          <w:tab w:leader="none" w:pos="22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23495</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Zysman, Aharoni, Gayer and Co.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Ehad Ha’am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6520206, 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We have acted as Israeli counsel for Alcobra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underwritten initial public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Company of up to an aggregate of 853,125 shares (the “</w:t>
      </w:r>
      <w:r>
        <w:rPr>
          <w:rFonts w:ascii="Arial" w:cs="Arial" w:eastAsia="Arial" w:hAnsi="Arial"/>
          <w:sz w:val="18"/>
          <w:szCs w:val="18"/>
          <w:b w:val="1"/>
          <w:bCs w:val="1"/>
          <w:color w:val="auto"/>
        </w:rPr>
        <w:t>Offered Shares</w:t>
      </w:r>
      <w:r>
        <w:rPr>
          <w:rFonts w:ascii="Arial" w:cs="Arial" w:eastAsia="Arial" w:hAnsi="Arial"/>
          <w:sz w:val="18"/>
          <w:szCs w:val="18"/>
          <w:color w:val="auto"/>
        </w:rPr>
        <w:t>”) of the Company’s ordinary shares, par value NIS 0.01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including shares issuable upon exercise of the underwriters’ over-allotment option. This opinion letter is rendered pursuant to Item 8(a) of Form F-1 of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Item 601(b)(5) of the SEC’s Regulation S-K under the United States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herewith, we have examined the originals, photocopies or copies, certified or otherwise identified to our satisfaction, of: (i) the form of the registration statement on Form F-1 , filed by the Company with the SEC and to which this opinion is attached as an exhibit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(ii) the exhibits to the Registration Statement including the form of Underwriting Agreement between the Company and Aegis Capital Corp., as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several underwriters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(iii) copies of the articles of association of the Company, as currently in effect;</w:t>
      </w:r>
    </w:p>
    <w:p>
      <w:pPr>
        <w:spacing w:after="0" w:line="2" w:lineRule="exact"/>
        <w:rPr>
          <w:sz w:val="20"/>
          <w:szCs w:val="20"/>
          <w:color w:val="auto"/>
        </w:rPr>
      </w:pPr>
    </w:p>
    <w:p>
      <w:pPr>
        <w:ind w:right="2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copies of the amended and restated articles of association of the Company to become effective concurrently with the Offering; (v) resolutions of the board of directors of the Company which have heretofore been approved which relate to the Registration Statement and the actions to be taken in connection with the Offering; and (vi) such other corporate records, agreements, documents and other instruments, and such certificates or comparable documents of public officials and of officers and representatives of the Company, and have made inquires of such officers and representatives as we have deemed relevant and necessary as a basis for the opinions hereafter set forth.</w:t>
      </w:r>
    </w:p>
    <w:p>
      <w:pPr>
        <w:spacing w:after="0" w:line="19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upon and subject to the foregoing, we are of the opinion that (i) the Offered Shares have been duly authorized for issuance by all necessary corporate action by the Company; and (ii) upon payment to the Company of the consideration in such amount and form as shall be determined by the board of directors of the Company or an authorized committee thereof, the Offered Shares, when issued and sold in the Offering as described in the Registration Statement, will be validly issued, fully paid and non-assessable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We are members of the Bar of the State of Israel and we do not express any opinion as to the laws of any other jurisdiction other than those of the State of Israel.</w:t>
      </w:r>
    </w:p>
    <w:p>
      <w:pPr>
        <w:spacing w:after="0" w:line="170"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Act or the rules and regulations of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Zysman, Aharoni, Gayer &amp; Co/</w:t>
      </w: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8" w:right="5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14, 2013 (Except for Note 9.a and Note 13 to which the date is May 20, 2013) with respect to the financial statements of Alcobra Ltd. Included in the Registration Statement on Form F-1 and related Prospectus of Alcobra Ltd., dated May 21,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720" w:type="dxa"/>
            <w:vAlign w:val="bottom"/>
          </w:tcPr>
          <w:p>
            <w:pPr>
              <w:ind w:left="2580"/>
              <w:spacing w:after="0"/>
              <w:rPr>
                <w:sz w:val="20"/>
                <w:szCs w:val="20"/>
                <w:color w:val="auto"/>
              </w:rPr>
            </w:pPr>
            <w:r>
              <w:rPr>
                <w:rFonts w:ascii="Arial" w:cs="Arial" w:eastAsia="Arial" w:hAnsi="Arial"/>
                <w:sz w:val="18"/>
                <w:szCs w:val="18"/>
                <w:color w:val="auto"/>
              </w:rPr>
              <w:t>/s/ KOST, FORER, GABBAY &amp;</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Tel-Aviv, Israel</w:t>
            </w:r>
          </w:p>
        </w:tc>
        <w:tc>
          <w:tcPr>
            <w:tcW w:w="7720" w:type="dxa"/>
            <w:vAlign w:val="bottom"/>
          </w:tcPr>
          <w:p>
            <w:pPr>
              <w:ind w:left="2580"/>
              <w:spacing w:after="0"/>
              <w:rPr>
                <w:sz w:val="20"/>
                <w:szCs w:val="20"/>
                <w:color w:val="auto"/>
              </w:rPr>
            </w:pPr>
            <w:r>
              <w:rPr>
                <w:rFonts w:ascii="Arial" w:cs="Arial" w:eastAsia="Arial" w:hAnsi="Arial"/>
                <w:sz w:val="18"/>
                <w:szCs w:val="18"/>
                <w:color w:val="auto"/>
              </w:rPr>
              <w:t>KASIERER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May 21, 2013</w:t>
            </w:r>
          </w:p>
        </w:tc>
        <w:tc>
          <w:tcPr>
            <w:tcW w:w="7720" w:type="dxa"/>
            <w:vAlign w:val="bottom"/>
          </w:tcPr>
          <w:p>
            <w:pPr>
              <w:ind w:left="2580"/>
              <w:spacing w:after="0"/>
              <w:rPr>
                <w:sz w:val="20"/>
                <w:szCs w:val="20"/>
                <w:color w:val="auto"/>
              </w:rPr>
            </w:pPr>
            <w:r>
              <w:rPr>
                <w:rFonts w:ascii="Arial" w:cs="Arial" w:eastAsia="Arial" w:hAnsi="Arial"/>
                <w:sz w:val="18"/>
                <w:szCs w:val="18"/>
                <w:color w:val="auto"/>
              </w:rPr>
              <w:t>A member of Ernst &amp; Young Global</w:t>
            </w:r>
          </w:p>
        </w:tc>
      </w:tr>
      <w:tr>
        <w:trPr>
          <w:trHeight w:val="648"/>
        </w:trPr>
        <w:tc>
          <w:tcPr>
            <w:tcW w:w="37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2019-12-08T05:17:35Z</dcterms:created>
  <dcterms:modified xsi:type="dcterms:W3CDTF">2019-12-08T05:17:35Z</dcterms:modified>
</cp:coreProperties>
</file>