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November 2013</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November 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76"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Yaron Daniely</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 w:name="page3"/>
    <w:bookmarkEnd w:id="2"/>
    <w:p>
      <w:pPr>
        <w:jc w:val="right"/>
        <w:spacing w:after="0"/>
        <w:rPr>
          <w:sz w:val="20"/>
          <w:szCs w:val="20"/>
          <w:color w:val="auto"/>
        </w:rPr>
      </w:pPr>
      <w:r>
        <w:rPr>
          <w:rFonts w:ascii="Arial" w:cs="Arial" w:eastAsia="Arial" w:hAnsi="Arial"/>
          <w:sz w:val="15"/>
          <w:szCs w:val="15"/>
          <w:b w:val="1"/>
          <w:bCs w:val="1"/>
          <w:color w:val="auto"/>
        </w:rPr>
        <w:t>News Release</w:t>
      </w:r>
    </w:p>
    <w:p>
      <w:pPr>
        <w:sectPr>
          <w:pgSz w:w="11900" w:h="16838" w:orient="portrait"/>
          <w:cols w:equalWidth="0" w:num="1">
            <w:col w:w="11420"/>
          </w:cols>
          <w:pgMar w:left="240" w:top="904" w:right="23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Goldberger / Garth Russell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+1 212.896.1249 / +1 212.896.1250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jgoldberger@kcsa.com / grussell@kcsa.com</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Israel Investor Contact: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 Dagan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+011972-3-5167620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mor@km-ir.co.il</w:t>
      </w:r>
    </w:p>
    <w:p>
      <w:pPr>
        <w:spacing w:after="0" w:line="200" w:lineRule="exact"/>
        <w:rPr>
          <w:sz w:val="20"/>
          <w:szCs w:val="20"/>
          <w:color w:val="auto"/>
        </w:rPr>
      </w:pPr>
    </w:p>
    <w:p>
      <w:pPr>
        <w:sectPr>
          <w:pgSz w:w="11900" w:h="16838" w:orient="portrait"/>
          <w:cols w:equalWidth="0" w:num="2">
            <w:col w:w="5000" w:space="720"/>
            <w:col w:w="5700"/>
          </w:cols>
          <w:pgMar w:left="240" w:top="904" w:right="2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 REPORTS THIRD QUARTER 2013 RESULTS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Tel Aviv, Israel (November 7, 2013) </w:t>
      </w:r>
      <w:r>
        <w:rPr>
          <w:rFonts w:ascii="Arial" w:cs="Arial" w:eastAsia="Arial" w:hAnsi="Arial"/>
          <w:sz w:val="18"/>
          <w:szCs w:val="18"/>
          <w:color w:val="auto"/>
        </w:rPr>
        <w:t>– Alcobra Ltd. (NASDAQCM: ADHD) (the “Company”), an emerging biopharmaceutical company primarily focused</w:t>
      </w:r>
      <w:r>
        <w:rPr>
          <w:rFonts w:ascii="Arial" w:cs="Arial" w:eastAsia="Arial" w:hAnsi="Arial"/>
          <w:sz w:val="18"/>
          <w:szCs w:val="18"/>
          <w:b w:val="1"/>
          <w:bCs w:val="1"/>
          <w:color w:val="auto"/>
        </w:rPr>
        <w:t xml:space="preserve"> </w:t>
      </w:r>
      <w:r>
        <w:rPr>
          <w:rFonts w:ascii="Arial" w:cs="Arial" w:eastAsia="Arial" w:hAnsi="Arial"/>
          <w:sz w:val="18"/>
          <w:szCs w:val="18"/>
          <w:color w:val="auto"/>
        </w:rPr>
        <w:t>on the development and commercialization of its proprietary drug candidate, MG01CI (Metadoxine extended-release), to treat cognitive dysfunctions, such as ADHD and Fragile X Syndrome, today reported its results for the quarter ended September 30, 2013.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29" w:lineRule="exact"/>
        <w:rPr>
          <w:sz w:val="20"/>
          <w:szCs w:val="20"/>
          <w:color w:val="auto"/>
        </w:rPr>
      </w:pPr>
    </w:p>
    <w:p>
      <w:pPr>
        <w:ind w:left="66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Received positive pre-clinical results showing significant improvement in cognitive and social functioning following treatment with Metadoxine (MG01CI) in a Fragile X syndrome study</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   Results presented at the FRAXA Investigators Meeting in Southbridge, MA</w:t>
      </w:r>
    </w:p>
    <w:p>
      <w:pPr>
        <w:spacing w:after="0" w:line="9" w:lineRule="exact"/>
        <w:rPr>
          <w:rFonts w:ascii="Arial" w:cs="Arial" w:eastAsia="Arial" w:hAnsi="Arial"/>
          <w:sz w:val="18"/>
          <w:szCs w:val="18"/>
          <w:color w:val="auto"/>
        </w:rPr>
      </w:pPr>
    </w:p>
    <w:p>
      <w:pPr>
        <w:ind w:left="660" w:right="20" w:hanging="328"/>
        <w:spacing w:after="0" w:line="265"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Enrolled first patient in a 36-patient placebo-controlled Phase II clinical study comparing the efficacy of varied dosage levels of MG01CI to treat and improve cognitive dysfunctions in adult patients with Predominantly Inattentive Attention Deficit Disorder (PI-ADHD)</w:t>
      </w: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Received new pre-clinical results linking MG01CI mechanism of action to established molecular targets and neurophysiological activities involved in treating cognitive dysfunctions</w:t>
      </w:r>
    </w:p>
    <w:p>
      <w:pPr>
        <w:ind w:left="980"/>
        <w:spacing w:after="0"/>
        <w:rPr>
          <w:rFonts w:ascii="Arial" w:cs="Arial" w:eastAsia="Arial" w:hAnsi="Arial"/>
          <w:sz w:val="18"/>
          <w:szCs w:val="18"/>
          <w:color w:val="auto"/>
        </w:rPr>
      </w:pPr>
      <w:r>
        <w:rPr>
          <w:rFonts w:ascii="Arial" w:cs="Arial" w:eastAsia="Arial" w:hAnsi="Arial"/>
          <w:sz w:val="18"/>
          <w:szCs w:val="18"/>
          <w:color w:val="auto"/>
        </w:rPr>
        <w:t>o   MG01CI showed no effect on dopamine or noradrenaline targets in brain unlike currently available ADHD therapies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Selected Premier Research as its Clinical Research Organization (CRO) to conduct a Phase III clinical study of MG01CI in adults with ADHD</w:t>
      </w:r>
    </w:p>
    <w:p>
      <w:pPr>
        <w:spacing w:after="0" w:line="20" w:lineRule="exact"/>
        <w:rPr>
          <w:rFonts w:ascii="Arial" w:cs="Arial" w:eastAsia="Arial" w:hAnsi="Arial"/>
          <w:sz w:val="17"/>
          <w:szCs w:val="17"/>
          <w:color w:val="auto"/>
        </w:rPr>
      </w:pPr>
    </w:p>
    <w:p>
      <w:pPr>
        <w:ind w:left="660" w:hanging="328"/>
        <w:spacing w:after="0" w:line="220" w:lineRule="auto"/>
        <w:tabs>
          <w:tab w:leader="none" w:pos="660" w:val="left"/>
        </w:tabs>
        <w:numPr>
          <w:ilvl w:val="0"/>
          <w:numId w:val="1"/>
        </w:numPr>
        <w:rPr>
          <w:rFonts w:ascii="Arial" w:cs="Arial" w:eastAsia="Arial" w:hAnsi="Arial"/>
          <w:sz w:val="36"/>
          <w:szCs w:val="36"/>
          <w:color w:val="auto"/>
          <w:vertAlign w:val="superscript"/>
        </w:rPr>
      </w:pPr>
      <w:r>
        <w:rPr>
          <w:rFonts w:ascii="Arial" w:cs="Arial" w:eastAsia="Arial" w:hAnsi="Arial"/>
          <w:sz w:val="18"/>
          <w:szCs w:val="18"/>
          <w:color w:val="auto"/>
        </w:rPr>
        <w:t>Raised approximately $38 million in a public offering that closed on October 30</w:t>
      </w:r>
      <w:r>
        <w:rPr>
          <w:rFonts w:ascii="Arial" w:cs="Arial" w:eastAsia="Arial" w:hAnsi="Arial"/>
          <w:sz w:val="30"/>
          <w:szCs w:val="30"/>
          <w:color w:val="auto"/>
          <w:vertAlign w:val="superscript"/>
        </w:rPr>
        <w:t>th</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we made steady progress advancing the pre-clinical and clinical research of our primary drug candidate, MG01CI, which included expanding our research beyond ADHD to include other cognitive disorders such as Fragile X Syndrome,” stated Dr. Yaron Daniely, President and CEO of Alcobra. “In addition, we enrolled our first patient in a Phase II clinical study to compare the efficacy of varied dosage levels of MGO1CI to potentially treat and improve cognitive dysfunctions in adult patients with PI-ADHD.”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Dr. Daniely continued, “Our primary focus over the past several months has been preparing for our first U.S. Phase III clinical study for MG01CI in adults with ADHD. Most recently, we named Premier Research as the Clinical Research Organization to conduct this trial. With our CRO now in place, we are preparing to launch this multi-site study in nearly 20 select clinical sites in the USA and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 w:name="page4"/>
    <w:bookmarkEnd w:id="3"/>
    <w:p>
      <w:pPr>
        <w:jc w:val="both"/>
        <w:spacing w:after="0" w:line="286" w:lineRule="auto"/>
        <w:rPr>
          <w:sz w:val="20"/>
          <w:szCs w:val="20"/>
          <w:color w:val="auto"/>
        </w:rPr>
      </w:pPr>
      <w:r>
        <w:rPr>
          <w:rFonts w:ascii="Arial" w:cs="Arial" w:eastAsia="Arial" w:hAnsi="Arial"/>
          <w:sz w:val="17"/>
          <w:szCs w:val="17"/>
          <w:color w:val="auto"/>
        </w:rPr>
        <w:t>“The more we learn about MG01CI, the more confident we become about the potential for the drug to safely and effectively address a wide array of cognitive dysfunctions without some of the adverse characteristics of approved drugs. To support this expanded clinical research program and to deliver additional potential in the form of new clinical programs, we recently completed an approximately $38 million follow-on offering,” concluded Dr. Daniely.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Operating expenses for the third quarter of 2013 were $3.1 million, of which $0.3 million was non-cash charges from stock based compensation. Excluding stock based compensation, operating expenses for the third quarter of 2013 were $2.8 million. The Company expects quarterly operating expenses to increase over the next few quarters due to an acceleration of its clinical development activities.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loss for the third quarter of 2013 was $3.1 million, or $0.28 per basic and diluted share, compared to $0.3 million, or $0.04 per basic and diluted share, for the same period of 2012.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2013, cash, cash equivalents and short-term deposits totaled $19.5 million, compared with $21.6 million as of June 30, 2013.</w:t>
      </w:r>
    </w:p>
    <w:p>
      <w:pPr>
        <w:spacing w:after="0" w:line="240" w:lineRule="exact"/>
        <w:rPr>
          <w:sz w:val="20"/>
          <w:szCs w:val="20"/>
          <w:color w:val="auto"/>
        </w:rPr>
      </w:pPr>
    </w:p>
    <w:p>
      <w:pPr>
        <w:ind w:right="60"/>
        <w:spacing w:after="0" w:line="221" w:lineRule="auto"/>
        <w:rPr>
          <w:sz w:val="20"/>
          <w:szCs w:val="20"/>
          <w:color w:val="auto"/>
        </w:rPr>
      </w:pPr>
      <w:r>
        <w:rPr>
          <w:rFonts w:ascii="Arial" w:cs="Arial" w:eastAsia="Arial" w:hAnsi="Arial"/>
          <w:sz w:val="18"/>
          <w:szCs w:val="18"/>
          <w:color w:val="auto"/>
        </w:rPr>
        <w:t>On October 30</w:t>
      </w:r>
      <w:r>
        <w:rPr>
          <w:rFonts w:ascii="Arial" w:cs="Arial" w:eastAsia="Arial" w:hAnsi="Arial"/>
          <w:sz w:val="30"/>
          <w:szCs w:val="30"/>
          <w:color w:val="auto"/>
          <w:vertAlign w:val="superscript"/>
        </w:rPr>
        <w:t>th</w:t>
      </w:r>
      <w:r>
        <w:rPr>
          <w:rFonts w:ascii="Arial" w:cs="Arial" w:eastAsia="Arial" w:hAnsi="Arial"/>
          <w:sz w:val="18"/>
          <w:szCs w:val="18"/>
          <w:color w:val="auto"/>
        </w:rPr>
        <w:t>, the Company completed a public offering of 2,300,000 ordinary shares, including shares issued pursuant to the underwriters' over-allotment option, at an offering price of $16.50 per share. The gross proceeds to Alcobra from the offering, including the exercise of the over-allotment option, were approximately $38.0 million, before underwriting discounts and commissions and other offering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3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Alcobra will hold a conference call today, November 7</w:t>
      </w:r>
      <w:r>
        <w:rPr>
          <w:rFonts w:ascii="Arial" w:cs="Arial" w:eastAsia="Arial" w:hAnsi="Arial"/>
          <w:sz w:val="28"/>
          <w:szCs w:val="28"/>
          <w:color w:val="auto"/>
          <w:vertAlign w:val="superscript"/>
        </w:rPr>
        <w:t>th</w:t>
      </w:r>
      <w:r>
        <w:rPr>
          <w:rFonts w:ascii="Arial" w:cs="Arial" w:eastAsia="Arial" w:hAnsi="Arial"/>
          <w:sz w:val="17"/>
          <w:szCs w:val="17"/>
          <w:color w:val="auto"/>
        </w:rPr>
        <w:t>, at 9 a.m. EST to discuss events that occurred during the quarter and provide an update on the business. The call will be available via webcast and can be accessed through the Alcobra website, http://www.alcobra-pharma.com/events.cfm. Please allow extra time prior to the call to visit the site and download any necessary software to listen to the live broadcast. To dial into the conference call, please dial 1-877-375-4189 (U.S. and Canada) or 1-973-935-2046 (International); and use the passcode: 95351389.</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those unable to listen to the live event, an archive of the conference call will be available on the Alcobra website, http://www.alcobra-pharma.com/events.cfm. A telephonic playback of the conference call will be available for one week after the call by calling 1-855-859-2056 (U.S. and Canada) and 1-404-537-3406 (Internationally); and use the passcode: 95351389.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Alcobra Ltd.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Alcobra Ltd. is an emerging biopharmaceutical company primarily focused on the development and commercialization of a proprietary drug candidate, MG01CI, to treat cognitive dysfunctions including Attention Deficit Hyperactivity Disorder (ADHD) and Fragile X Syndrome. MG01CI has completed Phase II studies to treat ADHD. The company was founded in 2008 and is headquartered in Tel Aviv, Israel. For more information please visit the Company's website, www.alcobra-pharma.com, the content of which does not form a part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that imply that MG01CI may be helpful to treat cognitive dysfunctions such as ADHD, including PI-ADHD, and Fragile X or that we will receive favorable results in clinical trials in MG01CI, statements regarding the timing of initiation of enrollment to our Phase III trials, if such trials are commenced at all as well as statements regarding levels of our expenses in the future. In addition, historic results of scientific research do not guarantee that the conclusions of future research would not suggest different conclusions or that historic results referred to in this press release would be interpreted differently in light of additional research. The forward-looking statements contained or implied in this press release are subject to other risks and uncertainties, including those discussed under the heading "Risk Factors" in Alcobra Ltd.'s registration statement on Form F-1/A filed with the Securities and Exchange Commission ("SEC") on October 22, 2013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Alcobra Pharma Ltd Consolidated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Operation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70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7"/>
          </w:tcPr>
          <w:p>
            <w:pPr>
              <w:jc w:val="right"/>
              <w:ind w:right="7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5"/>
          </w:tcPr>
          <w:p>
            <w:pPr>
              <w:jc w:val="right"/>
              <w:ind w:right="79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560" w:type="dxa"/>
            <w:vAlign w:val="bottom"/>
            <w:tcBorders>
              <w:top w:val="single" w:sz="8" w:color="auto"/>
              <w:bottom w:val="single" w:sz="8" w:color="auto"/>
            </w:tcBorders>
            <w:gridSpan w:val="5"/>
          </w:tcPr>
          <w:p>
            <w:pPr>
              <w:jc w:val="right"/>
              <w:ind w:right="750"/>
              <w:spacing w:after="0"/>
              <w:rPr>
                <w:sz w:val="20"/>
                <w:szCs w:val="20"/>
                <w:color w:val="auto"/>
              </w:rPr>
            </w:pPr>
            <w:r>
              <w:rPr>
                <w:rFonts w:ascii="Arial" w:cs="Arial" w:eastAsia="Arial" w:hAnsi="Arial"/>
                <w:sz w:val="18"/>
                <w:szCs w:val="18"/>
                <w:color w:val="auto"/>
              </w:rPr>
              <w:t>September 30,</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color w:val="auto"/>
                <w:w w:val="96"/>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w w:val="94"/>
              </w:rPr>
              <w:t>(unaudited)</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2,067</w:t>
            </w:r>
          </w:p>
        </w:tc>
        <w:tc>
          <w:tcPr>
            <w:tcW w:w="160" w:type="dxa"/>
            <w:vAlign w:val="bottom"/>
            <w:shd w:val="clear" w:color="auto" w:fill="CCFFCC"/>
          </w:tcPr>
          <w:p>
            <w:pPr>
              <w:spacing w:after="0"/>
              <w:rPr>
                <w:sz w:val="18"/>
                <w:szCs w:val="18"/>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2,463</w:t>
            </w:r>
          </w:p>
        </w:tc>
        <w:tc>
          <w:tcPr>
            <w:tcW w:w="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2,183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3,136</w:t>
            </w: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4,646</w:t>
            </w: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bottom w:val="single" w:sz="8" w:color="auto"/>
            </w:tcBorders>
            <w:shd w:val="clear" w:color="auto" w:fill="CCFFCC"/>
          </w:tcPr>
          <w:p>
            <w:pPr>
              <w:spacing w:after="0"/>
              <w:rPr>
                <w:sz w:val="18"/>
                <w:szCs w:val="18"/>
                <w:color w:val="auto"/>
              </w:rPr>
            </w:pPr>
          </w:p>
        </w:tc>
        <w:tc>
          <w:tcPr>
            <w:tcW w:w="11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1,252</w:t>
            </w:r>
          </w:p>
        </w:tc>
        <w:tc>
          <w:tcPr>
            <w:tcW w:w="2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Financial expenses (Income), net</w:t>
            </w:r>
          </w:p>
        </w:tc>
        <w:tc>
          <w:tcPr>
            <w:tcW w:w="1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Net comprehensive loss</w:t>
            </w:r>
          </w:p>
        </w:tc>
        <w:tc>
          <w:tcPr>
            <w:tcW w:w="14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3,128</w:t>
            </w: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4,844</w:t>
            </w:r>
          </w:p>
        </w:tc>
        <w:tc>
          <w:tcPr>
            <w:tcW w:w="6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1,284</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Net loss attributable to holders of Ordinary shares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16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4,844</w:t>
            </w:r>
          </w:p>
        </w:tc>
        <w:tc>
          <w:tcPr>
            <w:tcW w:w="140" w:type="dxa"/>
            <w:vAlign w:val="bottom"/>
            <w:tcBorders>
              <w:bottom w:val="single" w:sz="8" w:color="CCFFCC"/>
            </w:tcBorders>
          </w:tcPr>
          <w:p>
            <w:pPr>
              <w:spacing w:after="0"/>
              <w:rPr>
                <w:sz w:val="22"/>
                <w:szCs w:val="22"/>
                <w:color w:val="auto"/>
              </w:rPr>
            </w:pPr>
          </w:p>
        </w:tc>
        <w:tc>
          <w:tcPr>
            <w:tcW w:w="60" w:type="dxa"/>
            <w:vAlign w:val="bottom"/>
            <w:tcBorders>
              <w:bottom w:val="single" w:sz="8" w:color="CCFFC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w:t>
            </w:r>
          </w:p>
        </w:tc>
        <w:tc>
          <w:tcPr>
            <w:tcW w:w="20" w:type="dxa"/>
            <w:vAlign w:val="bottom"/>
            <w:tcBorders>
              <w:bottom w:val="single" w:sz="8" w:color="CCFFCC"/>
            </w:tcBorders>
          </w:tcPr>
          <w:p>
            <w:pPr>
              <w:spacing w:after="0"/>
              <w:rPr>
                <w:sz w:val="22"/>
                <w:szCs w:val="22"/>
                <w:color w:val="auto"/>
              </w:rPr>
            </w:pPr>
          </w:p>
        </w:tc>
        <w:tc>
          <w:tcPr>
            <w:tcW w:w="80" w:type="dxa"/>
            <w:vAlign w:val="bottom"/>
            <w:tcBorders>
              <w:bottom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Borders>
              <w:bottom w:val="single" w:sz="8" w:color="CCFFCC"/>
            </w:tcBorders>
            <w:shd w:val="clear" w:color="auto" w:fill="CCFFCC"/>
          </w:tcPr>
          <w:p>
            <w:pPr>
              <w:spacing w:after="0" w:line="190" w:lineRule="exact"/>
              <w:rPr>
                <w:sz w:val="20"/>
                <w:szCs w:val="20"/>
                <w:color w:val="auto"/>
              </w:rPr>
            </w:pPr>
            <w:r>
              <w:rPr>
                <w:rFonts w:ascii="Arial" w:cs="Arial" w:eastAsia="Arial" w:hAnsi="Arial"/>
                <w:sz w:val="18"/>
                <w:szCs w:val="18"/>
                <w:color w:val="auto"/>
              </w:rPr>
              <w:t>Net basic and diluted loss per share</w:t>
            </w: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(0.28</w:t>
            </w:r>
          </w:p>
        </w:tc>
        <w:tc>
          <w:tcPr>
            <w:tcW w:w="1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(0.04</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(0.52</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(0.16</w:t>
            </w:r>
          </w:p>
        </w:tc>
        <w:tc>
          <w:tcPr>
            <w:tcW w:w="10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spacing w:after="0" w:line="195" w:lineRule="exact"/>
              <w:rPr>
                <w:sz w:val="20"/>
                <w:szCs w:val="20"/>
                <w:color w:val="auto"/>
              </w:rPr>
            </w:pPr>
            <w:r>
              <w:rPr>
                <w:rFonts w:ascii="Arial" w:cs="Arial" w:eastAsia="Arial" w:hAnsi="Arial"/>
                <w:sz w:val="18"/>
                <w:szCs w:val="18"/>
                <w:color w:val="auto"/>
                <w:w w:val="93"/>
              </w:rPr>
              <w:t>Weighted average number of Ordinary shares used in computing basic and</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spacing w:after="0"/>
              <w:rPr>
                <w:sz w:val="20"/>
                <w:szCs w:val="20"/>
                <w:color w:val="auto"/>
              </w:rPr>
            </w:pPr>
            <w:r>
              <w:rPr>
                <w:rFonts w:ascii="Arial" w:cs="Arial" w:eastAsia="Arial" w:hAnsi="Arial"/>
                <w:sz w:val="18"/>
                <w:szCs w:val="18"/>
                <w:color w:val="auto"/>
              </w:rPr>
              <w:t>diluted net loss per share</w:t>
            </w:r>
          </w:p>
        </w:tc>
        <w:tc>
          <w:tcPr>
            <w:tcW w:w="140" w:type="dxa"/>
            <w:vAlign w:val="bottom"/>
          </w:tcPr>
          <w:p>
            <w:pPr>
              <w:spacing w:after="0"/>
              <w:rPr>
                <w:sz w:val="22"/>
                <w:szCs w:val="2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11,128,001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7,791,785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9,320,696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7,791,785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Alcobra Pharma Ltd Consolidated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760" w:type="dxa"/>
            <w:vAlign w:val="bottom"/>
            <w:gridSpan w:val="2"/>
          </w:tcPr>
          <w:p>
            <w:pPr>
              <w:jc w:val="right"/>
              <w:ind w:right="2640"/>
              <w:spacing w:after="0"/>
              <w:rPr>
                <w:sz w:val="20"/>
                <w:szCs w:val="20"/>
                <w:color w:val="auto"/>
              </w:rPr>
            </w:pPr>
            <w:r>
              <w:rPr>
                <w:rFonts w:ascii="Arial" w:cs="Arial" w:eastAsia="Arial" w:hAnsi="Arial"/>
                <w:sz w:val="18"/>
                <w:szCs w:val="18"/>
                <w:b w:val="1"/>
                <w:bCs w:val="1"/>
                <w:color w:val="auto"/>
              </w:rPr>
              <w:t>ASSETS</w:t>
            </w: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8"/>
              </w:rPr>
              <w:t>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Current assets:</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20" w:type="dxa"/>
            <w:vAlign w:val="bottom"/>
            <w:gridSpan w:val="2"/>
            <w:vMerge w:val="continue"/>
          </w:tcPr>
          <w:p>
            <w:pPr>
              <w:spacing w:after="0"/>
              <w:rPr>
                <w:sz w:val="17"/>
                <w:szCs w:val="17"/>
                <w:color w:val="auto"/>
              </w:rPr>
            </w:pPr>
          </w:p>
        </w:tc>
        <w:tc>
          <w:tcPr>
            <w:tcW w:w="4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w:t>
            </w:r>
          </w:p>
        </w:tc>
        <w:tc>
          <w:tcPr>
            <w:tcW w:w="4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4,540</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Short-term deposits</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Receivables and prepaid expenses</w:t>
            </w:r>
          </w:p>
        </w:tc>
        <w:tc>
          <w:tcPr>
            <w:tcW w:w="46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current assets</w:t>
            </w:r>
          </w:p>
        </w:tc>
        <w:tc>
          <w:tcPr>
            <w:tcW w:w="4660" w:type="dxa"/>
            <w:vAlign w:val="bottom"/>
            <w:tcBorders>
              <w:bottom w:val="single" w:sz="8" w:color="CCFF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19,722</w:t>
            </w:r>
          </w:p>
        </w:tc>
        <w:tc>
          <w:tcPr>
            <w:tcW w:w="10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shd w:val="clear" w:color="auto" w:fill="CCFFCC"/>
          </w:tcPr>
          <w:p>
            <w:pPr>
              <w:spacing w:after="0"/>
              <w:rPr>
                <w:sz w:val="18"/>
                <w:szCs w:val="18"/>
                <w:color w:val="auto"/>
              </w:rPr>
            </w:pPr>
          </w:p>
        </w:tc>
        <w:tc>
          <w:tcPr>
            <w:tcW w:w="4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Long-term assets:</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Long-term deposit</w:t>
            </w:r>
          </w:p>
        </w:tc>
        <w:tc>
          <w:tcPr>
            <w:tcW w:w="46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long-term assets</w:t>
            </w:r>
          </w:p>
        </w:tc>
        <w:tc>
          <w:tcPr>
            <w:tcW w:w="466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11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top w:val="single" w:sz="8" w:color="CCFFCC"/>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Total assets</w:t>
            </w:r>
          </w:p>
        </w:tc>
        <w:tc>
          <w:tcPr>
            <w:tcW w:w="47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19,805</w:t>
            </w:r>
          </w:p>
        </w:tc>
        <w:tc>
          <w:tcPr>
            <w:tcW w:w="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FFCC"/>
            </w:tcBorders>
          </w:tcPr>
          <w:p>
            <w:pPr>
              <w:spacing w:after="0" w:line="20" w:lineRule="exact"/>
              <w:rPr>
                <w:sz w:val="1"/>
                <w:szCs w:val="1"/>
                <w:color w:val="auto"/>
              </w:rPr>
            </w:pPr>
          </w:p>
        </w:tc>
        <w:tc>
          <w:tcPr>
            <w:tcW w:w="46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240" w:type="dxa"/>
            <w:vAlign w:val="bottom"/>
            <w:gridSpan w:val="2"/>
          </w:tcPr>
          <w:p>
            <w:pPr>
              <w:jc w:val="right"/>
              <w:ind w:right="2500"/>
              <w:spacing w:after="0"/>
              <w:rPr>
                <w:sz w:val="20"/>
                <w:szCs w:val="20"/>
                <w:color w:val="auto"/>
              </w:rPr>
            </w:pPr>
            <w:r>
              <w:rPr>
                <w:rFonts w:ascii="Arial" w:cs="Arial" w:eastAsia="Arial" w:hAnsi="Arial"/>
                <w:sz w:val="18"/>
                <w:szCs w:val="18"/>
                <w:b w:val="1"/>
                <w:bCs w:val="1"/>
                <w:color w:val="auto"/>
              </w:rPr>
              <w:t>LIABILITIES AND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5240" w:type="dxa"/>
            <w:vAlign w:val="bottom"/>
            <w:gridSpan w:val="2"/>
          </w:tcPr>
          <w:p>
            <w:pPr>
              <w:jc w:val="right"/>
              <w:ind w:right="2100"/>
              <w:spacing w:after="0"/>
              <w:rPr>
                <w:sz w:val="20"/>
                <w:szCs w:val="20"/>
                <w:color w:val="auto"/>
              </w:rPr>
            </w:pPr>
            <w:r>
              <w:rPr>
                <w:rFonts w:ascii="Arial" w:cs="Arial" w:eastAsia="Arial" w:hAnsi="Arial"/>
                <w:sz w:val="18"/>
                <w:szCs w:val="18"/>
                <w:b w:val="1"/>
                <w:bCs w:val="1"/>
                <w:color w:val="auto"/>
              </w:rPr>
              <w:t>SHAREHOLDERS’ EQUITY</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gridSpan w:val="2"/>
            <w:vMerge w:val="continue"/>
          </w:tcPr>
          <w:p>
            <w:pPr>
              <w:spacing w:after="0"/>
              <w:rPr>
                <w:sz w:val="18"/>
                <w:szCs w:val="18"/>
                <w:color w:val="auto"/>
              </w:rPr>
            </w:pPr>
          </w:p>
        </w:tc>
        <w:tc>
          <w:tcPr>
            <w:tcW w:w="4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Trade payables</w:t>
            </w:r>
          </w:p>
        </w:tc>
        <w:tc>
          <w:tcPr>
            <w:tcW w:w="52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w:t>
            </w:r>
          </w:p>
        </w:tc>
        <w:tc>
          <w:tcPr>
            <w:tcW w:w="5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Other accounts payable</w:t>
            </w:r>
          </w:p>
        </w:tc>
        <w:tc>
          <w:tcPr>
            <w:tcW w:w="4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1,250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Convertible Notes</w:t>
            </w:r>
          </w:p>
        </w:tc>
        <w:tc>
          <w:tcPr>
            <w:tcW w:w="484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Total current liabilities</w:t>
            </w:r>
          </w:p>
        </w:tc>
        <w:tc>
          <w:tcPr>
            <w:tcW w:w="4840" w:type="dxa"/>
            <w:vAlign w:val="bottom"/>
            <w:tcBorders>
              <w:bottom w:val="single" w:sz="8" w:color="CCFFC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shd w:val="clear" w:color="auto" w:fill="CCFFCC"/>
          </w:tcPr>
          <w:p>
            <w:pPr>
              <w:spacing w:after="0"/>
              <w:rPr>
                <w:sz w:val="18"/>
                <w:szCs w:val="18"/>
                <w:color w:val="auto"/>
              </w:rPr>
            </w:pPr>
          </w:p>
        </w:tc>
        <w:tc>
          <w:tcPr>
            <w:tcW w:w="48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Shareholders’ equity:</w:t>
            </w:r>
          </w:p>
        </w:tc>
        <w:tc>
          <w:tcPr>
            <w:tcW w:w="4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Share capital</w:t>
            </w:r>
          </w:p>
        </w:tc>
        <w:tc>
          <w:tcPr>
            <w:tcW w:w="484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31,523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484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(13,031)</w:t>
            </w:r>
          </w:p>
        </w:tc>
        <w:tc>
          <w:tcPr>
            <w:tcW w:w="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Total shareholders’ equity</w:t>
            </w:r>
          </w:p>
        </w:tc>
        <w:tc>
          <w:tcPr>
            <w:tcW w:w="484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18,524</w:t>
            </w:r>
          </w:p>
        </w:tc>
        <w:tc>
          <w:tcPr>
            <w:tcW w:w="60" w:type="dxa"/>
            <w:vAlign w:val="bottom"/>
            <w:shd w:val="clear" w:color="auto" w:fill="CCFFCC"/>
          </w:tcPr>
          <w:p>
            <w:pPr>
              <w:spacing w:after="0"/>
              <w:rPr>
                <w:sz w:val="19"/>
                <w:szCs w:val="19"/>
                <w:color w:val="auto"/>
              </w:rPr>
            </w:pPr>
          </w:p>
        </w:tc>
        <w:tc>
          <w:tcPr>
            <w:tcW w:w="440" w:type="dxa"/>
            <w:vAlign w:val="bottom"/>
            <w:shd w:val="clear" w:color="auto" w:fill="CCFFCC"/>
          </w:tcPr>
          <w:p>
            <w:pPr>
              <w:spacing w:after="0"/>
              <w:rPr>
                <w:sz w:val="19"/>
                <w:szCs w:val="19"/>
                <w:color w:val="auto"/>
              </w:rPr>
            </w:pPr>
          </w:p>
        </w:tc>
        <w:tc>
          <w:tcPr>
            <w:tcW w:w="9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Total liabilities and shareholders’ equity</w:t>
            </w:r>
          </w:p>
        </w:tc>
        <w:tc>
          <w:tcPr>
            <w:tcW w:w="52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19,805</w:t>
            </w:r>
          </w:p>
        </w:tc>
        <w:tc>
          <w:tcPr>
            <w:tcW w:w="50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CFFCC"/>
            </w:tcBorders>
          </w:tcPr>
          <w:p>
            <w:pPr>
              <w:spacing w:after="0" w:line="20" w:lineRule="exact"/>
              <w:rPr>
                <w:sz w:val="1"/>
                <w:szCs w:val="1"/>
                <w:color w:val="auto"/>
              </w:rPr>
            </w:pPr>
          </w:p>
        </w:tc>
        <w:tc>
          <w:tcPr>
            <w:tcW w:w="48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Alcobra Pharma Ltd Consolidated.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Cash Flow Data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80" w:type="dxa"/>
            <w:vAlign w:val="bottom"/>
            <w:gridSpan w:val="6"/>
          </w:tcPr>
          <w:p>
            <w:pPr>
              <w:jc w:val="right"/>
              <w:ind w:right="70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4"/>
          </w:tcPr>
          <w:p>
            <w:pPr>
              <w:jc w:val="center"/>
              <w:ind w:left="310"/>
              <w:spacing w:after="0"/>
              <w:rPr>
                <w:sz w:val="20"/>
                <w:szCs w:val="20"/>
                <w:color w:val="auto"/>
              </w:rPr>
            </w:pPr>
            <w:r>
              <w:rPr>
                <w:rFonts w:ascii="Arial" w:cs="Arial" w:eastAsia="Arial" w:hAnsi="Arial"/>
                <w:sz w:val="18"/>
                <w:szCs w:val="18"/>
                <w:color w:val="auto"/>
                <w:w w:val="91"/>
              </w:rPr>
              <w:t>Nine Months Ended</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gridSpan w:val="5"/>
          </w:tcPr>
          <w:p>
            <w:pPr>
              <w:jc w:val="right"/>
              <w:ind w:right="790"/>
              <w:spacing w:after="0"/>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00" w:type="dxa"/>
            <w:vAlign w:val="bottom"/>
            <w:tcBorders>
              <w:top w:val="single" w:sz="8" w:color="auto"/>
              <w:bottom w:val="single" w:sz="8" w:color="auto"/>
            </w:tcBorders>
            <w:gridSpan w:val="4"/>
          </w:tcPr>
          <w:p>
            <w:pPr>
              <w:jc w:val="center"/>
              <w:ind w:left="310"/>
              <w:spacing w:after="0"/>
              <w:rPr>
                <w:sz w:val="20"/>
                <w:szCs w:val="20"/>
                <w:color w:val="auto"/>
              </w:rPr>
            </w:pPr>
            <w:r>
              <w:rPr>
                <w:rFonts w:ascii="Arial" w:cs="Arial" w:eastAsia="Arial" w:hAnsi="Arial"/>
                <w:sz w:val="18"/>
                <w:szCs w:val="18"/>
                <w:color w:val="auto"/>
                <w:w w:val="88"/>
              </w:rPr>
              <w:t>September 30,</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9"/>
                <w:szCs w:val="19"/>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2012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6"/>
              </w:rPr>
              <w:t>(unaudited)</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6"/>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4"/>
              </w:rPr>
              <w:t>(unaudited)</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6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(3,128)</w:t>
            </w:r>
          </w:p>
        </w:tc>
        <w:tc>
          <w:tcPr>
            <w:tcW w:w="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(283)</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(4,844)</w:t>
            </w:r>
          </w:p>
        </w:tc>
        <w:tc>
          <w:tcPr>
            <w:tcW w:w="7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income to net cash used in operating</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Gain from sale of property, plant and equipment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Decrease (increase) in receivables and prepaid expenses</w:t>
            </w: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Increase (decrease) in trade payables</w:t>
            </w: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Increase in other accounts payable</w:t>
            </w: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974</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1,167</w:t>
            </w: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on convertible notes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Stock base compensation</w:t>
            </w:r>
          </w:p>
        </w:tc>
        <w:tc>
          <w:tcPr>
            <w:tcW w:w="14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1,036</w:t>
            </w:r>
          </w:p>
        </w:tc>
        <w:tc>
          <w:tcPr>
            <w:tcW w:w="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w:t>
            </w:r>
          </w:p>
        </w:tc>
        <w:tc>
          <w:tcPr>
            <w:tcW w:w="160" w:type="dxa"/>
            <w:vAlign w:val="bottom"/>
            <w:tcBorders>
              <w:bottom w:val="single" w:sz="8" w:color="CCFFCC"/>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(2,524</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Decrease (increase) in long-term deposit</w:t>
            </w:r>
          </w:p>
        </w:tc>
        <w:tc>
          <w:tcPr>
            <w:tcW w:w="14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Investment in (proceeds from) short-term bank deposit</w:t>
            </w: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Investment in (proceeds from) restricted bank deposit</w:t>
            </w:r>
          </w:p>
        </w:tc>
        <w:tc>
          <w:tcPr>
            <w:tcW w:w="14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(11,061</w:t>
            </w:r>
          </w:p>
        </w:tc>
        <w:tc>
          <w:tcPr>
            <w:tcW w:w="160" w:type="dxa"/>
            <w:vAlign w:val="bottom"/>
            <w:tcBorders>
              <w:bottom w:val="single" w:sz="8" w:color="CCFFCC"/>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(15,068</w:t>
            </w:r>
          </w:p>
        </w:tc>
        <w:tc>
          <w:tcPr>
            <w:tcW w:w="14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FFCC"/>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Issuance of share capital upon initial public offering</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21,920</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Proceeds from issuance of convertible notes</w:t>
            </w:r>
          </w:p>
        </w:tc>
        <w:tc>
          <w:tcPr>
            <w:tcW w:w="140" w:type="dxa"/>
            <w:vAlign w:val="bottom"/>
            <w:shd w:val="clear" w:color="auto" w:fill="CCFFCC"/>
          </w:tcPr>
          <w:p>
            <w:pPr>
              <w:spacing w:after="0"/>
              <w:rPr>
                <w:sz w:val="19"/>
                <w:szCs w:val="19"/>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115</w:t>
            </w:r>
          </w:p>
        </w:tc>
        <w:tc>
          <w:tcPr>
            <w:tcW w:w="60" w:type="dxa"/>
            <w:vAlign w:val="bottom"/>
            <w:shd w:val="clear" w:color="auto" w:fill="CCFFCC"/>
          </w:tcPr>
          <w:p>
            <w:pPr>
              <w:spacing w:after="0"/>
              <w:rPr>
                <w:sz w:val="19"/>
                <w:szCs w:val="19"/>
                <w:color w:val="auto"/>
              </w:rPr>
            </w:pPr>
          </w:p>
        </w:tc>
        <w:tc>
          <w:tcPr>
            <w:tcW w:w="700" w:type="dxa"/>
            <w:vAlign w:val="bottom"/>
            <w:shd w:val="clear" w:color="auto" w:fill="CCFFCC"/>
          </w:tcPr>
          <w:p>
            <w:pPr>
              <w:spacing w:after="0"/>
              <w:rPr>
                <w:sz w:val="19"/>
                <w:szCs w:val="19"/>
                <w:color w:val="auto"/>
              </w:rPr>
            </w:pP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4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22,035</w:t>
            </w:r>
          </w:p>
        </w:tc>
        <w:tc>
          <w:tcPr>
            <w:tcW w:w="1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(13,053)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4,443</w:t>
            </w: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1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17,593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700" w:type="dxa"/>
            <w:vAlign w:val="bottom"/>
            <w:tcBorders>
              <w:top w:val="single" w:sz="8" w:color="auto"/>
            </w:tcBorders>
            <w:shd w:val="clear" w:color="auto" w:fill="CCFFCC"/>
          </w:tcPr>
          <w:p>
            <w:pPr>
              <w:spacing w:after="0"/>
              <w:rPr>
                <w:sz w:val="18"/>
                <w:szCs w:val="18"/>
                <w:color w:val="auto"/>
              </w:rPr>
            </w:pPr>
          </w:p>
        </w:tc>
        <w:tc>
          <w:tcPr>
            <w:tcW w:w="560" w:type="dxa"/>
            <w:vAlign w:val="bottom"/>
            <w:tcBorders>
              <w:top w:val="single" w:sz="8" w:color="auto"/>
            </w:tcBorders>
            <w:shd w:val="clear" w:color="auto" w:fill="CCFFCC"/>
          </w:tcPr>
          <w:p>
            <w:pPr>
              <w:spacing w:after="0"/>
              <w:rPr>
                <w:sz w:val="18"/>
                <w:szCs w:val="18"/>
                <w:color w:val="auto"/>
              </w:rPr>
            </w:pP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period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4,540</w:t>
            </w:r>
          </w:p>
        </w:tc>
        <w:tc>
          <w:tcPr>
            <w:tcW w:w="160" w:type="dxa"/>
            <w:vAlign w:val="bottom"/>
          </w:tcPr>
          <w:p>
            <w:pPr>
              <w:spacing w:after="0"/>
              <w:rPr>
                <w:sz w:val="24"/>
                <w:szCs w:val="24"/>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4,540</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120" w:type="dxa"/>
            <w:vAlign w:val="bottom"/>
            <w:tcBorders>
              <w:top w:val="single" w:sz="8" w:color="auto"/>
            </w:tcBorders>
            <w:shd w:val="clear" w:color="auto" w:fill="CCFFCC"/>
          </w:tcPr>
          <w:p>
            <w:pPr>
              <w:spacing w:after="0"/>
              <w:rPr>
                <w:sz w:val="17"/>
                <w:szCs w:val="17"/>
                <w:color w:val="auto"/>
              </w:rPr>
            </w:pPr>
          </w:p>
        </w:tc>
        <w:tc>
          <w:tcPr>
            <w:tcW w:w="16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60" w:type="dxa"/>
            <w:vAlign w:val="bottom"/>
            <w:tcBorders>
              <w:top w:val="single" w:sz="8" w:color="auto"/>
            </w:tcBorders>
            <w:shd w:val="clear" w:color="auto" w:fill="CCFFCC"/>
          </w:tcPr>
          <w:p>
            <w:pPr>
              <w:spacing w:after="0"/>
              <w:rPr>
                <w:sz w:val="17"/>
                <w:szCs w:val="17"/>
                <w:color w:val="auto"/>
              </w:rPr>
            </w:pPr>
          </w:p>
        </w:tc>
        <w:tc>
          <w:tcPr>
            <w:tcW w:w="112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spacing w:after="0"/>
              <w:rPr>
                <w:sz w:val="17"/>
                <w:szCs w:val="17"/>
                <w:color w:val="auto"/>
              </w:rPr>
            </w:pPr>
          </w:p>
        </w:tc>
        <w:tc>
          <w:tcPr>
            <w:tcW w:w="1100" w:type="dxa"/>
            <w:vAlign w:val="bottom"/>
            <w:tcBorders>
              <w:top w:val="single" w:sz="8" w:color="auto"/>
            </w:tcBorders>
            <w:shd w:val="clear" w:color="auto" w:fill="CCFFCC"/>
          </w:tcPr>
          <w:p>
            <w:pPr>
              <w:spacing w:after="0"/>
              <w:rPr>
                <w:sz w:val="17"/>
                <w:szCs w:val="17"/>
                <w:color w:val="auto"/>
              </w:rPr>
            </w:pPr>
          </w:p>
        </w:tc>
        <w:tc>
          <w:tcPr>
            <w:tcW w:w="140" w:type="dxa"/>
            <w:vAlign w:val="bottom"/>
            <w:tcBorders>
              <w:top w:val="single" w:sz="8" w:color="CCFFCC"/>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700" w:type="dxa"/>
            <w:vAlign w:val="bottom"/>
            <w:tcBorders>
              <w:top w:val="single" w:sz="8" w:color="auto"/>
            </w:tcBorders>
            <w:shd w:val="clear" w:color="auto" w:fill="CCFFCC"/>
          </w:tcPr>
          <w:p>
            <w:pPr>
              <w:spacing w:after="0"/>
              <w:rPr>
                <w:sz w:val="17"/>
                <w:szCs w:val="17"/>
                <w:color w:val="auto"/>
              </w:rPr>
            </w:pPr>
          </w:p>
        </w:tc>
        <w:tc>
          <w:tcPr>
            <w:tcW w:w="56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Issuance of ordinary shares upon conversion of convertible notes</w:t>
            </w:r>
          </w:p>
        </w:tc>
        <w:tc>
          <w:tcPr>
            <w:tcW w:w="140" w:type="dxa"/>
            <w:vAlign w:val="bottom"/>
            <w:shd w:val="clear" w:color="auto" w:fill="CCFFCC"/>
          </w:tcPr>
          <w:p>
            <w:pPr>
              <w:spacing w:after="0"/>
              <w:rPr>
                <w:sz w:val="21"/>
                <w:szCs w:val="21"/>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979</w:t>
            </w:r>
          </w:p>
        </w:tc>
        <w:tc>
          <w:tcPr>
            <w:tcW w:w="6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6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2019-12-08T04:36:44Z</dcterms:created>
  <dcterms:modified xsi:type="dcterms:W3CDTF">2019-12-08T04:36:44Z</dcterms:modified>
</cp:coreProperties>
</file>