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SEC File Number: 001-38942</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12b-25</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NOTIFICATION OF LATE FILING</w:t>
      </w:r>
    </w:p>
    <w:p>
      <w:pPr>
        <w:spacing w:after="0" w:line="1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(Check one): </w:t>
      </w:r>
      <w:r>
        <w:rPr>
          <w:rFonts w:ascii="MS PGothic" w:cs="MS PGothic" w:eastAsia="MS PGothic" w:hAnsi="MS PGothic"/>
          <w:sz w:val="18"/>
          <w:szCs w:val="18"/>
          <w:color w:val="auto"/>
        </w:rPr>
        <w:t>☐</w:t>
      </w:r>
      <w:r>
        <w:rPr>
          <w:rFonts w:ascii="Arial" w:cs="Arial" w:eastAsia="Arial" w:hAnsi="Arial"/>
          <w:sz w:val="18"/>
          <w:szCs w:val="18"/>
          <w:color w:val="auto"/>
        </w:rPr>
        <w:t xml:space="preserve"> Form 10-K </w:t>
      </w:r>
      <w:r>
        <w:rPr>
          <w:rFonts w:ascii="MS PGothic" w:cs="MS PGothic" w:eastAsia="MS PGothic" w:hAnsi="MS PGothic"/>
          <w:sz w:val="18"/>
          <w:szCs w:val="18"/>
          <w:color w:val="auto"/>
        </w:rPr>
        <w:t>☐</w:t>
      </w:r>
      <w:r>
        <w:rPr>
          <w:rFonts w:ascii="Arial" w:cs="Arial" w:eastAsia="Arial" w:hAnsi="Arial"/>
          <w:sz w:val="18"/>
          <w:szCs w:val="18"/>
          <w:color w:val="auto"/>
        </w:rPr>
        <w:t xml:space="preserve">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11-K </w:t>
      </w:r>
      <w:r>
        <w:rPr>
          <w:rFonts w:ascii="MS PGothic" w:cs="MS PGothic" w:eastAsia="MS PGothic" w:hAnsi="MS PGothic"/>
          <w:sz w:val="18"/>
          <w:szCs w:val="18"/>
          <w:color w:val="auto"/>
        </w:rPr>
        <w:t>☒</w:t>
      </w:r>
      <w:r>
        <w:rPr>
          <w:rFonts w:ascii="Arial" w:cs="Arial" w:eastAsia="Arial" w:hAnsi="Arial"/>
          <w:sz w:val="18"/>
          <w:szCs w:val="18"/>
          <w:color w:val="auto"/>
        </w:rPr>
        <w:t xml:space="preserve"> Form 10-Q </w:t>
      </w:r>
      <w:r>
        <w:rPr>
          <w:rFonts w:ascii="MS PGothic" w:cs="MS PGothic" w:eastAsia="MS PGothic" w:hAnsi="MS PGothic"/>
          <w:sz w:val="18"/>
          <w:szCs w:val="18"/>
          <w:color w:val="auto"/>
        </w:rPr>
        <w:t>☐</w:t>
      </w:r>
      <w:r>
        <w:rPr>
          <w:rFonts w:ascii="Arial" w:cs="Arial" w:eastAsia="Arial" w:hAnsi="Arial"/>
          <w:sz w:val="18"/>
          <w:szCs w:val="18"/>
          <w:color w:val="auto"/>
        </w:rPr>
        <w:t xml:space="preserve"> Form N-SAR</w:t>
      </w:r>
    </w:p>
    <w:p>
      <w:pPr>
        <w:spacing w:after="0" w:line="254"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 xml:space="preserve">For Period Ended: </w:t>
      </w:r>
      <w:r>
        <w:rPr>
          <w:rFonts w:ascii="Arial" w:cs="Arial" w:eastAsia="Arial" w:hAnsi="Arial"/>
          <w:sz w:val="18"/>
          <w:szCs w:val="18"/>
          <w:b w:val="1"/>
          <w:bCs w:val="1"/>
          <w:color w:val="auto"/>
        </w:rPr>
        <w:t>June 30, 2021</w:t>
      </w:r>
    </w:p>
    <w:p>
      <w:pPr>
        <w:spacing w:after="0" w:line="22" w:lineRule="exact"/>
        <w:rPr>
          <w:sz w:val="24"/>
          <w:szCs w:val="24"/>
          <w:color w:val="auto"/>
        </w:rPr>
      </w:pPr>
    </w:p>
    <w:p>
      <w:pPr>
        <w:ind w:left="2280" w:hanging="328"/>
        <w:spacing w:after="0"/>
        <w:tabs>
          <w:tab w:leader="none" w:pos="2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15" w:lineRule="exact"/>
        <w:rPr>
          <w:rFonts w:ascii="MS PGothic" w:cs="MS PGothic" w:eastAsia="MS PGothic" w:hAnsi="MS PGothic"/>
          <w:sz w:val="18"/>
          <w:szCs w:val="18"/>
          <w:color w:val="auto"/>
        </w:rPr>
      </w:pPr>
    </w:p>
    <w:p>
      <w:pPr>
        <w:ind w:left="2280" w:hanging="328"/>
        <w:spacing w:after="0"/>
        <w:tabs>
          <w:tab w:leader="none" w:pos="2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2280" w:hanging="328"/>
        <w:spacing w:after="0"/>
        <w:tabs>
          <w:tab w:leader="none" w:pos="2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2280" w:hanging="328"/>
        <w:spacing w:after="0"/>
        <w:tabs>
          <w:tab w:leader="none" w:pos="2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9" w:lineRule="exact"/>
        <w:rPr>
          <w:rFonts w:ascii="MS PGothic" w:cs="MS PGothic" w:eastAsia="MS PGothic" w:hAnsi="MS PGothic"/>
          <w:sz w:val="18"/>
          <w:szCs w:val="18"/>
          <w:color w:val="auto"/>
        </w:rPr>
      </w:pPr>
    </w:p>
    <w:p>
      <w:pPr>
        <w:ind w:left="2280" w:hanging="328"/>
        <w:spacing w:after="0"/>
        <w:tabs>
          <w:tab w:leader="none" w:pos="2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N-SAR</w:t>
      </w:r>
    </w:p>
    <w:p>
      <w:pPr>
        <w:spacing w:after="0" w:line="9"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For the Transition Period Ended: 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139700</wp:posOffset>
            </wp:positionV>
            <wp:extent cx="7136130" cy="3213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21310"/>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Nothing in this form shall be construed to imply that the Commission has verified any information contained herein.</w:t>
      </w:r>
    </w:p>
    <w:p>
      <w:pPr>
        <w:spacing w:after="0" w:line="238" w:lineRule="exact"/>
        <w:rPr>
          <w:sz w:val="24"/>
          <w:szCs w:val="24"/>
          <w:color w:val="auto"/>
        </w:rPr>
      </w:pPr>
    </w:p>
    <w:p>
      <w:pPr>
        <w:spacing w:after="0"/>
        <w:tabs>
          <w:tab w:leader="none" w:pos="300" w:val="left"/>
          <w:tab w:leader="none" w:pos="700" w:val="left"/>
          <w:tab w:leader="none" w:pos="1720" w:val="left"/>
          <w:tab w:leader="none" w:pos="2380" w:val="left"/>
          <w:tab w:leader="none" w:pos="2700" w:val="left"/>
          <w:tab w:leader="none" w:pos="2980" w:val="left"/>
          <w:tab w:leader="none" w:pos="3680" w:val="left"/>
          <w:tab w:leader="none" w:pos="4020" w:val="left"/>
          <w:tab w:leader="none" w:pos="4440" w:val="left"/>
          <w:tab w:leader="none" w:pos="5020" w:val="left"/>
          <w:tab w:leader="none" w:pos="5780" w:val="left"/>
          <w:tab w:leader="none" w:pos="6460" w:val="left"/>
          <w:tab w:leader="none" w:pos="7200" w:val="left"/>
          <w:tab w:leader="none" w:pos="7600" w:val="left"/>
          <w:tab w:leader="none" w:pos="8300" w:val="left"/>
          <w:tab w:leader="none" w:pos="8640" w:val="left"/>
          <w:tab w:leader="none" w:pos="9260" w:val="left"/>
          <w:tab w:leader="none" w:pos="9680" w:val="left"/>
          <w:tab w:leader="none" w:pos="10680" w:val="left"/>
        </w:tabs>
        <w:rPr>
          <w:sz w:val="20"/>
          <w:szCs w:val="20"/>
          <w:color w:val="auto"/>
        </w:rPr>
      </w:pPr>
      <w:r>
        <w:rPr>
          <w:rFonts w:ascii="Arial" w:cs="Arial" w:eastAsia="Arial" w:hAnsi="Arial"/>
          <w:sz w:val="18"/>
          <w:szCs w:val="18"/>
          <w:color w:val="auto"/>
        </w:rPr>
        <w:t>If</w:t>
        <w:tab/>
        <w:t>the</w:t>
        <w:tab/>
        <w:t>notification</w:t>
        <w:tab/>
        <w:t>relates</w:t>
        <w:tab/>
        <w:t>to</w:t>
        <w:tab/>
        <w:t>a</w:t>
        <w:tab/>
        <w:t>portion</w:t>
        <w:tab/>
        <w:t>of</w:t>
        <w:tab/>
        <w:t>the</w:t>
        <w:tab/>
        <w:t>filing</w:t>
        <w:tab/>
        <w:t>checked</w:t>
        <w:tab/>
        <w:t>above,</w:t>
        <w:tab/>
        <w:t>identify</w:t>
        <w:tab/>
        <w:t>the</w:t>
        <w:tab/>
        <w:t>item(s)</w:t>
        <w:tab/>
        <w:t>to</w:t>
        <w:tab/>
        <w:t>which</w:t>
        <w:tab/>
        <w:t>the</w:t>
        <w:tab/>
        <w:t>notification</w:t>
      </w:r>
      <w:r>
        <w:rPr>
          <w:sz w:val="20"/>
          <w:szCs w:val="20"/>
          <w:color w:val="auto"/>
        </w:rPr>
        <w:tab/>
      </w:r>
      <w:r>
        <w:rPr>
          <w:rFonts w:ascii="Arial" w:cs="Arial" w:eastAsia="Arial" w:hAnsi="Arial"/>
          <w:sz w:val="15"/>
          <w:szCs w:val="15"/>
          <w:color w:val="auto"/>
        </w:rPr>
        <w:t>relates: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Full Name of Registrant: </w:t>
      </w:r>
      <w:r>
        <w:rPr>
          <w:rFonts w:ascii="Arial" w:cs="Arial" w:eastAsia="Arial" w:hAnsi="Arial"/>
          <w:sz w:val="18"/>
          <w:szCs w:val="18"/>
          <w:b w:val="1"/>
          <w:bCs w:val="1"/>
          <w:color w:val="auto"/>
        </w:rPr>
        <w:t>ARCTURUS THERAPEUTICS HOLDINGS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Address of Principal Executive Office (Street and Number): </w:t>
      </w:r>
      <w:r>
        <w:rPr>
          <w:rFonts w:ascii="Arial" w:cs="Arial" w:eastAsia="Arial" w:hAnsi="Arial"/>
          <w:sz w:val="18"/>
          <w:szCs w:val="18"/>
          <w:b w:val="1"/>
          <w:bCs w:val="1"/>
          <w:color w:val="auto"/>
        </w:rPr>
        <w:t>10628 Science Center Drive, Suite 250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City, State and Zip Code: </w:t>
      </w:r>
      <w:r>
        <w:rPr>
          <w:rFonts w:ascii="Arial" w:cs="Arial" w:eastAsia="Arial" w:hAnsi="Arial"/>
          <w:sz w:val="18"/>
          <w:szCs w:val="18"/>
          <w:b w:val="1"/>
          <w:bCs w:val="1"/>
          <w:color w:val="auto"/>
        </w:rPr>
        <w:t>San Diego, California 92121</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0" w:lineRule="exact"/>
        <w:rPr>
          <w:sz w:val="24"/>
          <w:szCs w:val="24"/>
          <w:color w:val="auto"/>
        </w:rPr>
      </w:pPr>
    </w:p>
    <w:p>
      <w:pPr>
        <w:ind w:left="1300" w:hanging="644"/>
        <w:spacing w:after="0"/>
        <w:tabs>
          <w:tab w:leader="none" w:pos="130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reasons described in reasonable detail in Part III of this form could not be eliminated without unreasonable effort or expense;</w:t>
      </w:r>
    </w:p>
    <w:p>
      <w:pPr>
        <w:spacing w:after="0" w:line="236" w:lineRule="exact"/>
        <w:rPr>
          <w:rFonts w:ascii="Arial" w:cs="Arial" w:eastAsia="Arial" w:hAnsi="Arial"/>
          <w:sz w:val="17"/>
          <w:szCs w:val="17"/>
          <w:color w:val="auto"/>
        </w:rPr>
      </w:pPr>
    </w:p>
    <w:p>
      <w:pPr>
        <w:ind w:left="1300" w:right="20" w:hanging="1292"/>
        <w:spacing w:after="0" w:line="286" w:lineRule="auto"/>
        <w:tabs>
          <w:tab w:leader="none" w:pos="6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(b)</w:t>
      </w:r>
      <w:r>
        <w:rPr>
          <w:rFonts w:ascii="Arial" w:cs="Arial" w:eastAsia="Arial" w:hAnsi="Arial"/>
          <w:sz w:val="17"/>
          <w:szCs w:val="17"/>
          <w:color w:val="auto"/>
        </w:rPr>
        <w:t>The subject annual report, semi-annual report, transition report on Forms 10-K, 20-F, 11-K, Form N-SAR, or portion thereof, will be filed on or before the 15th calendar day following the prescribed due date; or the subject quarterly report or transition report on Form 10-Q, or portion thereof, will be filed on or before the fifth calendar day following the prescribed due date; and</w:t>
      </w:r>
    </w:p>
    <w:p>
      <w:pPr>
        <w:spacing w:after="0" w:line="165" w:lineRule="exact"/>
        <w:rPr>
          <w:rFonts w:ascii="MS PGothic" w:cs="MS PGothic" w:eastAsia="MS PGothic" w:hAnsi="MS PGothic"/>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State below in reasonable detail the reasons why Forms 10-K, 11-K, 20-F, 10-Q, N-SAR, or the transition report portion thereof, could not be filed within the prescribed time period.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Registrant’s Quarterly Report on Form 10-Q for the period ended June 30, 2021 was not filed timely due to a technical transmission error at the time of filing. The Form 10-Q will be transmitted after the 5:30 PM eastern time deadline on August 9, 2021. As a result, the Registrant expects the Form 10-Q to receive a filing date of August 10,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 OTHER INFORMATION</w:t>
      </w:r>
    </w:p>
    <w:p>
      <w:pPr>
        <w:spacing w:after="0" w:line="229"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21"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5400" w:type="dxa"/>
            <w:vAlign w:val="bottom"/>
            <w:gridSpan w:val="3"/>
          </w:tcPr>
          <w:p>
            <w:pPr>
              <w:spacing w:after="0"/>
              <w:rPr>
                <w:sz w:val="20"/>
                <w:szCs w:val="20"/>
                <w:color w:val="auto"/>
              </w:rPr>
            </w:pPr>
            <w:r>
              <w:rPr>
                <w:rFonts w:ascii="Arial" w:cs="Arial" w:eastAsia="Arial" w:hAnsi="Arial"/>
                <w:sz w:val="18"/>
                <w:szCs w:val="18"/>
                <w:b w:val="1"/>
                <w:bCs w:val="1"/>
                <w:color w:val="auto"/>
              </w:rPr>
              <w:t>Joseph E. Payne</w:t>
            </w:r>
          </w:p>
        </w:tc>
        <w:tc>
          <w:tcPr>
            <w:tcW w:w="4260" w:type="dxa"/>
            <w:vAlign w:val="bottom"/>
          </w:tcPr>
          <w:p>
            <w:pPr>
              <w:spacing w:after="0"/>
              <w:rPr>
                <w:sz w:val="20"/>
                <w:szCs w:val="20"/>
                <w:color w:val="auto"/>
              </w:rPr>
            </w:pPr>
            <w:r>
              <w:rPr>
                <w:rFonts w:ascii="Arial" w:cs="Arial" w:eastAsia="Arial" w:hAnsi="Arial"/>
                <w:sz w:val="18"/>
                <w:szCs w:val="18"/>
                <w:b w:val="1"/>
                <w:bCs w:val="1"/>
                <w:color w:val="auto"/>
              </w:rPr>
              <w:t>(858) 900-2660</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1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(Area Code) (Telephone number)</w:t>
            </w:r>
          </w:p>
        </w:tc>
      </w:tr>
    </w:tbl>
    <w:p>
      <w:pPr>
        <w:spacing w:after="0" w:line="187" w:lineRule="exact"/>
        <w:rPr>
          <w:sz w:val="20"/>
          <w:szCs w:val="20"/>
          <w:color w:val="auto"/>
        </w:rPr>
      </w:pPr>
    </w:p>
    <w:p>
      <w:pPr>
        <w:ind w:left="660" w:right="100" w:hanging="652"/>
        <w:spacing w:after="0" w:line="227" w:lineRule="exact"/>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3" w:lineRule="exact"/>
        <w:rPr>
          <w:rFonts w:ascii="Arial" w:cs="Arial" w:eastAsia="Arial" w:hAnsi="Arial"/>
          <w:sz w:val="18"/>
          <w:szCs w:val="18"/>
          <w:color w:val="auto"/>
        </w:rPr>
      </w:pPr>
    </w:p>
    <w:p>
      <w:pPr>
        <w:ind w:left="660" w:right="260" w:hanging="652"/>
        <w:spacing w:after="0" w:line="233" w:lineRule="exact"/>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ARCTURUS THERAPEUTICS HOLDINGS INC.</w:t>
      </w:r>
    </w:p>
    <w:p>
      <w:pPr>
        <w:spacing w:after="0" w:line="24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(Name of Registrant as Specified in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Date:  August 9, 2021</w:t>
            </w:r>
          </w:p>
        </w:tc>
        <w:tc>
          <w:tcPr>
            <w:tcW w:w="2260" w:type="dxa"/>
            <w:vAlign w:val="bottom"/>
          </w:tcPr>
          <w:p>
            <w:pPr>
              <w:ind w:left="1700"/>
              <w:spacing w:after="0"/>
              <w:rPr>
                <w:sz w:val="20"/>
                <w:szCs w:val="20"/>
                <w:color w:val="auto"/>
              </w:rPr>
            </w:pPr>
            <w:r>
              <w:rPr>
                <w:rFonts w:ascii="Arial" w:cs="Arial" w:eastAsia="Arial" w:hAnsi="Arial"/>
                <w:sz w:val="18"/>
                <w:szCs w:val="18"/>
                <w:color w:val="auto"/>
              </w:rPr>
              <w:t>By:</w:t>
            </w:r>
          </w:p>
        </w:tc>
        <w:tc>
          <w:tcPr>
            <w:tcW w:w="2240" w:type="dxa"/>
            <w:vAlign w:val="bottom"/>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58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2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lvl w:ilvl="1">
      <w:lvlJc w:val="left"/>
      <w:lvlText w:val="(%2)"/>
      <w:numFmt w:val="lowerLetter"/>
      <w:start w:val="3"/>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2021-08-10T05:31:59Z</dcterms:created>
  <dcterms:modified xsi:type="dcterms:W3CDTF">2021-08-10T05:31:59Z</dcterms:modified>
</cp:coreProperties>
</file>