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60630.htm"/>
      <w:bookmarkStart w:id="1" w:name="ksarct20260630"/>
      <w:bookmarkEnd w:id="0"/>
      <w:bookmarkEnd w:id="1"/>
      <w:r>
        <w:rPr/>
        <w:t> </w:t>
      </w:r>
      <w:r>
        <mc:AlternateContent>
          <mc:Choice Requires="wps">
            <w:drawing>
              <wp:anchor behindDoc="0" distT="0" distB="0" distL="0" distR="0" simplePos="0" locked="0" layoutInCell="1" allowOverlap="1" relativeHeight="56">
                <wp:simplePos x="0" y="0"/>
                <wp:positionH relativeFrom="page">
                  <wp:posOffset>635000</wp:posOffset>
                </wp:positionH>
                <wp:positionV relativeFrom="page">
                  <wp:posOffset>9257030</wp:posOffset>
                </wp:positionV>
                <wp:extent cx="6528435" cy="175260"/>
                <wp:effectExtent l="0" t="0" r="0" b="0"/>
                <wp:wrapNone/>
                <wp:docPr id="1" name="Frame14"/>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728.9pt;mso-position-vertical-relative:page;margin-left:5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628015</wp:posOffset>
                </wp:positionH>
                <wp:positionV relativeFrom="page">
                  <wp:posOffset>2233930</wp:posOffset>
                </wp:positionV>
                <wp:extent cx="6528435" cy="175260"/>
                <wp:effectExtent l="0" t="0" r="0" b="0"/>
                <wp:wrapNone/>
                <wp:docPr id="2" name="Frame1"/>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175.9pt;mso-position-vertical-relative:page;margin-left:4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628015</wp:posOffset>
                </wp:positionH>
                <wp:positionV relativeFrom="page">
                  <wp:posOffset>6632575</wp:posOffset>
                </wp:positionV>
                <wp:extent cx="2886710" cy="175260"/>
                <wp:effectExtent l="0" t="0" r="0" b="0"/>
                <wp:wrapNone/>
                <wp:docPr id="3" name="Frame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3pt;height:13.8pt;mso-wrap-distance-left:0pt;mso-wrap-distance-right:0pt;mso-wrap-distance-top:0pt;mso-wrap-distance-bottom:0pt;margin-top:522.25pt;mso-position-vertical-relative:page;margin-left:4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3791585</wp:posOffset>
                </wp:positionH>
                <wp:positionV relativeFrom="page">
                  <wp:posOffset>6632575</wp:posOffset>
                </wp:positionV>
                <wp:extent cx="2884170" cy="175260"/>
                <wp:effectExtent l="0" t="0" r="0" b="0"/>
                <wp:wrapNone/>
                <wp:docPr id="4" name="Frame3"/>
                <a:graphic xmlns:a="http://schemas.openxmlformats.org/drawingml/2006/main">
                  <a:graphicData uri="http://schemas.microsoft.com/office/word/2010/wordprocessingShape">
                    <wps:wsp>
                      <wps:cNvSpPr txBox="1"/>
                      <wps:spPr>
                        <a:xfrm>
                          <a:off x="0" y="0"/>
                          <a:ext cx="28841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1pt;height:13.8pt;mso-wrap-distance-left:0pt;mso-wrap-distance-right:0pt;mso-wrap-distance-top:0pt;mso-wrap-distance-bottom:0pt;margin-top:522.25pt;mso-position-vertical-relative:page;margin-left:298.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628015</wp:posOffset>
                </wp:positionH>
                <wp:positionV relativeFrom="page">
                  <wp:posOffset>6986270</wp:posOffset>
                </wp:positionV>
                <wp:extent cx="2886710" cy="175260"/>
                <wp:effectExtent l="0" t="0" r="0" b="0"/>
                <wp:wrapNone/>
                <wp:docPr id="5" name="Frame4"/>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3pt;height:13.8pt;mso-wrap-distance-left:0pt;mso-wrap-distance-right:0pt;mso-wrap-distance-top:0pt;mso-wrap-distance-bottom:0pt;margin-top:550.1pt;mso-position-vertical-relative:page;margin-left:4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3791585</wp:posOffset>
                </wp:positionH>
                <wp:positionV relativeFrom="page">
                  <wp:posOffset>6986270</wp:posOffset>
                </wp:positionV>
                <wp:extent cx="2884170" cy="175260"/>
                <wp:effectExtent l="0" t="0" r="0" b="0"/>
                <wp:wrapNone/>
                <wp:docPr id="6" name="Frame5"/>
                <a:graphic xmlns:a="http://schemas.openxmlformats.org/drawingml/2006/main">
                  <a:graphicData uri="http://schemas.microsoft.com/office/word/2010/wordprocessingShape">
                    <wps:wsp>
                      <wps:cNvSpPr txBox="1"/>
                      <wps:spPr>
                        <a:xfrm>
                          <a:off x="0" y="0"/>
                          <a:ext cx="28841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1pt;height:13.8pt;mso-wrap-distance-left:0pt;mso-wrap-distance-right:0pt;mso-wrap-distance-top:0pt;mso-wrap-distance-bottom:0pt;margin-top:550.1pt;mso-position-vertical-relative:page;margin-left:298.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628015</wp:posOffset>
                </wp:positionH>
                <wp:positionV relativeFrom="page">
                  <wp:posOffset>7342505</wp:posOffset>
                </wp:positionV>
                <wp:extent cx="2886710" cy="175260"/>
                <wp:effectExtent l="0" t="0" r="0" b="0"/>
                <wp:wrapNone/>
                <wp:docPr id="7" name="Frame6"/>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3pt;height:13.8pt;mso-wrap-distance-left:0pt;mso-wrap-distance-right:0pt;mso-wrap-distance-top:0pt;mso-wrap-distance-bottom:0pt;margin-top:578.15pt;mso-position-vertical-relative:page;margin-left:4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3791585</wp:posOffset>
                </wp:positionH>
                <wp:positionV relativeFrom="page">
                  <wp:posOffset>7342505</wp:posOffset>
                </wp:positionV>
                <wp:extent cx="2884170" cy="175260"/>
                <wp:effectExtent l="0" t="0" r="0" b="0"/>
                <wp:wrapNone/>
                <wp:docPr id="8" name="Frame7"/>
                <a:graphic xmlns:a="http://schemas.openxmlformats.org/drawingml/2006/main">
                  <a:graphicData uri="http://schemas.microsoft.com/office/word/2010/wordprocessingShape">
                    <wps:wsp>
                      <wps:cNvSpPr txBox="1"/>
                      <wps:spPr>
                        <a:xfrm>
                          <a:off x="0" y="0"/>
                          <a:ext cx="28841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1pt;height:13.8pt;mso-wrap-distance-left:0pt;mso-wrap-distance-right:0pt;mso-wrap-distance-top:0pt;mso-wrap-distance-bottom:0pt;margin-top:578.15pt;mso-position-vertical-relative:page;margin-left:298.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3782695</wp:posOffset>
                </wp:positionH>
                <wp:positionV relativeFrom="page">
                  <wp:posOffset>7699375</wp:posOffset>
                </wp:positionV>
                <wp:extent cx="2893060" cy="175260"/>
                <wp:effectExtent l="0" t="0" r="0" b="0"/>
                <wp:wrapNone/>
                <wp:docPr id="9" name="Frame8"/>
                <a:graphic xmlns:a="http://schemas.openxmlformats.org/drawingml/2006/main">
                  <a:graphicData uri="http://schemas.microsoft.com/office/word/2010/wordprocessingShape">
                    <wps:wsp>
                      <wps:cNvSpPr txBox="1"/>
                      <wps:spPr>
                        <a:xfrm>
                          <a:off x="0" y="0"/>
                          <a:ext cx="289306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7.8pt;height:13.8pt;mso-wrap-distance-left:0pt;mso-wrap-distance-right:0pt;mso-wrap-distance-top:0pt;mso-wrap-distance-bottom:0pt;margin-top:606.25pt;mso-position-vertical-relative:page;margin-left:29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628015</wp:posOffset>
                </wp:positionH>
                <wp:positionV relativeFrom="page">
                  <wp:posOffset>9125585</wp:posOffset>
                </wp:positionV>
                <wp:extent cx="6269990" cy="175260"/>
                <wp:effectExtent l="0" t="0" r="0" b="0"/>
                <wp:wrapNone/>
                <wp:docPr id="10" name="Frame9"/>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3.7pt;height:13.8pt;mso-wrap-distance-left:0pt;mso-wrap-distance-right:0pt;mso-wrap-distance-top:0pt;mso-wrap-distance-bottom:0pt;margin-top:718.55pt;mso-position-vertical-relative:page;margin-left:4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636905</wp:posOffset>
                </wp:positionH>
                <wp:positionV relativeFrom="page">
                  <wp:posOffset>7699375</wp:posOffset>
                </wp:positionV>
                <wp:extent cx="2877820" cy="175260"/>
                <wp:effectExtent l="0" t="0" r="0" b="0"/>
                <wp:wrapNone/>
                <wp:docPr id="11" name="Frame10"/>
                <a:graphic xmlns:a="http://schemas.openxmlformats.org/drawingml/2006/main">
                  <a:graphicData uri="http://schemas.microsoft.com/office/word/2010/wordprocessingShape">
                    <wps:wsp>
                      <wps:cNvSpPr txBox="1"/>
                      <wps:spPr>
                        <a:xfrm>
                          <a:off x="0" y="0"/>
                          <a:ext cx="28778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6.6pt;height:13.8pt;mso-wrap-distance-left:0pt;mso-wrap-distance-right:0pt;mso-wrap-distance-top:0pt;mso-wrap-distance-bottom:0pt;margin-top:606.25pt;mso-position-vertical-relative:page;margin-left:50.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636270</wp:posOffset>
                </wp:positionH>
                <wp:positionV relativeFrom="page">
                  <wp:posOffset>9257030</wp:posOffset>
                </wp:positionV>
                <wp:extent cx="6528435" cy="175260"/>
                <wp:effectExtent l="0" t="0" r="0" b="0"/>
                <wp:wrapNone/>
                <wp:docPr id="12" name="Frame11"/>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728.9pt;mso-position-vertical-relative:page;margin-left:50.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636270</wp:posOffset>
                </wp:positionH>
                <wp:positionV relativeFrom="page">
                  <wp:posOffset>9257030</wp:posOffset>
                </wp:positionV>
                <wp:extent cx="6528435" cy="175260"/>
                <wp:effectExtent l="0" t="0" r="0" b="0"/>
                <wp:wrapNone/>
                <wp:docPr id="13" name="Frame12"/>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728.9pt;mso-position-vertical-relative:page;margin-left:50.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635000</wp:posOffset>
                </wp:positionH>
                <wp:positionV relativeFrom="page">
                  <wp:posOffset>9257030</wp:posOffset>
                </wp:positionV>
                <wp:extent cx="6528435" cy="175260"/>
                <wp:effectExtent l="0" t="0" r="0" b="0"/>
                <wp:wrapNone/>
                <wp:docPr id="14" name="Frame13"/>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728.9pt;mso-position-vertical-relative:page;margin-left:5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655320</wp:posOffset>
                </wp:positionH>
                <wp:positionV relativeFrom="page">
                  <wp:posOffset>9257030</wp:posOffset>
                </wp:positionV>
                <wp:extent cx="6496050" cy="175260"/>
                <wp:effectExtent l="0" t="0" r="0" b="0"/>
                <wp:wrapNone/>
                <wp:docPr id="15" name="Frame28"/>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636270</wp:posOffset>
                </wp:positionH>
                <wp:positionV relativeFrom="page">
                  <wp:posOffset>9257030</wp:posOffset>
                </wp:positionV>
                <wp:extent cx="6528435" cy="175260"/>
                <wp:effectExtent l="0" t="0" r="0" b="0"/>
                <wp:wrapNone/>
                <wp:docPr id="16" name="Frame15"/>
                <a:graphic xmlns:a="http://schemas.openxmlformats.org/drawingml/2006/main">
                  <a:graphicData uri="http://schemas.microsoft.com/office/word/2010/wordprocessingShape">
                    <wps:wsp>
                      <wps:cNvSpPr txBox="1"/>
                      <wps:spPr>
                        <a:xfrm>
                          <a:off x="0" y="0"/>
                          <a:ext cx="6528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05pt;height:13.8pt;mso-wrap-distance-left:0pt;mso-wrap-distance-right:0pt;mso-wrap-distance-top:0pt;mso-wrap-distance-bottom:0pt;margin-top:728.9pt;mso-position-vertical-relative:page;margin-left:50.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0</wp:posOffset>
                </wp:positionH>
                <wp:positionV relativeFrom="page">
                  <wp:posOffset>0</wp:posOffset>
                </wp:positionV>
                <wp:extent cx="7560310" cy="9957435"/>
                <wp:effectExtent l="0" t="0" r="0" b="0"/>
                <wp:wrapNone/>
                <wp:docPr id="17" name="Frame16"/>
                <a:graphic xmlns:a="http://schemas.openxmlformats.org/drawingml/2006/main">
                  <a:graphicData uri="http://schemas.microsoft.com/office/word/2010/wordprocessingShape">
                    <wps:wsp>
                      <wps:cNvSpPr txBox="1"/>
                      <wps:spPr>
                        <a:xfrm>
                          <a:off x="0" y="0"/>
                          <a:ext cx="7560310" cy="9957435"/>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784.0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637540</wp:posOffset>
                </wp:positionH>
                <wp:positionV relativeFrom="page">
                  <wp:posOffset>8747760</wp:posOffset>
                </wp:positionV>
                <wp:extent cx="1840865" cy="175260"/>
                <wp:effectExtent l="0" t="0" r="0" b="0"/>
                <wp:wrapNone/>
                <wp:docPr id="18" name="Frame17"/>
                <a:graphic xmlns:a="http://schemas.openxmlformats.org/drawingml/2006/main">
                  <a:graphicData uri="http://schemas.microsoft.com/office/word/2010/wordprocessingShape">
                    <wps:wsp>
                      <wps:cNvSpPr txBox="1"/>
                      <wps:spPr>
                        <a:xfrm>
                          <a:off x="0" y="0"/>
                          <a:ext cx="18408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4.95pt;height:13.8pt;mso-wrap-distance-left:0pt;mso-wrap-distance-right:0pt;mso-wrap-distance-top:0pt;mso-wrap-distance-bottom:0pt;margin-top:688.8pt;mso-position-vertical-relative:page;margin-left:50.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637540</wp:posOffset>
                </wp:positionH>
                <wp:positionV relativeFrom="page">
                  <wp:posOffset>9257030</wp:posOffset>
                </wp:positionV>
                <wp:extent cx="6513830" cy="175260"/>
                <wp:effectExtent l="0" t="0" r="0" b="0"/>
                <wp:wrapNone/>
                <wp:docPr id="19" name="Frame18"/>
                <a:graphic xmlns:a="http://schemas.openxmlformats.org/drawingml/2006/main">
                  <a:graphicData uri="http://schemas.microsoft.com/office/word/2010/wordprocessingShape">
                    <wps:wsp>
                      <wps:cNvSpPr txBox="1"/>
                      <wps:spPr>
                        <a:xfrm>
                          <a:off x="0" y="0"/>
                          <a:ext cx="65138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2.9pt;height:13.8pt;mso-wrap-distance-left:0pt;mso-wrap-distance-right:0pt;mso-wrap-distance-top:0pt;mso-wrap-distance-bottom:0pt;margin-top:728.9pt;mso-position-vertical-relative:page;margin-left:50.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655320</wp:posOffset>
                </wp:positionH>
                <wp:positionV relativeFrom="page">
                  <wp:posOffset>9257030</wp:posOffset>
                </wp:positionV>
                <wp:extent cx="6496050" cy="175260"/>
                <wp:effectExtent l="0" t="0" r="0" b="0"/>
                <wp:wrapNone/>
                <wp:docPr id="20" name="Frame19"/>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655320</wp:posOffset>
                </wp:positionH>
                <wp:positionV relativeFrom="page">
                  <wp:posOffset>9257030</wp:posOffset>
                </wp:positionV>
                <wp:extent cx="6496050" cy="175260"/>
                <wp:effectExtent l="0" t="0" r="0" b="0"/>
                <wp:wrapNone/>
                <wp:docPr id="21" name="Frame20"/>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655320</wp:posOffset>
                </wp:positionH>
                <wp:positionV relativeFrom="page">
                  <wp:posOffset>9257030</wp:posOffset>
                </wp:positionV>
                <wp:extent cx="6496050" cy="175260"/>
                <wp:effectExtent l="0" t="0" r="0" b="0"/>
                <wp:wrapNone/>
                <wp:docPr id="22" name="Frame21"/>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655320</wp:posOffset>
                </wp:positionH>
                <wp:positionV relativeFrom="page">
                  <wp:posOffset>9257030</wp:posOffset>
                </wp:positionV>
                <wp:extent cx="6496050" cy="175260"/>
                <wp:effectExtent l="0" t="0" r="0" b="0"/>
                <wp:wrapNone/>
                <wp:docPr id="23" name="Frame22"/>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655320</wp:posOffset>
                </wp:positionH>
                <wp:positionV relativeFrom="page">
                  <wp:posOffset>9257030</wp:posOffset>
                </wp:positionV>
                <wp:extent cx="6496050" cy="175260"/>
                <wp:effectExtent l="0" t="0" r="0" b="0"/>
                <wp:wrapNone/>
                <wp:docPr id="24" name="Frame23"/>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655320</wp:posOffset>
                </wp:positionH>
                <wp:positionV relativeFrom="page">
                  <wp:posOffset>9257030</wp:posOffset>
                </wp:positionV>
                <wp:extent cx="6496050" cy="175260"/>
                <wp:effectExtent l="0" t="0" r="0" b="0"/>
                <wp:wrapNone/>
                <wp:docPr id="25" name="Frame24"/>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655320</wp:posOffset>
                </wp:positionH>
                <wp:positionV relativeFrom="page">
                  <wp:posOffset>9257030</wp:posOffset>
                </wp:positionV>
                <wp:extent cx="6496050" cy="175260"/>
                <wp:effectExtent l="0" t="0" r="0" b="0"/>
                <wp:wrapNone/>
                <wp:docPr id="26" name="Frame25"/>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655320</wp:posOffset>
                </wp:positionH>
                <wp:positionV relativeFrom="page">
                  <wp:posOffset>9257030</wp:posOffset>
                </wp:positionV>
                <wp:extent cx="6496050" cy="175260"/>
                <wp:effectExtent l="0" t="0" r="0" b="0"/>
                <wp:wrapNone/>
                <wp:docPr id="27" name="Frame26"/>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655320</wp:posOffset>
                </wp:positionH>
                <wp:positionV relativeFrom="page">
                  <wp:posOffset>9257030</wp:posOffset>
                </wp:positionV>
                <wp:extent cx="6496050" cy="175260"/>
                <wp:effectExtent l="0" t="0" r="0" b="0"/>
                <wp:wrapNone/>
                <wp:docPr id="28" name="Frame27"/>
                <a:graphic xmlns:a="http://schemas.openxmlformats.org/drawingml/2006/main">
                  <a:graphicData uri="http://schemas.microsoft.com/office/word/2010/wordprocessingShape">
                    <wps:wsp>
                      <wps:cNvSpPr txBox="1"/>
                      <wps:spPr>
                        <a:xfrm>
                          <a:off x="0" y="0"/>
                          <a:ext cx="64960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1.5pt;height:13.8pt;mso-wrap-distance-left:0pt;mso-wrap-distance-right:0pt;mso-wrap-distance-top:0pt;mso-wrap-distance-bottom:0pt;margin-top:728.9pt;mso-position-vertical-relative:page;margin-left:51.6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pBdr>
          <w:bottom w:val="double" w:sz="4" w:space="1" w:color="000000"/>
        </w:pBdr>
        <w:bidi w:val="0"/>
        <w:jc w:val="left"/>
        <w:rPr>
          <w:rFonts w:ascii="Times New Roman" w:hAnsi="Times New Roman"/>
          <w:color w:val="000000"/>
          <w:sz w:val="2"/>
        </w:rPr>
      </w:pPr>
      <w:r>
        <w:rPr>
          <w:rFonts w:ascii="Times New Roman" w:hAnsi="Times New Roman"/>
          <w:color w:val="000000"/>
          <w:sz w:val="2"/>
        </w:rPr>
        <w:t>cs</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4"/>
              </w:rPr>
            </w:pPr>
            <w:r>
              <w:rPr>
                <w:rFonts w:ascii="Times New Roman" w:hAnsi="Times New Roman"/>
                <w:b/>
                <w:color w:val="000000"/>
                <w:sz w:val="14"/>
              </w:rPr>
              <w:t>10285 Science Center Drive</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center"/>
        <w:rPr/>
      </w:pPr>
      <w:r>
        <w:rPr/>
        <w:t> </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4, 2026, the registrant had 28,423,069</w:t>
      </w:r>
      <w:r>
        <w:rPr>
          <w:rFonts w:ascii="Times New Roman" w:hAnsi="Times New Roman"/>
          <w:color w:val="000000"/>
          <w:sz w:val="20"/>
        </w:rPr>
        <w:t xml:space="preserve"> </w:t>
      </w:r>
      <w:r>
        <w:rPr>
          <w:rFonts w:ascii="Times New Roman" w:hAnsi="Times New Roman"/>
          <w:color w:val="000000"/>
          <w:sz w:val="18"/>
        </w:rPr>
        <w:t>shares of voting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8864"/>
        <w:gridCol w:w="512"/>
      </w:tblGrid>
      <w:tr>
        <w:trPr/>
        <w:tc>
          <w:tcPr>
            <w:tcW w:w="829" w:type="dxa"/>
            <w:tcBorders/>
            <w:vAlign w:val="center"/>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Changes in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Arcturus assumes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that clinical data will be sufficient for regulatory approval or completed in time to submit an application for regulatory approval within a particular timeframe;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including outcomes of meetings with the FDA regarding a regulatory pathway for ARCT-810 and ARCT-032;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our ability to prevail in any disputes regarding such collaboration agreements, and our ability to enter into new collaboration agreements with strategic counterparties;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development activities of the LUNAR-COVID and LUNAR-FLU programs, and the other infectious disease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of optimizing KOSTAIVE’s product presentation and formulation;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Arcturus currently believes that the expectations reflected in the forward-looking statements are reasonable, the Company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9"/>
        <w:gridCol w:w="146"/>
        <w:gridCol w:w="211"/>
        <w:gridCol w:w="841"/>
        <w:gridCol w:w="166"/>
        <w:gridCol w:w="146"/>
        <w:gridCol w:w="218"/>
        <w:gridCol w:w="875"/>
        <w:gridCol w:w="593"/>
      </w:tblGrid>
      <w:tr>
        <w:trPr/>
        <w:tc>
          <w:tcPr>
            <w:tcW w:w="7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57,163</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28,423 at June 30, 2026 and 28,414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728,547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112"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166"/>
        <w:gridCol w:w="146"/>
        <w:gridCol w:w="211"/>
        <w:gridCol w:w="736"/>
        <w:gridCol w:w="166"/>
        <w:gridCol w:w="146"/>
        <w:gridCol w:w="211"/>
        <w:gridCol w:w="736"/>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191,362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(565,339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171,808</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233,759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231,053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984" w:type="dxa"/>
        <w:jc w:val="left"/>
        <w:tblInd w:w="0" w:type="dxa"/>
        <w:tblLayout w:type="fixed"/>
        <w:tblCellMar>
          <w:top w:w="28" w:type="dxa"/>
          <w:left w:w="28" w:type="dxa"/>
          <w:bottom w:w="28" w:type="dxa"/>
          <w:right w:w="28" w:type="dxa"/>
        </w:tblCellMar>
      </w:tblPr>
      <w:tblGrid>
        <w:gridCol w:w="6031"/>
        <w:gridCol w:w="146"/>
        <w:gridCol w:w="211"/>
        <w:gridCol w:w="781"/>
        <w:gridCol w:w="166"/>
        <w:gridCol w:w="146"/>
        <w:gridCol w:w="211"/>
        <w:gridCol w:w="781"/>
        <w:gridCol w:w="5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Arcturus Therapeutics Holdings Inc. (the “Company” or "Arcturus") is a messenger RNA medicines company focused on the development of liver and respiratory rare disease therapeutics. Arcturus became a clinical stage company in 2020 when it announced that its Investigational New Drug (“IND”) application for ornithine transcarbamylase (“OTC”) deficiency and its Clinical Trial Application (“CTA”) for candidate LUNAR-COVID were approved by applicable health authorities. In 2023, our COVID-19 vaccine, ARCT-154 (also referred to as KOSTAIVE</w:t>
      </w:r>
      <w:r>
        <w:rPr>
          <w:rFonts w:ascii="Times New Roman" w:hAnsi="Times New Roman"/>
          <w:color w:val="000000"/>
          <w:sz w:val="13"/>
        </w:rPr>
        <w:t>®</w:t>
      </w:r>
      <w:r>
        <w:rPr>
          <w:rFonts w:ascii="Times New Roman" w:hAnsi="Times New Roman"/>
          <w:color w:val="000000"/>
          <w:sz w:val="20"/>
        </w:rPr>
        <w:t>), received marketing authorization approval in Japan for adults 18 years and older, and in September 2024 KOSTAIVE became the world’s first approved and commercially available self-amplifying RNA (sa-mRNA) vaccine.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to our significant accounting policies as disclosed in the Company’s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six months ended June 30, 2026 in the balances of contract assets and liabilities as compared to what was disclosed in the Company’s Annual Report on Form 10-K for the year ended December 31, 2025.</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1871"/>
        <w:gridCol w:w="146"/>
        <w:gridCol w:w="403"/>
        <w:gridCol w:w="1097"/>
        <w:gridCol w:w="146"/>
        <w:gridCol w:w="146"/>
        <w:gridCol w:w="214"/>
        <w:gridCol w:w="582"/>
        <w:gridCol w:w="146"/>
        <w:gridCol w:w="146"/>
        <w:gridCol w:w="225"/>
        <w:gridCol w:w="676"/>
        <w:gridCol w:w="166"/>
        <w:gridCol w:w="146"/>
        <w:gridCol w:w="303"/>
        <w:gridCol w:w="822"/>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rPr/>
      </w:pPr>
      <w:r>
        <w:rPr/>
        <w:t> </w:t>
      </w:r>
    </w:p>
    <w:tbl>
      <w:tblPr>
        <w:tblW w:w="9315" w:type="dxa"/>
        <w:jc w:val="left"/>
        <w:tblInd w:w="0" w:type="dxa"/>
        <w:tblLayout w:type="fixed"/>
        <w:tblCellMar>
          <w:top w:w="28" w:type="dxa"/>
          <w:left w:w="28" w:type="dxa"/>
          <w:bottom w:w="28" w:type="dxa"/>
          <w:right w:w="28" w:type="dxa"/>
        </w:tblCellMar>
      </w:tblPr>
      <w:tblGrid>
        <w:gridCol w:w="2786"/>
        <w:gridCol w:w="146"/>
        <w:gridCol w:w="306"/>
        <w:gridCol w:w="830"/>
        <w:gridCol w:w="212"/>
        <w:gridCol w:w="212"/>
        <w:gridCol w:w="306"/>
        <w:gridCol w:w="982"/>
        <w:gridCol w:w="146"/>
        <w:gridCol w:w="146"/>
        <w:gridCol w:w="285"/>
        <w:gridCol w:w="773"/>
        <w:gridCol w:w="197"/>
        <w:gridCol w:w="197"/>
        <w:gridCol w:w="285"/>
        <w:gridCol w:w="915"/>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Gates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processes. CSL Seqirus will lead the development and commercialization of vaccines under the collaboration. In September 2024, our COVID-19 vaccine KOSTAIVE</w:t>
      </w:r>
      <w:r>
        <w:rPr>
          <w:rFonts w:ascii="Times New Roman" w:hAnsi="Times New Roman"/>
          <w:color w:val="000000"/>
          <w:sz w:val="13"/>
        </w:rPr>
        <w:t>®</w:t>
      </w:r>
      <w:r>
        <w:rPr>
          <w:rFonts w:ascii="Times New Roman" w:hAnsi="Times New Roman"/>
          <w:color w:val="000000"/>
          <w:sz w:val="20"/>
        </w:rPr>
        <w:t xml:space="preserve"> became the world’s first approved and commercially available self-amplifying RNA (sa-mRNA)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 $200.0 million upfront payment under the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transaction price consisted of upfront consideration received and milestones achieved. Additional variable consideration was not included in the transaction price as of June 30, 2026, because the Company could not conclude that it is probable that including the variable consideration will not result in a significant revenue reversal.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during the six months ended June 30, 2026 relates to services performed through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June 30, 2026 and December 31, 2025 for the CSL Collaboration Agreement was $5.2 million and $6.2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The performance obligation was fully satisfied during the 2025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(iv) provisions of the CSL Collaboration Agreement related to distributors, and (v) proprietary payment calculations related to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and CSL Seqirus were in discussions regarding termination of the CSL Collaboration Agreement and had reached an understanding on the principal commercial terms; however, the CSL Collaboration Agreement had not been terminated as of June 30, 2026. Accordingly, the Company continued to account for the CSL Collaboration Agreement in accordance with its existing terms through June 30, 2026. On August 3, 2026, the Company entered into a Termination and Settlement Agreement (the “Termination Agreement”) with CSL Seqirus. See “Note 11 Subsequent Events” for additional information.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BARDA</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remaining available funding net of revenue earned was $24.6 million.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grant revenue related to cost reimbursement under two grants awarded by the 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grants support development of (i) a therapeutic HPV vaccine candidate and (ii) durability assessments of self-amplifying mRNA COVID-19 vaccine platforms. Grant funding is conditional upon achievement of defined milestones and submission of periodic progress and financial reports. Revenue is recognized when qualifying costs, including employee full-time equivalent (“FTE”) labor and related expenses, are incurred in accordance with the terms of each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Unspent or uncommitted amounts remain deferred until the associated performance obligations are satisfied. As of June 30, 2026, deferred grant revenue related to these agreements totaled $1.1 million.</w:t>
      </w:r>
    </w:p>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relatively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all assets measured at fair value on a recurring basis consisted of cash equivalents and money market funds, which were classified within Level 1 of the fair value hierarchy. The fair value of these financial instruments was measured based on quoted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Other Balance Sheet Details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rPr/>
      </w:pPr>
      <w:r>
        <w:rPr/>
        <w:t> </w:t>
      </w:r>
    </w:p>
    <w:tbl>
      <w:tblPr>
        <w:tblW w:w="7345" w:type="dxa"/>
        <w:jc w:val="left"/>
        <w:tblInd w:w="0" w:type="dxa"/>
        <w:tblLayout w:type="fixed"/>
        <w:tblCellMar>
          <w:top w:w="28" w:type="dxa"/>
          <w:left w:w="28" w:type="dxa"/>
          <w:bottom w:w="28" w:type="dxa"/>
          <w:right w:w="28" w:type="dxa"/>
        </w:tblCellMar>
      </w:tblPr>
      <w:tblGrid>
        <w:gridCol w:w="4051"/>
        <w:gridCol w:w="146"/>
        <w:gridCol w:w="250"/>
        <w:gridCol w:w="875"/>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$0.6 million and $1.3 million for the three and six months ended June 30, 2026, respectively, and $0.8 million and $1.6 million 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7440" w:type="dxa"/>
        <w:jc w:val="left"/>
        <w:tblInd w:w="0" w:type="dxa"/>
        <w:tblLayout w:type="fixed"/>
        <w:tblCellMar>
          <w:top w:w="28" w:type="dxa"/>
          <w:left w:w="28" w:type="dxa"/>
          <w:bottom w:w="28" w:type="dxa"/>
          <w:right w:w="28" w:type="dxa"/>
        </w:tblCellMar>
      </w:tblPr>
      <w:tblGrid>
        <w:gridCol w:w="4186"/>
        <w:gridCol w:w="146"/>
        <w:gridCol w:w="267"/>
        <w:gridCol w:w="858"/>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facilities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w:t>
      </w:r>
    </w:p>
    <w:p>
      <w:pPr>
        <w:pStyle w:val="TextBody"/>
        <w:bidi w:val="0"/>
        <w:jc w:val="left"/>
        <w:rPr/>
      </w:pPr>
      <w:r>
        <w:rPr/>
        <w:t> </w:t>
      </w:r>
    </w:p>
    <w:tbl>
      <w:tblPr>
        <w:tblW w:w="6825" w:type="dxa"/>
        <w:jc w:val="left"/>
        <w:tblInd w:w="0" w:type="dxa"/>
        <w:tblLayout w:type="fixed"/>
        <w:tblCellMar>
          <w:top w:w="28" w:type="dxa"/>
          <w:left w:w="28" w:type="dxa"/>
          <w:bottom w:w="28" w:type="dxa"/>
          <w:right w:w="28" w:type="dxa"/>
        </w:tblCellMar>
      </w:tblPr>
      <w:tblGrid>
        <w:gridCol w:w="3946"/>
        <w:gridCol w:w="146"/>
        <w:gridCol w:w="239"/>
        <w:gridCol w:w="886"/>
        <w:gridCol w:w="146"/>
        <w:gridCol w:w="146"/>
        <w:gridCol w:w="239"/>
        <w:gridCol w:w="88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includes cash required to be set aside as security for lease payments and to maintain a letter of credit for the benefit of the landlord of the Company’s offices. As of June 30, 2026 and 2025, the Company had restricted cash of $2.0 million and $1.9 million, respectively, in conjunction with property leases in San Diego, California, and such restriction is expected to be removed at the end of the lease term. As of June 30, 2025, restricted cash also included $55.0 million pledged as collateral pursuant to the Company's former security agreement with Wells Fargo Bank, National Association, which was terminated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dilutive securities that were not included in the calculation of diluted net loss per share as they were anti-dilutive totaled 0.1 million and 0.1 million for three and six months ended June 30, 2026, respectively, and 0.3 million and 0.4 million for the three and six months ended June 30, 2025, respectively.</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2022, the Company entered into a Controlled Equity Offering℠ Sales Agreement, which was amended on August 7, 2023 (as amended, the “Sales Agreement”) with Cantor Fitzgerald &amp; Co. (“Cantor”), 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the Company sold 1,179,201 shares of its common stock pursuant to the Sales Agreement at a weighted-average price of $10.38 per share, resulting in gross proceeds of approximately $12.2 million. After deducting offering costs of $0.5 million, the Company received net proceeds of approximately $11.7 million from these sales. In December 2025, the Company filed, and subsequently had declared effective, a replacement shelf registration statement on Form S</w:t>
        <w:noBreakHyphen/>
        <w:t>3, which replaced the prior registration statement and continues to support the Sales Agreement. During the six months ended June 30, 2026, the Company did not offer or sell any shares of common stock pursuant to the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June 30, 2026, a total of 938,497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Pursuant to the terms of the plan, shares underlying awards that are forfeited, cancelled, or terminated without issuance are returned to the share reserve. As of June 30, 2026, a total of 165,926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was as follows: </w:t>
      </w:r>
    </w:p>
    <w:p>
      <w:pPr>
        <w:pStyle w:val="TextBody"/>
        <w:bidi w:val="0"/>
        <w:jc w:val="left"/>
        <w:rPr/>
      </w:pPr>
      <w:r>
        <w:rPr/>
        <w:t> </w:t>
      </w:r>
    </w:p>
    <w:tbl>
      <w:tblPr>
        <w:tblW w:w="8502" w:type="dxa"/>
        <w:jc w:val="left"/>
        <w:tblInd w:w="0" w:type="dxa"/>
        <w:tblLayout w:type="fixed"/>
        <w:tblCellMar>
          <w:top w:w="28" w:type="dxa"/>
          <w:left w:w="28" w:type="dxa"/>
          <w:bottom w:w="28" w:type="dxa"/>
          <w:right w:w="28" w:type="dxa"/>
        </w:tblCellMar>
      </w:tblPr>
      <w:tblGrid>
        <w:gridCol w:w="2371"/>
        <w:gridCol w:w="146"/>
        <w:gridCol w:w="324"/>
        <w:gridCol w:w="877"/>
        <w:gridCol w:w="224"/>
        <w:gridCol w:w="224"/>
        <w:gridCol w:w="324"/>
        <w:gridCol w:w="877"/>
        <w:gridCol w:w="146"/>
        <w:gridCol w:w="146"/>
        <w:gridCol w:w="285"/>
        <w:gridCol w:w="773"/>
        <w:gridCol w:w="197"/>
        <w:gridCol w:w="197"/>
        <w:gridCol w:w="285"/>
        <w:gridCol w:w="915"/>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 jurisdictions. The Company calculates its quarterly income tax provision using a forecasted annual effective tax rate and records discrete items in the period in which they arise. The primary difference between the Company’s effective tax rate and the federal statutory rate is attributable to federal and state income tax expense offset by a valuation allowance on the Company’s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negligible income tax expense for the three and six months ended June 30, 2026 and 2025. No tax benefit was recorded for losses incurred in the United States, as such losses are offset by a full valuation allowance.</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Total contra expense recognized was $0.2 million and $0.5 million for the three and six months ended June 30, 2026 respectively, and $0.3 million and $0.7 million for the three and six months ended June 30, 2025, respectively. As of June 30, 2026 and December 31, 2025, $5.9 million and $6.4 million, respectively, remained in accrued liabilities. </w:t>
      </w:r>
    </w:p>
    <w:p>
      <w:pPr>
        <w:pStyle w:val="TextBody"/>
        <w:bidi w:val="0"/>
        <w:spacing w:before="120" w:after="160"/>
        <w:jc w:val="left"/>
        <w:rPr>
          <w:rFonts w:ascii="Times New Roman" w:hAnsi="Times New Roman"/>
          <w:i/>
          <w:color w:val="000000"/>
          <w:sz w:val="20"/>
          <w:u w:val="single"/>
        </w:rPr>
      </w:pPr>
      <w:r>
        <w:rPr>
          <w:rFonts w:ascii="Times New Roman" w:hAnsi="Times New Roman"/>
          <w:i/>
          <w:color w:val="000000"/>
          <w:sz w:val="20"/>
          <w:u w:val="single"/>
        </w:rPr>
        <w:t>Thermo Fisher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June 2026, the Company entered into a series of agreements with Thermo Fisher Scientific Inc. (“Thermo Fisher”) and certain of Thermo Fisher’s affiliates to establish a strategic collaboration for the provision of contract development and manufacturing organization (“CDMO”) and contract research organization (“CRO”) services in connection with the development of ARCT-032, our investigational mRNA therapeutic for cystic fibrosis (“CF”). Under the agreement, Thermo Fisher has agreed to provide qualifying clinical manufacturing services with an aggregate value of up to $40.0 million. Upon the Company's decision to advance ARCT-032 into Phase 3 clinical development, the Company has agreed to engage Thermo Fisher's affiliate, PPD, Inc. (“PPD”), to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qualifying clinical research organization ("CRO") services for an aggregate value of up to $40.0 million for the Phase 3 clinical trial and related open-label extension study.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agreement also contemplates that, following regulatory approval of ARCT-032 and subject to execution of a future commercial supply agreement and Thermo Fisher's continued ability to manufacture ARCT-032 in compliance with applicable regulatory requirements, Thermo Fisher would receive certain exclusive commercial manufacturing rights. As of June 30, 2026, no commercial supply agreement had been executed and no amounts had been recognized related to these provisions.</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non-cancellable operating lease agreement for office space adjacent to its previously occupied headquarters. The commencement of the lease began in March 2018 and the lease extended for approximately 84 months from the commencement date with a remaining lease term through March 2025. In March 2024, the Company negotiated with the lessor to extend the lease through March 2027.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vacated this office space with no intention of operating out of the location in the future. The Company remains obligated to make the remaining lease payments through March 2027. An impairment loss of $1.9 million was recorded for this lease in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liabilities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assets and liabilities.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remaining payments of the operating lease liabilities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liabilities and are recorded on a straight-line basis over the lease terms. Operating lease costs were $0.9 million and $1.9 million for the three and six months ended June 30, 2026, respectively, and $1.3 million and $2.5 million 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 The CODM does not evaluate the operating segment using asset or liability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significant segment expenses:</w:t>
      </w:r>
    </w:p>
    <w:p>
      <w:pPr>
        <w:pStyle w:val="TextBody"/>
        <w:bidi w:val="0"/>
        <w:jc w:val="left"/>
        <w:rPr/>
      </w:pPr>
      <w:r>
        <w:rPr/>
        <w:t> </w:t>
      </w:r>
    </w:p>
    <w:tbl>
      <w:tblPr>
        <w:tblW w:w="9165" w:type="dxa"/>
        <w:jc w:val="left"/>
        <w:tblInd w:w="0" w:type="dxa"/>
        <w:tblLayout w:type="fixed"/>
        <w:tblCellMar>
          <w:top w:w="28" w:type="dxa"/>
          <w:left w:w="28" w:type="dxa"/>
          <w:bottom w:w="28" w:type="dxa"/>
          <w:right w:w="28" w:type="dxa"/>
        </w:tblCellMar>
      </w:tblPr>
      <w:tblGrid>
        <w:gridCol w:w="2816"/>
        <w:gridCol w:w="146"/>
        <w:gridCol w:w="262"/>
        <w:gridCol w:w="915"/>
        <w:gridCol w:w="206"/>
        <w:gridCol w:w="181"/>
        <w:gridCol w:w="181"/>
        <w:gridCol w:w="262"/>
        <w:gridCol w:w="840"/>
        <w:gridCol w:w="166"/>
        <w:gridCol w:w="146"/>
        <w:gridCol w:w="238"/>
        <w:gridCol w:w="831"/>
        <w:gridCol w:w="187"/>
        <w:gridCol w:w="164"/>
        <w:gridCol w:w="164"/>
        <w:gridCol w:w="238"/>
        <w:gridCol w:w="831"/>
        <w:gridCol w:w="3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Primarily includes interest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Equity-method Investment - ARCALIS,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for which the Company exercises significant influence but does not have control, are accounted for under the equity method. Equity-method investment activity is related to the Company's joint venture in ARCALIS, Inc. with Axcelead, Inc. The Company’s share of the investees’ results is presented as either income or loss from equity-method investees in the accompanying consolidated statements of operations and comprehensive loss. As of June 30, 2026, the carrying value of the equity-method investment in ARCALIS remained at zero.</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the Company entered into the Termination Agreement with CSL Seqirus pursuant to which the Company and CSL Seqirus mutually terminated the CSL Collaboration Agreement, effective as of such date. Under the Termination Agreement, the Company received a one-time cash payment of $12.0 million from CSL Seqirus. In addition, the Company was released from a liability and from repayment of an R&amp;D credit with an aggregate value of approximately $16.0 million.</w:t>
      </w:r>
    </w:p>
    <w:p>
      <w:pPr>
        <w:pStyle w:val="TextBody"/>
        <w:bidi w:val="0"/>
        <w:spacing w:before="120" w:after="283"/>
        <w:jc w:val="left"/>
        <w:rPr>
          <w:rFonts w:ascii="Times New Roman" w:hAnsi="Times New Roman"/>
          <w:sz w:val="20"/>
        </w:rPr>
      </w:pPr>
      <w:r>
        <w:rPr>
          <w:rFonts w:ascii="Times New Roman" w:hAnsi="Times New Roman"/>
          <w:color w:val="000000"/>
          <w:sz w:val="20"/>
        </w:rPr>
        <w:t>As a result of the termination, the Company regained strategic control of its vaccine portfolio, including KOSTAIVE</w:t>
      </w:r>
      <w:r>
        <w:rPr>
          <w:rFonts w:ascii="Times New Roman" w:hAnsi="Times New Roman"/>
          <w:color w:val="000000"/>
          <w:sz w:val="13"/>
        </w:rPr>
        <w:t>®</w:t>
      </w:r>
      <w:r>
        <w:rPr>
          <w:rFonts w:ascii="Times New Roman" w:hAnsi="Times New Roman"/>
          <w:color w:val="000000"/>
          <w:sz w:val="20"/>
        </w:rPr>
        <w:t xml:space="preserve"> and its vaccine programs for seasonal influenza, pandemic influenza, respiratory syncytial virus (“RSV”) and Epstein-Barr virus (“EBV”), subject to ongoing arrangements with Meiji Seika Pharma (“Meiji”) for the Northern Hemisphere 2026-2027 season, which is expected to end on or around June 30, 2027. Beginning with the Northern Hemisphere 2027–2028 season, the Company expects to work directly with Meiji for KOSTAIVE</w:t>
      </w:r>
      <w:r>
        <w:rPr>
          <w:rFonts w:ascii="Times New Roman" w:hAnsi="Times New Roman"/>
          <w:color w:val="000000"/>
          <w:sz w:val="13"/>
        </w:rPr>
        <w:t>®</w:t>
      </w:r>
      <w:r>
        <w:rPr>
          <w:rFonts w:ascii="Times New Roman" w:hAnsi="Times New Roman"/>
          <w:color w:val="000000"/>
          <w:sz w:val="20"/>
        </w:rPr>
        <w:t xml:space="preserve"> activities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Arcturus is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Arcturus is obligated to pay a percentage of upfront payments received from future licensees up to pre-agreed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the Company expects deferred revenue from CSL Seqirus of approximately $5.2 million associated with remaining performance obligations under the CSL Collaboration Agreement to be recognized during the third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termination, the parties agreed to dismiss the arbitration and exchanged mutual releases of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 and six months ended June 30, 2026.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2025 (the “2025 Annual Report”), which was filed with the U.S. Securities and Exchange Commission (the “Commission”) on March 3, 2026. Unless otherwise defined herein, capitalized words and expressions used herein shall have the same meanings ascribed to them in the 2025 Annual Report.</w:t>
      </w:r>
    </w:p>
    <w:p>
      <w:pPr>
        <w:pStyle w:val="TextBody"/>
        <w:bidi w:val="0"/>
        <w:spacing w:before="120" w:after="283"/>
        <w:jc w:val="left"/>
        <w:rPr>
          <w:rFonts w:ascii="Times New Roman" w:hAnsi="Times New Roman"/>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messenger RNA medicines company focused on the development of liver and respiratory rare disease therapeutics. We have ongoing Phase 2 clinical studies for our RNA therapeutic candidates to potentially treat ornithine transcarbamylase (OTC) deficiency and cystic fibrosis (CF).</w:t>
      </w:r>
    </w:p>
    <w:p>
      <w:pPr>
        <w:pStyle w:val="TextBody"/>
        <w:bidi w:val="0"/>
        <w:spacing w:before="120" w:after="283"/>
        <w:jc w:val="left"/>
        <w:rPr>
          <w:rFonts w:ascii="Times New Roman" w:hAnsi="Times New Roman"/>
          <w:sz w:val="20"/>
        </w:rPr>
      </w:pPr>
      <w:r>
        <w:rPr>
          <w:rFonts w:ascii="Times New Roman" w:hAnsi="Times New Roman"/>
          <w:color w:val="000000"/>
          <w:sz w:val="20"/>
        </w:rPr>
        <w:t>We developed the world’s first approved self-amplifying messenger RNA (sa-mRNA) vaccine, KOSTAIVE</w:t>
      </w:r>
      <w:r>
        <w:rPr>
          <w:rFonts w:ascii="Times New Roman" w:hAnsi="Times New Roman"/>
          <w:color w:val="000000"/>
          <w:sz w:val="9"/>
        </w:rPr>
        <w:t xml:space="preserve">® </w:t>
      </w:r>
      <w:r>
        <w:rPr>
          <w:rFonts w:ascii="Times New Roman" w:hAnsi="Times New Roman"/>
          <w:color w:val="000000"/>
          <w:sz w:val="20"/>
        </w:rPr>
        <w:t>(“KOSTAIVE”). KOSTAIVE has achieved approval in Japan, the European Union and the United Kingdom as a vaccine against COVID-19, and sales of KOSTAIVE began in Japan in October 2024.</w:t>
      </w:r>
    </w:p>
    <w:p>
      <w:pPr>
        <w:pStyle w:val="TextBody"/>
        <w:bidi w:val="0"/>
        <w:spacing w:before="120" w:after="283"/>
        <w:jc w:val="left"/>
        <w:rPr>
          <w:rFonts w:ascii="Times New Roman" w:hAnsi="Times New Roman"/>
          <w:sz w:val="20"/>
        </w:rPr>
      </w:pPr>
      <w:r>
        <w:rPr>
          <w:rFonts w:ascii="Times New Roman" w:hAnsi="Times New Roman"/>
          <w:color w:val="000000"/>
          <w:sz w:val="20"/>
        </w:rPr>
        <w:t>We have several key platform technologies that we leverage to develop and advance a pipeline of mRNA-based therapeutics for rare genetic disorders with significant unmet medical needs and vaccines for infectious diseases.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13"/>
        </w:rPr>
        <w:t>®</w:t>
      </w:r>
      <w:r>
        <w:rPr>
          <w:rFonts w:ascii="Times New Roman" w:hAnsi="Times New Roman"/>
          <w:color w:val="000000"/>
          <w:sz w:val="20"/>
        </w:rPr>
        <w:t xml:space="preserve"> (“STARR”), has been demonstrated to induce a robust, longer-lasting and broader humoral immune response at lower dose levels than conventional mRNA-based vaccines. Our proprietary LNP delivery system, LUNAR</w:t>
      </w:r>
      <w:r>
        <w:rPr>
          <w:rFonts w:ascii="Times New Roman" w:hAnsi="Times New Roman"/>
          <w:color w:val="000000"/>
          <w:sz w:val="13"/>
        </w:rPr>
        <w:t>®</w:t>
      </w:r>
      <w:r>
        <w:rPr>
          <w:rFonts w:ascii="Times New Roman" w:hAnsi="Times New Roman"/>
          <w:color w:val="000000"/>
          <w:sz w:val="20"/>
        </w:rPr>
        <w:t xml:space="preserve"> (“LUNAR”), is intended to address the major hurdle in RNA drug development, namely the effective and safe delivery of RNA to disease-relevant target tissues. LUNAR may enable multiple nucleic acid medicines. We also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sz w:val="20"/>
        </w:rPr>
      </w:pPr>
      <w:r>
        <w:rPr>
          <w:rFonts w:ascii="Times New Roman" w:hAnsi="Times New Roman"/>
          <w:color w:val="000000"/>
          <w:sz w:val="20"/>
        </w:rPr>
        <w:t>Our internal pipeline includes RNA therapeutic candidates to potentially treat ornithine transcarbamylase (OTC) deficiency and cystic fibrosis (CF), both rare diseases. In our vaccine program, following termination of the CSL Collaboration Agreement, we regained strategic control of KOSTAIVE</w:t>
      </w:r>
      <w:r>
        <w:rPr>
          <w:rFonts w:ascii="Times New Roman" w:hAnsi="Times New Roman"/>
          <w:color w:val="000000"/>
          <w:sz w:val="13"/>
        </w:rPr>
        <w:t>®</w:t>
      </w:r>
      <w:r>
        <w:rPr>
          <w:rFonts w:ascii="Times New Roman" w:hAnsi="Times New Roman"/>
          <w:color w:val="000000"/>
          <w:sz w:val="20"/>
        </w:rPr>
        <w:t xml:space="preserve"> and our broader vaccine portfolio, subject to ongoing arrangements with Meiji in Japan for the Northern Hemisphere 2026-2027 season.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center"/>
        <w:rPr/>
      </w:pPr>
      <w:r>
        <w:rPr/>
        <w:drawing>
          <wp:inline distT="0" distB="0" distL="0" distR="0">
            <wp:extent cx="6858000" cy="1400175"/>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6858000" cy="14001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LUNAR-CF/ARCT-032</w:t>
      </w:r>
      <w:r>
        <w:rPr>
          <w:rFonts w:ascii="Times New Roman" w:hAnsi="Times New Roman"/>
          <w:color w:val="000000"/>
          <w:sz w:val="20"/>
        </w:rPr>
        <w:t>.</w:t>
      </w:r>
      <w:r>
        <w:rPr>
          <w:color w:val="000000"/>
        </w:rPr>
        <w:t xml:space="preserve"> </w:t>
      </w:r>
      <w:r>
        <w:rPr>
          <w:rFonts w:ascii="Times New Roman" w:hAnsi="Times New Roman"/>
          <w:color w:val="000000"/>
          <w:sz w:val="20"/>
        </w:rPr>
        <w:t xml:space="preserve">LUNAR-CF (ARCT-032) is our mRNA therapeutic candidate for CF and it continues to progress in the clinic.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Phase 2 clinical trial (NCT06747858) is an open-label, multiple ascending dose study to assess safety and efficacy of ARCT-032 in CF adults who do not benefit from current CFTR modulators, including those with Class I null mutations. The study initiated dosing in the U.S. in December 2024 and enrollment and dosing have completed for the initial three cohorts. Each participant received daily inhaled treatments of ARCT-032 at doses of 5 mg, 10 mg, or 15 mg for 28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treatment was generally safe and well tolerated. Bronchospasm was not reported in these participants, either with or without pretreatment with a bronchodilator. Treatment-related AEs that were identified in the single-dose Phase 1 study were also observed in some participants for the first few doses but ceased with continued dosing. Two subjects experienced SAEs after the dosing period that were unrelated to ARCT-032, and the safety review committee approved the study to proceed. After amending the protocol, a fourth cohort of up to 20 subjects began enrolling in March 2026 and continues to advance with active screening and enrollment in the United States and Israel. The fourth cohort was initiated with 10 mg administered once daily via inhalation over a 12-week period to better assess longer term safety, tolerability and early evidence of clinical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LUNAR-OTC/ARCT-810</w:t>
      </w:r>
      <w:r>
        <w:rPr>
          <w:rFonts w:ascii="Times New Roman" w:hAnsi="Times New Roman"/>
          <w:color w:val="000000"/>
          <w:sz w:val="20"/>
        </w:rPr>
        <w:t>. 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sz w:val="20"/>
        </w:rPr>
      </w:pPr>
      <w:r>
        <w:rPr>
          <w:rFonts w:ascii="Times New Roman" w:hAnsi="Times New Roman"/>
          <w:color w:val="000000"/>
          <w:sz w:val="20"/>
        </w:rPr>
        <w:t>We have completed enrollment in the open-label multiple ascending dose Phase 2 study of ARCT-810 and all enrolled subjects have completed study drug dosing</w:t>
      </w:r>
      <w:r>
        <w:rPr>
          <w:rFonts w:ascii="Times New Roman" w:hAnsi="Times New Roman"/>
          <w:b/>
          <w:i/>
          <w:color w:val="000000"/>
          <w:sz w:val="20"/>
        </w:rPr>
        <w:t xml:space="preserve">. </w:t>
      </w:r>
      <w:r>
        <w:rPr>
          <w:rFonts w:ascii="Times New Roman" w:hAnsi="Times New Roman"/>
          <w:color w:val="000000"/>
          <w:sz w:val="20"/>
        </w:rPr>
        <w:t>The study evaluates safety and pharmacodynamics in adult and adolescent patients requiring clinical management for OTC deficiency. We continue to evaluate supplementary data to inform regulatory discussions and preparation for an End-of-Phase 2 meeting regarding the potential path forward across adult and pediatric development.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Thermo Fisher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2026, we entered into a series of agreements with Thermo Fisher Scientific Inc. (“Thermo Fisher”) and certain of Thermo Fisher’s affiliates to establish a strategic collaboration for the provision of contract development and manufacturing organization (“CDMO”) and contract research organization (“CRO”) services in connection with the development of ARCT-032, our investigational mRNA therapeutic for cystic fibrosis (“CF”). The collaboration is structured through (i) a Master Services Agreement (the “Thermo Fisher MSA”) between Thermo Fisher and Arcturus and (ii) a Project Addendum for Development Services between Patheon UK Limited, a Thermo Fisher affiliate (“Patheon”), and Arcturus (the “Project Agreement”).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Master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Thermo Fisher MSA establishes the framework under which Thermo Fisher and its affiliates will provide CRO and CDMO services to Arcturus from time to time pursuant to the Project Agreement and any additional individual project addendums. CRO services will be provided through PPD, Inc., Thermo Fisher’s affiliated contract research organization (“PPD”), and CDMO services will be provided through Thermo Fisher’s Pharma Services division. Under the Thermo Fisher MSA, Thermo Fisher will contribute up to $40 million of clinical manufacturing services for ARCT-032, and Arcturus will engage PPD for up to $40 million in CRO services. Upon regulatory approval of ARCT-032, Thermo Fisher would receive exclusive commercial manufacturing rights for the product for a specified duration, on terms to be set forth in a definitive commercial supply agreement to be negotiated in good faith by the parties. Arcturus may engage an alternative manufacturer only if Thermo Fisher is unable to supply, limited solely to the quantities and duration necessary to address the supply shortfall. The Thermo Fisher MSA has an initial term of five years from the effective date and automatically renews for successive one-year periods unless either party provides at least 90 days’ prior written notice of non-renewal.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Project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Project Agreement, the services to be provided include technical transfer, engineering batches, manufacture of clinical trial materials, manufacture of process performance qualification batches, open-label extension batches, drug product fill and finish, product release, and stability studies. The Project Agreement remains in effect from its effective date until the completion of all services or earlier termination under the Thermo Fisher MSA.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Termination of 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the Company entered into the Termination Agreement with CSL Seqirus pursuant to which the Company and CSL Seqirus mutually terminated the CSL Collaboration Agreement, effective as of such date. Under the Termination Agreement, the Company received a one-time cash payment of $12.0 million from CSL Seqirus. In addition, the Company was released from a liability and from repayment of an R&amp;D credit with an aggregate value of approximately $16.0 million.</w:t>
      </w:r>
    </w:p>
    <w:p>
      <w:pPr>
        <w:pStyle w:val="TextBody"/>
        <w:bidi w:val="0"/>
        <w:spacing w:before="120" w:after="283"/>
        <w:jc w:val="left"/>
        <w:rPr>
          <w:rFonts w:ascii="Times New Roman" w:hAnsi="Times New Roman"/>
          <w:sz w:val="20"/>
        </w:rPr>
      </w:pPr>
      <w:r>
        <w:rPr>
          <w:rFonts w:ascii="Times New Roman" w:hAnsi="Times New Roman"/>
          <w:color w:val="000000"/>
          <w:sz w:val="20"/>
        </w:rPr>
        <w:t>As a result of the termination, the Company regained strategic control of its vaccine portfolio, including KOSTAIVE</w:t>
      </w:r>
      <w:r>
        <w:rPr>
          <w:rFonts w:ascii="Times New Roman" w:hAnsi="Times New Roman"/>
          <w:color w:val="000000"/>
          <w:sz w:val="13"/>
        </w:rPr>
        <w:t>®</w:t>
      </w:r>
      <w:r>
        <w:rPr>
          <w:rFonts w:ascii="Times New Roman" w:hAnsi="Times New Roman"/>
          <w:color w:val="000000"/>
          <w:sz w:val="20"/>
        </w:rPr>
        <w:t xml:space="preserve"> and its vaccine programs for seasonal influenza, pandemic influenza, respiratory syncytial virus (“RSV”) and Epstein-Barr virus (“EBV”), subject to ongoing arrangements with Meiji Seika Pharma (“Meiji”) for the Northern Hemisphere 2026-2027 season, which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expected to end on or around June 30, 2027. Beginning with the Northern Hemisphere 2027–2028 season, the Company expects to work directly with Meiji for KOSTAIVE</w:t>
      </w:r>
      <w:r>
        <w:rPr>
          <w:rFonts w:ascii="Times New Roman" w:hAnsi="Times New Roman"/>
          <w:color w:val="000000"/>
          <w:sz w:val="13"/>
        </w:rPr>
        <w:t>®</w:t>
      </w:r>
      <w:r>
        <w:rPr>
          <w:rFonts w:ascii="Times New Roman" w:hAnsi="Times New Roman"/>
          <w:color w:val="000000"/>
          <w:sz w:val="20"/>
        </w:rPr>
        <w:t xml:space="preserve"> activities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we are obligated to pay a percentage of upfront payments received from future licensees up to pre-agreed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we expect deferred revenue from CSL Seqirus of approximately $5.2 million associated with remaining performance obligations under the CSL Collaboration Agreement to be recognized during the third quarter of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KOSTAIVE</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b/>
          <w:color w:val="000000"/>
          <w:sz w:val="20"/>
        </w:rPr>
        <w:t>for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launched in Japan the two-dose vial of KOSTAIVE updated for the JN.1 variant XEC in August 2025. In June 2026, Meiji filed a Partial Change Application for KOSTAIVE updated for the NB.1.8.1 variant in a two-dose vial with Japan’s Pharmaceuticals and Medical Devices Agency (PMDA) to support commercialization for the 2026-2027 season in Japan.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2025. Our historical results of operations and the year-to-year comparisons of our results of operations that follow are not necessarily indicative of future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rPr/>
      </w:pPr>
      <w:r>
        <w:rPr/>
        <w:t> </w:t>
      </w:r>
    </w:p>
    <w:tbl>
      <w:tblPr>
        <w:tblW w:w="6748" w:type="dxa"/>
        <w:jc w:val="left"/>
        <w:tblInd w:w="0" w:type="dxa"/>
        <w:tblLayout w:type="fixed"/>
        <w:tblCellMar>
          <w:top w:w="28" w:type="dxa"/>
          <w:left w:w="28" w:type="dxa"/>
          <w:bottom w:w="28" w:type="dxa"/>
          <w:right w:w="28" w:type="dxa"/>
        </w:tblCellMar>
      </w:tblPr>
      <w:tblGrid>
        <w:gridCol w:w="1951"/>
        <w:gridCol w:w="146"/>
        <w:gridCol w:w="243"/>
        <w:gridCol w:w="659"/>
        <w:gridCol w:w="168"/>
        <w:gridCol w:w="168"/>
        <w:gridCol w:w="243"/>
        <w:gridCol w:w="781"/>
        <w:gridCol w:w="146"/>
        <w:gridCol w:w="146"/>
        <w:gridCol w:w="211"/>
        <w:gridCol w:w="736"/>
        <w:gridCol w:w="166"/>
        <w:gridCol w:w="146"/>
        <w:gridCol w:w="146"/>
        <w:gridCol w:w="376"/>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by $25.3 million during the three months ended June 30, 2026, as compared to the three months ended June 30, 2025. The decline was primarily driven by lower revenue recognized under the CSL collaboration, reflecting reduced supply agreement revenue and decreased amortization of deferred revenue as KOSTAIVE transitions from development to the commercial phase. Grant revenue also decreased primarily related to our agreement with BARDA, partially offset by increased grant revenue from the Gates Foundation.</w:t>
      </w:r>
    </w:p>
    <w:p>
      <w:pPr>
        <w:pStyle w:val="TextBody"/>
        <w:bidi w:val="0"/>
        <w:spacing w:before="120" w:after="283"/>
        <w:jc w:val="left"/>
        <w:rPr/>
      </w:pPr>
      <w:r>
        <w:rPr/>
        <w:t> </w:t>
      </w:r>
    </w:p>
    <w:tbl>
      <w:tblPr>
        <w:tblW w:w="6858" w:type="dxa"/>
        <w:jc w:val="left"/>
        <w:tblInd w:w="0" w:type="dxa"/>
        <w:tblLayout w:type="fixed"/>
        <w:tblCellMar>
          <w:top w:w="28" w:type="dxa"/>
          <w:left w:w="28" w:type="dxa"/>
          <w:bottom w:w="28" w:type="dxa"/>
          <w:right w:w="28" w:type="dxa"/>
        </w:tblCellMar>
      </w:tblPr>
      <w:tblGrid>
        <w:gridCol w:w="1951"/>
        <w:gridCol w:w="146"/>
        <w:gridCol w:w="222"/>
        <w:gridCol w:w="603"/>
        <w:gridCol w:w="154"/>
        <w:gridCol w:w="154"/>
        <w:gridCol w:w="222"/>
        <w:gridCol w:w="713"/>
        <w:gridCol w:w="146"/>
        <w:gridCol w:w="146"/>
        <w:gridCol w:w="211"/>
        <w:gridCol w:w="736"/>
        <w:gridCol w:w="166"/>
        <w:gridCol w:w="146"/>
        <w:gridCol w:w="231"/>
        <w:gridCol w:w="595"/>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decreased by $52.7 million during the six months ended June 30, 2026, as compared to the six months ended June 30, 2025. The decline was primarily driven by lower revenue recognized under the CSL collaboration, reflecting reduced supply agreement revenue and decreased amortization of deferred revenue as KOSTAIVE transitions from development to the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Grant revenue also decreased primarily related to our agreement with BARDA, partially offset by increased grant revenue from the Gates Foundation.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11056"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676"/>
        <w:gridCol w:w="146"/>
        <w:gridCol w:w="146"/>
        <w:gridCol w:w="211"/>
        <w:gridCol w:w="676"/>
        <w:gridCol w:w="146"/>
        <w:gridCol w:w="146"/>
        <w:gridCol w:w="211"/>
        <w:gridCol w:w="736"/>
        <w:gridCol w:w="166"/>
        <w:gridCol w:w="146"/>
        <w:gridCol w:w="231"/>
        <w:gridCol w:w="595"/>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to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rPr/>
      </w:pPr>
      <w:r>
        <w:rPr/>
        <w:t> </w:t>
      </w:r>
    </w:p>
    <w:tbl>
      <w:tblPr>
        <w:tblW w:w="11606" w:type="dxa"/>
        <w:jc w:val="left"/>
        <w:tblInd w:w="0" w:type="dxa"/>
        <w:tblLayout w:type="fixed"/>
        <w:tblCellMar>
          <w:top w:w="28" w:type="dxa"/>
          <w:left w:w="28" w:type="dxa"/>
          <w:bottom w:w="28" w:type="dxa"/>
          <w:right w:w="28" w:type="dxa"/>
        </w:tblCellMar>
      </w:tblPr>
      <w:tblGrid>
        <w:gridCol w:w="164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676"/>
        <w:gridCol w:w="146"/>
        <w:gridCol w:w="146"/>
        <w:gridCol w:w="211"/>
        <w:gridCol w:w="676"/>
        <w:gridCol w:w="146"/>
        <w:gridCol w:w="146"/>
        <w:gridCol w:w="211"/>
        <w:gridCol w:w="736"/>
        <w:gridCol w:w="166"/>
        <w:gridCol w:w="146"/>
        <w:gridCol w:w="212"/>
        <w:gridCol w:w="614"/>
        <w:gridCol w:w="516"/>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to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$17.5 million for the three months ended June 30, 2026, compared with $29.6 million for the three months ended June 30, 2025. The decrease was primarily driven by lower clinical trial expenses associated with the BARDA, LUNAR-CF, and LUNAR-OTC programs, as well as reduced manufacturing costs related to the LUNAR-COVID and LUNAR-OTC programs. Additional decreases were attributable to lower payroll and benefits costs associated with lower share-based compensation expense and a reduction in headcount.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$39.0 million for the six months ended June 30, 2026, compared with $64.5 million for the six months ended June 30, 2025. The decrease was primarily driven by lower manufacturing costs related to the LUNAR-COVID and LUNAR-CF programs, as well as reduced clinical trial expenses associated with the LUNAR-COVID, BARDA, and LUNAR-CF programs. Additional decreases were attributable to lower payroll and benefits costs associated with lower share-based compensation expense and a reduction in headcount, as well as lower facilities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Early-stage programs include our Phase 1 clinical stage LUNAR-FLU program which was formerly partnered with CSL Seqirus. Discovery technologies represent our efforts to expand our product pipeline and are primarily related to pre-partnered studies and new capabilities. The related expenses may be partially offset with funds that have been reimbursed or awarded to us and consist of external manufacturing costs, lab supplies, equipment, and consulting and professional fees. Expenses for both early-stage programs and discovery technologies are expected to increase slightly over the next twelve months as we continue to advance both our early- and later-stage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$11.0 million for the three months ended June 30, 2026, compared with $10.3 million for the three months ended June 30, 2025. The slight increase was related to legal and professional fees offset by reduced share-based compensation. General and administrative expenses were $20.5 million for the six months ended June 30, 2026, compared with $21.7 million for the six months ended June 30, 2025. The decrease was primarily due to lower share-based compensation expense, reduced payroll and benefits costs resulting from lower headcount, and lower facilities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3"/>
        <w:gridCol w:w="146"/>
        <w:gridCol w:w="223"/>
        <w:gridCol w:w="605"/>
        <w:gridCol w:w="154"/>
        <w:gridCol w:w="154"/>
        <w:gridCol w:w="223"/>
        <w:gridCol w:w="605"/>
        <w:gridCol w:w="146"/>
        <w:gridCol w:w="146"/>
        <w:gridCol w:w="230"/>
        <w:gridCol w:w="522"/>
        <w:gridCol w:w="170"/>
        <w:gridCol w:w="149"/>
        <w:gridCol w:w="231"/>
        <w:gridCol w:w="595"/>
        <w:gridCol w:w="271"/>
        <w:gridCol w:w="146"/>
        <w:gridCol w:w="217"/>
        <w:gridCol w:w="588"/>
        <w:gridCol w:w="150"/>
        <w:gridCol w:w="150"/>
        <w:gridCol w:w="217"/>
        <w:gridCol w:w="588"/>
        <w:gridCol w:w="146"/>
        <w:gridCol w:w="146"/>
        <w:gridCol w:w="211"/>
        <w:gridCol w:w="631"/>
        <w:gridCol w:w="166"/>
        <w:gridCol w:w="146"/>
        <w:gridCol w:w="231"/>
        <w:gridCol w:w="595"/>
        <w:gridCol w:w="324"/>
      </w:tblGrid>
      <w:tr>
        <w:trPr/>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by the Company’s cash and cash equivalents. The decrease in interest income for the three and six months ended June 30, 2026, compared to the same period in 2025, was primarily due to lower interest rates and a reduced cash balance.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June 30, 2026,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quarter ended June 30, 2026, the Company has funded its operations principally with the proceeds from revenues earned through collaboration agreements and government contracts, the sale of capital stock and long-term debt. Through the second quarter of 2026, we have received a total of approximately $514.3 million in upfront payments and milestones from CSL Seqirus. As of June 30, 2026, the Company’s balance of cash and cash equivalents was $191.5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the CSL Collaboration Agreement with CSL Seqirus, a part of CSL Limited, one of the world’s leading influenza vaccine providers, for global exclusive rights to research, develop, manufacture and commercialize mRNA vaccines. Following the end of the second quarter of 2026, we entered into the Termination Agreement with CSL Seqirus, pursuant to which we mutually terminated the CSL Collaboration Agreement effective as of August 3, 2026.</w:t>
      </w:r>
    </w:p>
    <w:p>
      <w:pPr>
        <w:pStyle w:val="TextBody"/>
        <w:bidi w:val="0"/>
        <w:spacing w:before="120" w:after="283"/>
        <w:jc w:val="left"/>
        <w:rPr>
          <w:rFonts w:ascii="Times New Roman" w:hAnsi="Times New Roman"/>
          <w:sz w:val="20"/>
        </w:rPr>
      </w:pPr>
      <w:r>
        <w:rPr>
          <w:rFonts w:ascii="Times New Roman" w:hAnsi="Times New Roman"/>
          <w:color w:val="000000"/>
          <w:sz w:val="20"/>
        </w:rPr>
        <w:t>Under the Termination Agreement, we received a one-time cash payment of $12.0 million from CSL Seqirus. In addition, we were released from a liability and from repayment of an R&amp;D credit with an aggregate value of approximately $16.0 million. We also regained strategic control of our vaccine portfolio, including KOSTAIVE</w:t>
      </w:r>
      <w:r>
        <w:rPr>
          <w:rFonts w:ascii="Times New Roman" w:hAnsi="Times New Roman"/>
          <w:color w:val="000000"/>
          <w:sz w:val="13"/>
        </w:rPr>
        <w:t>®</w:t>
      </w:r>
      <w:r>
        <w:rPr>
          <w:rFonts w:ascii="Times New Roman" w:hAnsi="Times New Roman"/>
          <w:color w:val="000000"/>
          <w:sz w:val="20"/>
        </w:rPr>
        <w:t xml:space="preserve"> and our vaccine programs for seasonal influenza, pandemic influenza, RSV and EBV, subject to ongoing arrangements with Meiji for the Northern Hemisphere 2026-2027 season.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we are obligated to pay a percentage of upfront payments received from future licensees up to pre-agreed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termination, the parties agreed to dismiss the arbitration and exchanged mutual releases of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we expect deferred revenue from CSL Seqirus of approximately $5.2 million associated with remaining performance obligations under the CSL Collaboration Agreement to be recognized during the third quarter of 2026.</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Thermo Fisher Agreement</w:t>
      </w:r>
    </w:p>
    <w:p>
      <w:pPr>
        <w:pStyle w:val="TextBody"/>
        <w:bidi w:val="0"/>
        <w:jc w:val="left"/>
        <w:rPr>
          <w:rFonts w:ascii="Times New Roman" w:hAnsi="Times New Roman"/>
          <w:color w:val="000000"/>
          <w:sz w:val="20"/>
        </w:rPr>
      </w:pPr>
      <w:r>
        <w:rPr>
          <w:rFonts w:ascii="Times New Roman" w:hAnsi="Times New Roman"/>
          <w:color w:val="000000"/>
          <w:sz w:val="20"/>
        </w:rPr>
        <w:t>On June 26, 2026, we entered into a series of agreements with Thermo Fisher in support of the clinical development of ARCT-032. Under the agreement, Thermo Fisher has agreed to provide up to $40.0 million of qualifying clinical manufacturing services. We believe the agreement may reduce our future cash requirements associated with the clinical development of ARCT-032 by funding a portion of those development activities, subject to the terms of the agreement. See Note 8 to the condensed consolidated financial statements for additional information regarding the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June 30, 2026, the remaining available funding net of revenue earned was $24.6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current cash balance is expected to be utilized during fiscal year 2026 to fund (i) advances to our LUNAR-CF program in clinical trials, (ii) the continued Phase 2 trial of ARCT-810, our LUNAR-OTC candidate, (iii) expenses incurred prior to customer payments under the BARDA agreement and any transition or settlement-related activities following termination of the CSL Collaboration Agreement and (iv) continued exploratory activities related to our platform and other general administrative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additional losses in the long term, and we will need to raise additional debt or equity financing or enter into additional partnerships to fund development. Our ability to transition to profitability is dependent on regulatory approvals and subsequent sales of KOSTAIVE,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rPr/>
      </w:pPr>
      <w:r>
        <w:rPr/>
        <w:t> </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$39.4 million for the six months ended June 30, 2026, compared to $40.9 million for the six months ended June 30, 2025. The decrease in cash outflows was primarily driven by improved collections in accounts receivable and more favorable changes in accrued liabilities and deferred revenue. These factors were partially offset by less favorable changes in accounts payable and prepaid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$0.1 million for the six months ended June 30, 2026, compared with net cash used of $0.1 million for the six months ended June 30, 2025. The increase in cash provided by investing activities was primarily driven by the absence of property and equipment purchases during the current year period.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nominal for the six months ended June 30, 2026, compared to $0.5 million for the six months ended June 30, 2025. The decrease in cash provided by financing activities was primarily driven by lower proceeds from employee stock option exercises.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under existing agreements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cystic fibrosis and OTC deficiency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other strategic alliance, licensing and other arrangements that we may establish, including transition arrangements with CSL Seqirus, arrangements with Meiji and any new collaboration arrangements, and any related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and deployment of vaccine assets that we regained as a result of the Termination Agreement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2025 included in the 2025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2025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2026, our disclosure controls and procedures were effective at the reasonable assurance level for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system,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various legal proceedings and subject to claims that arise in the ordinary course of business, and the results of litigation and claims are inherently unpredictable and uncertain. Other than as set forth below, we are not currently a party to any material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23, 2025, we filed a lawsuit against AbbVie Inc., Capstan Therapeutics, Inc. and other defendants in the United States District Court for the Southern District of California, asserting claims for trade secret misappropriation and breach of contract. The defendants filed a motion to discuss the complaint in December 2025, and we filed an opposition to that motion in January 2026. On March 30, 2026, the Court denied in part and granted in part the motion to dismiss. The Court gave us leave to amend on the points where it granted the motion. We filed an Amended Complaint on April 13, 2026, against the same defendants and asserting the same claims. Defendants answered the Amended Complaint on May 11, 2026, and Capstan Therapeutics asserted counterclaims for trade secret misappropriation against us and two of our employees, and for breach of contract against the two employees. We and the two employees answered the counterclaims on June 12, 2026. The Court has not yet set a trial date.</w:t>
      </w:r>
    </w:p>
    <w:p>
      <w:pPr>
        <w:pStyle w:val="TextBody"/>
        <w:bidi w:val="0"/>
        <w:spacing w:before="120" w:after="283"/>
        <w:jc w:val="left"/>
        <w:rPr>
          <w:rFonts w:ascii="Times New Roman" w:hAnsi="Times New Roman"/>
          <w:sz w:val="20"/>
        </w:rPr>
      </w:pPr>
      <w:r>
        <w:rPr>
          <w:rFonts w:ascii="Times New Roman" w:hAnsi="Times New Roman"/>
          <w:color w:val="000000"/>
          <w:sz w:val="20"/>
        </w:rPr>
        <w:t>On August 3, 2026, we entered into a Termination and Settlement Agreement with CSL Seqirus, pursuant to which the parties agreed to dismiss the arbitration with CSL Seqirus that was before the International Chamber of Commerce, seeking payment of a milestone under the CSL Collaboration Agreement based on the European Commission’s grant of marketing authorization for a presentation of KOSTAIVE</w:t>
      </w:r>
      <w:r>
        <w:rPr>
          <w:rFonts w:ascii="Times New Roman" w:hAnsi="Times New Roman"/>
          <w:color w:val="000000"/>
          <w:sz w:val="13"/>
        </w:rPr>
        <w:t>®</w:t>
      </w:r>
      <w:r>
        <w:rPr>
          <w:rFonts w:ascii="Times New Roman" w:hAnsi="Times New Roman"/>
          <w:color w:val="000000"/>
          <w:sz w:val="20"/>
        </w:rPr>
        <w:t xml:space="preserve"> in the European Union (“EU Milestone Payment”), and exchanged mutual releases of claims, including those related to the EU Milestone Payment. On August 5, 2026, Arcturus informed the ICC that Arcturus is dismissing the Arbitration because of the resolution reached with CSL Seqirus. That same day, the arbitral tribunal acknowledged dismissal of the arbitration. </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2025, which we strongly encourage you to review. Except as disclosed below, there have been no material changes from the risk factors described in our Annual Report on Form 10-K for the year ended December 31, 2025 filed with the Commission on March 3,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termination of our collaboration with CSL Seqirus requires us to advance, fund, and seek partners for our vaccine programs, and subjects us to additional risks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On August 3, 2026, we entered into a Termination and Settlement Agreement with CSL Seqirus pursuant to which we mutually terminated the CSL Collaboration Agreement, effective as of such date (the “Termination Agreement”). The CSL Collaboration Agreement provided CSL Seqirus with exclusive global rights to research, develop, manufacture, and commercialize mRNA vaccines against COVID-19, influenza, and other infectious diseases using our STARR</w:t>
      </w:r>
      <w:r>
        <w:rPr>
          <w:rFonts w:ascii="Times New Roman" w:hAnsi="Times New Roman"/>
          <w:color w:val="000000"/>
          <w:sz w:val="13"/>
        </w:rPr>
        <w:t>®</w:t>
      </w:r>
      <w:r>
        <w:rPr>
          <w:rFonts w:ascii="Times New Roman" w:hAnsi="Times New Roman"/>
          <w:color w:val="000000"/>
          <w:sz w:val="20"/>
        </w:rPr>
        <w:t xml:space="preserve"> and LUNAR</w:t>
      </w:r>
      <w:r>
        <w:rPr>
          <w:rFonts w:ascii="Times New Roman" w:hAnsi="Times New Roman"/>
          <w:color w:val="000000"/>
          <w:sz w:val="13"/>
        </w:rPr>
        <w:t>®</w:t>
      </w:r>
      <w:r>
        <w:rPr>
          <w:rFonts w:ascii="Times New Roman" w:hAnsi="Times New Roman"/>
          <w:color w:val="000000"/>
          <w:sz w:val="20"/>
        </w:rPr>
        <w:t xml:space="preserve"> platform technologies. Under the CSL Collaboration Agreement, CSL Seqirus was responsible for leading development and commercialization of vaccines in the licensed fields, and collaboration revenue has historically been a significant component of our total revenue. We now bear sole responsibility for all decisions regarding the development, manufacturing, and commercialization of these vaccine products. We have limited experience commercializing vaccine products independently, and we may need to build internal commercial capabilities, enter into new partnerships, or engage distributors in order to maximize value of the assets, and there can be no assurance that we will be able to do so on favorable terms or at all. Several of the vaccine programs are in early-stage development, which will require substantial additional capital and resources to advance. We do not expect to receive any further milestone payments, research funding, or profit-sharing payments under the CSL Collaboration Agreement. Under the Termination Agreement, we are also obligated to pay CSL Seqirus royalties and revenue-sharing on our future commercialization of these vaccine products and successor products if such products are covered by CSL Seqirus royalty-bearing intellectual property, which could reduce the profitability of our vaccine programs and make such programs less attractive to potential partners.</w:t>
      </w:r>
    </w:p>
    <w:p>
      <w:pPr>
        <w:pStyle w:val="TextBody"/>
        <w:bidi w:val="0"/>
        <w:spacing w:before="120" w:after="283"/>
        <w:jc w:val="left"/>
        <w:rPr>
          <w:rFonts w:ascii="Times New Roman" w:hAnsi="Times New Roman"/>
          <w:sz w:val="20"/>
        </w:rPr>
      </w:pPr>
      <w:r>
        <w:rPr>
          <w:rFonts w:ascii="Times New Roman" w:hAnsi="Times New Roman"/>
          <w:color w:val="000000"/>
          <w:sz w:val="20"/>
        </w:rPr>
        <w:t>During the Northern Hemisphere 2026-2027 season (expected to end June 30, 2027), CSL Seqirus and Meiji Seika Pharma (“Meiji”) will continue to be responsible for commercializing KOSTAIVE</w:t>
      </w:r>
      <w:r>
        <w:rPr>
          <w:rFonts w:ascii="Times New Roman" w:hAnsi="Times New Roman"/>
          <w:color w:val="000000"/>
          <w:sz w:val="13"/>
        </w:rPr>
        <w:t>®</w:t>
      </w:r>
      <w:r>
        <w:rPr>
          <w:rFonts w:ascii="Times New Roman" w:hAnsi="Times New Roman"/>
          <w:color w:val="000000"/>
          <w:sz w:val="20"/>
        </w:rPr>
        <w:t xml:space="preserve"> in Japan, and for future seasons, we will need to establish direct or indirect commercial arrangements with Meiji or another distributor for the Japanese market, and any other markets. Any disruption in the transition of activities, supply, or regulatory responsibilities could adversely affect sales of KOSTAIVE</w:t>
      </w:r>
      <w:r>
        <w:rPr>
          <w:rFonts w:ascii="Times New Roman" w:hAnsi="Times New Roman"/>
          <w:color w:val="000000"/>
          <w:sz w:val="13"/>
        </w:rPr>
        <w:t>®</w:t>
      </w:r>
      <w:r>
        <w:rPr>
          <w:rFonts w:ascii="Times New Roman" w:hAnsi="Times New Roman"/>
          <w:color w:val="000000"/>
          <w:sz w:val="20"/>
        </w:rPr>
        <w:t xml:space="preserve"> in Japan and damage our relationships with key counterparties and regulators. We have entered into a transition plan with CSL Seqirus for the orderly transfer of clinical trials, regulatory filings, intellectual property, and other materials, but there can be no assurance that such transition will be completed without delays or disruptions. We intend to evaluate strategic opportunities to maximize the value of the vaccine portfolio, including development, commercialization, and partnering opportunities, but there can be no assurance that we will identify suitable partners or enter into collaboration arrangements on favorable terms. The pursuit of multiple early-stage vaccine programs in parallel could strain our financial and operational resources and divert management attention from our rare disease therapeutic programs, which are our primary area of focus, and could have a material adverse impact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or terminated a “Rule 10b5-1 trading arrangement” (as defined in Item 408 of Regulation S-K of the Exchange Act) intended to satisfy the affirmative defense conditions of Rule 10b5-1(c) under the Exchange Act, other than as set forth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Lance Kurata, our Chief Legal Officer, adopted a Rule 10b5-1 trading arrangement as of May 15, 2026. Mr. Kurata's trading arrangement provides for the exercise of options to purchase up to 30,000 shares of common stock and the subsequent sale of up to an aggregate of 30,000 shares of common stock, beginning on August 14, 2026 and ending on March 31, 2027.</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Dr. Padmanabh Chivukula, Chief Scientific Officer and Chief Operating Officer, adopted a Rule 10b5-1 trading arrangement on May 14, 2026. Dr. Chivukula’s trading arrangement provides for the sale of up to an aggregate of 60,000 shares of common stock, beginning on August 14, 2026 and ending on December 31, 2027.</w:t>
      </w:r>
    </w:p>
    <w:p>
      <w:pPr>
        <w:pStyle w:val="TextBody"/>
        <w:bidi w:val="0"/>
        <w:jc w:val="left"/>
        <w:rPr>
          <w:rFonts w:ascii="Times New Roman" w:hAnsi="Times New Roman"/>
          <w:b/>
          <w:i/>
          <w:color w:val="000000"/>
          <w:sz w:val="20"/>
        </w:rPr>
      </w:pPr>
      <w:r>
        <w:rPr>
          <w:rFonts w:ascii="Times New Roman" w:hAnsi="Times New Roman"/>
          <w:b/>
          <w:i/>
          <w:color w:val="000000"/>
          <w:sz w:val="20"/>
        </w:rPr>
        <w:t>Termination of 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 2026, we entered into the Termination Agreement with CSL Seqirus pursuant to which we mutually terminated the CSL Collaboration Agreement, effective as of such date. Under the Termination Agreement, we received a one-time cash payment of $12.0 million from CSL Seqirus. In addition, we were released from a liability and from repayment of an R&amp;D credit with an aggregate value of approximately $16 million. </w:t>
      </w:r>
    </w:p>
    <w:p>
      <w:pPr>
        <w:pStyle w:val="TextBody"/>
        <w:bidi w:val="0"/>
        <w:spacing w:before="120" w:after="283"/>
        <w:jc w:val="left"/>
        <w:rPr>
          <w:rFonts w:ascii="Times New Roman" w:hAnsi="Times New Roman"/>
          <w:sz w:val="20"/>
        </w:rPr>
      </w:pPr>
      <w:r>
        <w:rPr>
          <w:rFonts w:ascii="Times New Roman" w:hAnsi="Times New Roman"/>
          <w:color w:val="000000"/>
          <w:sz w:val="20"/>
        </w:rPr>
        <w:t>As a result of the termination, we regained strategic control of our vaccine portfolio, including KOSTAIVE</w:t>
      </w:r>
      <w:r>
        <w:rPr>
          <w:rFonts w:ascii="Times New Roman" w:hAnsi="Times New Roman"/>
          <w:color w:val="000000"/>
          <w:sz w:val="13"/>
        </w:rPr>
        <w:t>®</w:t>
      </w:r>
      <w:r>
        <w:rPr>
          <w:rFonts w:ascii="Times New Roman" w:hAnsi="Times New Roman"/>
          <w:color w:val="000000"/>
          <w:sz w:val="20"/>
        </w:rPr>
        <w:t xml:space="preserve"> and our vaccine programs for seasonal influenza, pandemic influenza, RSV and EBV, subject to ongoing arrangements with Meiji Seika Pharma (“Meiji”) for the Northern Hemisphere 2026-2027 season, which is expected to end on or around June 30, 2027. Beginning with the Northern Hemisphere 2027–2028 season, we expect to work directly with Meiji for KOSTAIVE</w:t>
      </w:r>
      <w:r>
        <w:rPr>
          <w:rFonts w:ascii="Times New Roman" w:hAnsi="Times New Roman"/>
          <w:color w:val="000000"/>
          <w:sz w:val="13"/>
        </w:rPr>
        <w:t>®</w:t>
      </w:r>
      <w:r>
        <w:rPr>
          <w:rFonts w:ascii="Times New Roman" w:hAnsi="Times New Roman"/>
          <w:color w:val="000000"/>
          <w:sz w:val="20"/>
        </w:rPr>
        <w:t xml:space="preserve"> activities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we are obligated to pay a percentage of upfront payments received from future licensees up to pre-agreed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we expect deferred revenue from CSL Seqirus of approximately $5.2 million associated with remaining performance obligations under the CSL Collaboration Agreement to be recognized during the third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termination, the parties agreed to dismiss the arbitration and exchanged mutual releases of claims. See “Part II – Other Information – Item 1. Legal Proceedings”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Termination Agreement does not purport to be complete and is qualified in its entirety by reference to the full text of the Termination Agreement, a copy of which the Company intends to file with the Commission as an exhibit to the Company’s Quarterly Report on Form 10-Q for the quarter ending September 30, 2026.</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8"/>
        <w:gridCol w:w="146"/>
        <w:gridCol w:w="9131"/>
      </w:tblGrid>
      <w:tr>
        <w:trPr/>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2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2019 Omnibus Equity Incentive Plan. Incorporated by reference to Exhibit 4.3 to the Registration Statement on Form S-8 filed on August 5, 2020 (File No. 333-240397).</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Arcturus Therapeutics Ltd. Amended and Restated Compensation Policy for Company Office Holders. Incorporated by reference to Exhibit 99.2 to the Company’s Report of Foreign Private Issuer on Form 6-K filed on July 27,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Joint Venture, Research Collaboration and License Agreement, dated as of July 14, 2018 by and between Arcturus Therapeutics, Inc. and Providence Therapeutics, Inc. Incorporated by reference to Exhibit 10.14 to the Company’s Amendment No. 1 to Annual Report on Form 10-K for the year ended December 31, 2018 filed on April 10, 2019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r>
              <w:rPr>
                <w:rFonts w:ascii="Times New Roman" w:hAnsi="Times New Roman"/>
                <w:color w:val="0000FF"/>
                <w:sz w:val="20"/>
              </w:rPr>
              <w:t>.</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rP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2" w:type="dxa"/>
            <w:tcBorders/>
            <w:vAlign w:val="center"/>
          </w:tcPr>
          <w:p>
            <w:pPr>
              <w:pStyle w:val="TableContents"/>
              <w:bidi w:val="0"/>
              <w:spacing w:before="0" w:after="283"/>
              <w:jc w:val="left"/>
              <w:rPr>
                <w:sz w:val="4"/>
                <w:szCs w:val="4"/>
              </w:rPr>
            </w:pPr>
            <w:r>
              <w:rPr>
                <w:sz w:val="4"/>
                <w:szCs w:val="4"/>
              </w:rPr>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Manufacturing Support Agreement, dated November 7, 2020, by and between Arcturus Therapeutics Holdings Inc. and the Economic Development Board of Singapore. Incorporated by reference to Exhibit 10.33 to Quarterly Report on Form 10-Q filed on November 9,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dated as of June 13, 2019, between the Company and Joseph Payne. Incorporated by reference to Exhibit 10.1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Employment Agreement, dated as of June 13, 2019, between the Company and Andy Sassine. Incorporated by reference to Exhibit 10.2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Agreement, dated as of June 13, 2019, between the Company and Dr. Padmanabh Chivukula. Incorporated by reference to Exhibit 10.3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2021 Inducement Equity Incentive Plan. Incorporated by reference to Exhibit 4.1 to Form S-8 filed on October 20, 2021 (File No. 333-260391).</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Technology License and Technical Support Agreement, signed July 29, 2021 and effective July 30, 2021, by and between Arcturus Therapeutics, Inc. and Vinbiotech Research and Manufacture Joint Stock Company. Incorporated by reference to Exhibit 10.32 to Quarterly Report on Form 10-Q filed on August 10,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Framework Drug Substance Supply Agreement, signed July 29, 2021 and effective July 30, 2021, by and between Arcturus Therapeutics, Inc. and Vinbiotech Research and Manufacture Joint Stock Company. Incorporated by reference to Exhibit 10.33 to Quarterly Report on Form 10-Q filed on August 10,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Amended and Restated 2019 Omnibus Equity Incentive Plan, as amended. Incorporated by reference to Exhibit 10.1 to Current Report on Form 8-K filed on June 14, 2024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Study Support Agreement effective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39">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1">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3"/>
        <w:gridCol w:w="146"/>
        <w:gridCol w:w="9326"/>
      </w:tblGrid>
      <w:tr>
        <w:trPr/>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6" w:type="dxa"/>
            <w:tcBorders/>
            <w:vAlign w:val="center"/>
          </w:tcPr>
          <w:p>
            <w:pPr>
              <w:pStyle w:val="TableContents"/>
              <w:bidi w:val="0"/>
              <w:spacing w:before="0" w:after="283"/>
              <w:jc w:val="left"/>
              <w:rPr>
                <w:sz w:val="4"/>
                <w:szCs w:val="4"/>
              </w:rPr>
            </w:pPr>
            <w:r>
              <w:rPr>
                <w:sz w:val="4"/>
                <w:szCs w:val="4"/>
              </w:rPr>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3">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5">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7">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49">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November 7, 2024 (File No. 001-38942).</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Separation Agreement and General Release between Arcturus Therapeutics Holdings Inc. and Andy Sassine dated December 11, 2025. Incorporated by reference to Exhibit 10.1 to Current Report on Form 8-K filed on December 15, 2025 (File No. 001-38942).</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Employment Agreement between Arcturus Therapeutics Holdings Inc. and Joe Roberts dated July 3, 2018. Incorporated by reference to Exhibit 10.2 to Current Report on Form 8-K filed on December 15, 2025 (File No. 001-38942).</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Employment Agreement between Arcturus Therapeutics Holdings Inc. and Dennis Mulroy dated April 27, 2026. Incorporated by reference to Exhibit 10.1 to Current Report on Form 8-K filed on May 7, 2026 (File No. 001-38942).</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10_39.htm">
              <w:r>
                <w:rPr>
                  <w:rStyle w:val="InternetLink"/>
                  <w:rFonts w:ascii="Times New Roman" w:hAnsi="Times New Roman"/>
                  <w:color w:val="0000FF"/>
                  <w:sz w:val="20"/>
                  <w:u w:val="single"/>
                </w:rPr>
                <w:t>Master Services Agreement between Arcturus Therapeutics, Inc. and Thermo Fisher Scientific Inc., dated June 26, 2026.</w:t>
              </w:r>
            </w:hyperlink>
            <w:hyperlink w:anchor="arct-ex10_39.htm">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10_40.htm">
              <w:r>
                <w:rPr>
                  <w:rStyle w:val="InternetLink"/>
                  <w:rFonts w:ascii="Times New Roman" w:hAnsi="Times New Roman"/>
                  <w:color w:val="0000FF"/>
                  <w:sz w:val="20"/>
                  <w:u w:val="single"/>
                </w:rPr>
                <w:t>Project Addendum for Development Services between Arcturus Therapeutics, Inc. and Patheon UK Limited, dated June 26, 2026.</w:t>
              </w:r>
            </w:hyperlink>
            <w:hyperlink w:anchor="arct-ex10_40.htm">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June 30, 2026 formatted in Inline Extensible Business Reporting Language (Inline XBRL):</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redacted from the publicly filed document because such portions are (i) not material and (ii) would be competitively harmful if publicly disclosed.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36" w:type="dxa"/>
        <w:jc w:val="left"/>
        <w:tblInd w:w="0" w:type="dxa"/>
        <w:tblLayout w:type="fixed"/>
        <w:tblCellMar>
          <w:top w:w="28" w:type="dxa"/>
          <w:left w:w="28" w:type="dxa"/>
          <w:bottom w:w="28" w:type="dxa"/>
          <w:right w:w="28" w:type="dxa"/>
        </w:tblCellMar>
      </w:tblPr>
      <w:tblGrid>
        <w:gridCol w:w="1846"/>
        <w:gridCol w:w="460"/>
        <w:gridCol w:w="3830"/>
      </w:tblGrid>
      <w:tr>
        <w:trPr/>
        <w:tc>
          <w:tcPr>
            <w:tcW w:w="18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8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Mulroy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Mulroy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bookmarkStart w:id="23" w:name="arct-ex10_39.htm"/>
      <w:bookmarkStart w:id="24" w:name="ksarctex10_39"/>
      <w:bookmarkEnd w:id="23"/>
      <w:bookmarkEnd w:id="24"/>
      <w:r>
        <w:rPr>
          <w:rFonts w:ascii="sans-serif" w:hAnsi="sans-serif"/>
          <w:color w:val="000000"/>
          <w:sz w:val="24"/>
        </w:rPr>
        <w:t>Exhibit 10.39</w:t>
      </w:r>
      <w:r>
        <w:br w:type="page"/>
      </w:r>
    </w:p>
    <w:p>
      <w:pPr>
        <w:pStyle w:val="TextBody"/>
        <w:bidi w:val="0"/>
        <w:spacing w:before="0" w:after="160"/>
        <w:jc w:val="left"/>
        <w:rPr>
          <w:rFonts w:ascii="sans-serif" w:hAnsi="sans-serif"/>
          <w:color w:val="000000"/>
          <w:sz w:val="22"/>
        </w:rPr>
      </w:pPr>
      <w:r>
        <w:rPr>
          <w:rFonts w:ascii="sans-serif" w:hAnsi="sans-serif"/>
          <w:color w:val="000000"/>
          <w:sz w:val="22"/>
        </w:rPr>
        <w:t>CERTAIN CONFIDENTIAL INFORMATION CONTAINED IN THIS DOCUMENT, MARKED BY [***], HAS BEEN OMITTED BECAUSE IT IS BOTH (I) NOT MATERIAL AND (II) IS THE TYPE THAT THE REGISTRANT TREATS AS PRIVATE OR CONFIDENTIAL.</w:t>
      </w:r>
    </w:p>
    <w:p>
      <w:pPr>
        <w:pStyle w:val="TextBody"/>
        <w:bidi w:val="0"/>
        <w:spacing w:before="0" w:after="160"/>
        <w:jc w:val="center"/>
        <w:rPr>
          <w:rFonts w:ascii="Arial" w:hAnsi="Arial"/>
          <w:b/>
          <w:smallCaps/>
          <w:color w:val="000000"/>
          <w:sz w:val="20"/>
        </w:rPr>
      </w:pPr>
      <w:r>
        <w:rPr>
          <w:rFonts w:ascii="Arial" w:hAnsi="Arial"/>
          <w:b/>
          <w:smallCaps/>
          <w:color w:val="000000"/>
          <w:sz w:val="20"/>
        </w:rPr>
        <w:t>Master Services Agreement</w:t>
      </w:r>
    </w:p>
    <w:p>
      <w:pPr>
        <w:pStyle w:val="TextBody"/>
        <w:bidi w:val="0"/>
        <w:spacing w:before="0" w:after="160"/>
        <w:jc w:val="both"/>
        <w:rPr>
          <w:rFonts w:ascii="Times New Roman" w:hAnsi="Times New Roman"/>
          <w:sz w:val="20"/>
        </w:rPr>
      </w:pPr>
      <w:r>
        <w:rPr>
          <w:rFonts w:ascii="Arial" w:hAnsi="Arial"/>
          <w:color w:val="000000"/>
          <w:sz w:val="20"/>
        </w:rPr>
        <w:t>This Master Services Agreement and the Annexes attached hereto (collectively, the “</w:t>
      </w:r>
      <w:r>
        <w:rPr>
          <w:rFonts w:ascii="Arial" w:hAnsi="Arial"/>
          <w:b/>
          <w:color w:val="000000"/>
          <w:sz w:val="20"/>
        </w:rPr>
        <w:t>MSA</w:t>
      </w:r>
      <w:r>
        <w:rPr>
          <w:rFonts w:ascii="Times New Roman" w:hAnsi="Times New Roman"/>
          <w:color w:val="000000"/>
          <w:sz w:val="20"/>
        </w:rPr>
        <w:t>”</w:t>
      </w:r>
      <w:r>
        <w:rPr>
          <w:rFonts w:ascii="Arial" w:hAnsi="Arial"/>
          <w:color w:val="000000"/>
          <w:sz w:val="20"/>
        </w:rPr>
        <w:t>) is made and entered into as of the date of last signature (“</w:t>
      </w:r>
      <w:r>
        <w:rPr>
          <w:rFonts w:ascii="Arial" w:hAnsi="Arial"/>
          <w:b/>
          <w:color w:val="000000"/>
          <w:sz w:val="20"/>
        </w:rPr>
        <w:t>Effective Date</w:t>
      </w:r>
      <w:r>
        <w:rPr>
          <w:rFonts w:ascii="Times New Roman" w:hAnsi="Times New Roman"/>
          <w:color w:val="000000"/>
          <w:sz w:val="20"/>
        </w:rPr>
        <w:t>”</w:t>
      </w:r>
      <w:r>
        <w:rPr>
          <w:rFonts w:ascii="Arial" w:hAnsi="Arial"/>
          <w:color w:val="000000"/>
          <w:sz w:val="20"/>
        </w:rPr>
        <w:t xml:space="preserve">) by and between </w:t>
      </w:r>
      <w:r>
        <w:rPr>
          <w:rFonts w:ascii="Arial" w:hAnsi="Arial"/>
          <w:b/>
          <w:color w:val="000000"/>
          <w:sz w:val="20"/>
        </w:rPr>
        <w:t xml:space="preserve">Thermo Fisher Scientific Inc. </w:t>
      </w:r>
      <w:r>
        <w:rPr>
          <w:rFonts w:ascii="Arial" w:hAnsi="Arial"/>
          <w:color w:val="000000"/>
          <w:sz w:val="20"/>
        </w:rPr>
        <w:t>("</w:t>
      </w:r>
      <w:r>
        <w:rPr>
          <w:rFonts w:ascii="Arial" w:hAnsi="Arial"/>
          <w:b/>
          <w:color w:val="000000"/>
          <w:sz w:val="20"/>
        </w:rPr>
        <w:t>Thermo Fisher</w:t>
      </w:r>
      <w:r>
        <w:rPr>
          <w:rFonts w:ascii="Arial" w:hAnsi="Arial"/>
          <w:color w:val="000000"/>
          <w:sz w:val="20"/>
        </w:rPr>
        <w:t>"), a Delaware Corporation having its principal place of business at 168 Third Avenue, Waltham, Massachusetts,</w:t>
      </w:r>
      <w:r>
        <w:rPr>
          <w:rFonts w:ascii="Times New Roman" w:hAnsi="Times New Roman"/>
          <w:color w:val="000000"/>
          <w:sz w:val="20"/>
        </w:rPr>
        <w:t xml:space="preserve"> </w:t>
      </w:r>
      <w:r>
        <w:rPr>
          <w:rFonts w:ascii="Arial" w:hAnsi="Arial"/>
          <w:color w:val="000000"/>
          <w:sz w:val="20"/>
        </w:rPr>
        <w:t xml:space="preserve">and </w:t>
      </w:r>
      <w:r>
        <w:rPr>
          <w:rFonts w:ascii="Arial" w:hAnsi="Arial"/>
          <w:b/>
          <w:color w:val="000000"/>
          <w:sz w:val="20"/>
        </w:rPr>
        <w:t>Arcturus Therapeutics, Inc.</w:t>
      </w:r>
      <w:r>
        <w:rPr>
          <w:rFonts w:ascii="Times New Roman" w:hAnsi="Times New Roman"/>
          <w:color w:val="000000"/>
          <w:sz w:val="20"/>
        </w:rPr>
        <w:t xml:space="preserve"> </w:t>
      </w:r>
      <w:r>
        <w:rPr>
          <w:rFonts w:ascii="Arial" w:hAnsi="Arial"/>
          <w:color w:val="000000"/>
          <w:sz w:val="20"/>
        </w:rPr>
        <w:t>("</w:t>
      </w:r>
      <w:r>
        <w:rPr>
          <w:rFonts w:ascii="Arial" w:hAnsi="Arial"/>
          <w:b/>
          <w:color w:val="000000"/>
          <w:sz w:val="20"/>
        </w:rPr>
        <w:t>Arcturus</w:t>
      </w:r>
      <w:r>
        <w:rPr>
          <w:rFonts w:ascii="Arial" w:hAnsi="Arial"/>
          <w:color w:val="000000"/>
          <w:sz w:val="20"/>
        </w:rPr>
        <w:t>"), with its principal place of business at 10285 Science Center Drive, San Diego, California 92121. Each a “</w:t>
      </w:r>
      <w:r>
        <w:rPr>
          <w:rFonts w:ascii="Arial" w:hAnsi="Arial"/>
          <w:b/>
          <w:color w:val="000000"/>
          <w:sz w:val="20"/>
        </w:rPr>
        <w:t>Party</w:t>
      </w:r>
      <w:r>
        <w:rPr>
          <w:rFonts w:ascii="Times New Roman" w:hAnsi="Times New Roman"/>
          <w:color w:val="000000"/>
          <w:sz w:val="20"/>
        </w:rPr>
        <w:t xml:space="preserve">” </w:t>
      </w:r>
      <w:r>
        <w:rPr>
          <w:rFonts w:ascii="Arial" w:hAnsi="Arial"/>
          <w:color w:val="000000"/>
          <w:sz w:val="20"/>
        </w:rPr>
        <w:t>and together the “</w:t>
      </w:r>
      <w:r>
        <w:rPr>
          <w:rFonts w:ascii="Arial" w:hAnsi="Arial"/>
          <w:b/>
          <w:color w:val="000000"/>
          <w:sz w:val="20"/>
        </w:rPr>
        <w:t>Parties</w:t>
      </w:r>
      <w:r>
        <w:rPr>
          <w:rFonts w:ascii="Times New Roman" w:hAnsi="Times New Roman"/>
          <w:color w:val="000000"/>
          <w:sz w:val="20"/>
        </w:rPr>
        <w:t>”</w:t>
      </w:r>
      <w:r>
        <w:rPr>
          <w:rFonts w:ascii="Arial" w:hAnsi="Arial"/>
          <w:color w:val="000000"/>
          <w:sz w:val="20"/>
        </w:rPr>
        <w:t>.</w:t>
      </w:r>
    </w:p>
    <w:p>
      <w:pPr>
        <w:pStyle w:val="TextBody"/>
        <w:bidi w:val="0"/>
        <w:spacing w:before="0" w:after="160"/>
        <w:jc w:val="center"/>
        <w:rPr>
          <w:rFonts w:ascii="Arial" w:hAnsi="Arial"/>
          <w:b/>
          <w:color w:val="000000"/>
          <w:sz w:val="20"/>
          <w:u w:val="single"/>
        </w:rPr>
      </w:pPr>
      <w:r>
        <w:rPr>
          <w:rFonts w:ascii="Arial" w:hAnsi="Arial"/>
          <w:b/>
          <w:color w:val="000000"/>
          <w:sz w:val="20"/>
          <w:u w:val="single"/>
        </w:rPr>
        <w:t>Background</w:t>
      </w:r>
    </w:p>
    <w:p>
      <w:pPr>
        <w:pStyle w:val="TextBody"/>
        <w:bidi w:val="0"/>
        <w:jc w:val="both"/>
        <w:rPr>
          <w:rFonts w:ascii="Times New Roman" w:hAnsi="Times New Roman"/>
          <w:sz w:val="20"/>
        </w:rPr>
      </w:pPr>
      <w:r>
        <w:rPr>
          <w:rFonts w:ascii="Arial" w:hAnsi="Arial"/>
          <w:color w:val="000000"/>
          <w:sz w:val="20"/>
        </w:rPr>
        <w:t>A.</w:t>
      </w:r>
      <w:r>
        <w:rPr>
          <w:rFonts w:ascii="Times New Roman" w:hAnsi="Times New Roman"/>
          <w:color w:val="000000"/>
          <w:sz w:val="20"/>
        </w:rPr>
        <w:t xml:space="preserve"> </w:t>
      </w:r>
      <w:r>
        <w:rPr>
          <w:rFonts w:ascii="Arial" w:hAnsi="Arial"/>
          <w:color w:val="000000"/>
          <w:sz w:val="20"/>
        </w:rPr>
        <w:t>Arcturus is engaged in the development, manufacture, distribution, or sale of developmental pharmaceutical products.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B.</w:t>
      </w:r>
      <w:r>
        <w:rPr>
          <w:rFonts w:ascii="Times New Roman" w:hAnsi="Times New Roman"/>
          <w:color w:val="000000"/>
          <w:sz w:val="20"/>
        </w:rPr>
        <w:t xml:space="preserve"> </w:t>
      </w:r>
      <w:r>
        <w:rPr>
          <w:rFonts w:ascii="Arial" w:hAnsi="Arial"/>
          <w:color w:val="000000"/>
          <w:sz w:val="20"/>
        </w:rPr>
        <w:t xml:space="preserve">Thermo Fisher itself and through certain of its Affiliates serve as </w:t>
      </w:r>
      <w:r>
        <w:rPr>
          <w:rFonts w:ascii="sans-serif" w:hAnsi="sans-serif"/>
          <w:color w:val="000000"/>
          <w:sz w:val="22"/>
        </w:rPr>
        <w:t xml:space="preserve">a </w:t>
      </w:r>
      <w:r>
        <w:rPr>
          <w:rFonts w:ascii="Arial" w:hAnsi="Arial"/>
          <w:color w:val="000000"/>
          <w:sz w:val="20"/>
        </w:rPr>
        <w:t>contract research organization (“</w:t>
      </w:r>
      <w:r>
        <w:rPr>
          <w:rFonts w:ascii="Arial" w:hAnsi="Arial"/>
          <w:b/>
          <w:color w:val="000000"/>
          <w:sz w:val="20"/>
        </w:rPr>
        <w:t>CRO</w:t>
      </w:r>
      <w:r>
        <w:rPr>
          <w:rFonts w:ascii="Times New Roman" w:hAnsi="Times New Roman"/>
          <w:color w:val="000000"/>
          <w:sz w:val="20"/>
        </w:rPr>
        <w:t>”</w:t>
      </w:r>
      <w:r>
        <w:rPr>
          <w:rFonts w:ascii="Arial" w:hAnsi="Arial"/>
          <w:color w:val="000000"/>
          <w:sz w:val="20"/>
        </w:rPr>
        <w:t>) and contract development and manufacturing organization (“</w:t>
      </w:r>
      <w:r>
        <w:rPr>
          <w:rFonts w:ascii="Arial" w:hAnsi="Arial"/>
          <w:b/>
          <w:color w:val="000000"/>
          <w:sz w:val="20"/>
        </w:rPr>
        <w:t>CDMO</w:t>
      </w:r>
      <w:r>
        <w:rPr>
          <w:rFonts w:ascii="Times New Roman" w:hAnsi="Times New Roman"/>
          <w:color w:val="000000"/>
          <w:sz w:val="20"/>
        </w:rPr>
        <w:t>”</w:t>
      </w:r>
      <w:r>
        <w:rPr>
          <w:rFonts w:ascii="Arial" w:hAnsi="Arial"/>
          <w:color w:val="000000"/>
          <w:sz w:val="20"/>
        </w:rPr>
        <w:t>) engaged in the business of supporting clinical research and development programs, to include phase I-IV, peri and post approval, laboratory, patient recruitment and site management organization, functional service provider and medical communication services (“</w:t>
      </w:r>
      <w:r>
        <w:rPr>
          <w:rFonts w:ascii="Arial" w:hAnsi="Arial"/>
          <w:b/>
          <w:color w:val="000000"/>
          <w:sz w:val="20"/>
        </w:rPr>
        <w:t>CRO Services</w:t>
      </w:r>
      <w:r>
        <w:rPr>
          <w:rFonts w:ascii="Times New Roman" w:hAnsi="Times New Roman"/>
          <w:color w:val="000000"/>
          <w:sz w:val="20"/>
        </w:rPr>
        <w:t>”</w:t>
      </w:r>
      <w:r>
        <w:rPr>
          <w:rFonts w:ascii="Arial" w:hAnsi="Arial"/>
          <w:color w:val="000000"/>
          <w:sz w:val="20"/>
        </w:rPr>
        <w:t>), and providing clinical drug development services</w:t>
      </w:r>
      <w:r>
        <w:rPr>
          <w:rFonts w:ascii="Times New Roman" w:hAnsi="Times New Roman"/>
          <w:color w:val="000000"/>
          <w:sz w:val="20"/>
        </w:rPr>
        <w:t xml:space="preserve"> </w:t>
      </w:r>
      <w:r>
        <w:rPr>
          <w:rFonts w:ascii="sans-serif" w:hAnsi="sans-serif"/>
          <w:color w:val="000000"/>
          <w:sz w:val="22"/>
        </w:rPr>
        <w:t xml:space="preserve">to </w:t>
      </w:r>
      <w:r>
        <w:rPr>
          <w:rFonts w:ascii="Arial" w:hAnsi="Arial"/>
          <w:color w:val="000000"/>
          <w:sz w:val="20"/>
        </w:rPr>
        <w:t>include non-GMP and GMP drug substance and drug product manufacturing and clinical trial packaging and distribution services (“</w:t>
      </w:r>
      <w:r>
        <w:rPr>
          <w:rFonts w:ascii="Arial" w:hAnsi="Arial"/>
          <w:b/>
          <w:color w:val="000000"/>
          <w:sz w:val="20"/>
        </w:rPr>
        <w:t>CDMO Services</w:t>
      </w:r>
      <w:r>
        <w:rPr>
          <w:rFonts w:ascii="Times New Roman" w:hAnsi="Times New Roman"/>
          <w:color w:val="000000"/>
          <w:sz w:val="20"/>
        </w:rPr>
        <w:t>”</w:t>
      </w:r>
      <w:r>
        <w:rPr>
          <w:rFonts w:ascii="Arial" w:hAnsi="Arial"/>
          <w:color w:val="000000"/>
          <w:sz w:val="20"/>
        </w:rPr>
        <w:t>).</w:t>
      </w:r>
    </w:p>
    <w:p>
      <w:pPr>
        <w:pStyle w:val="TextBody"/>
        <w:bidi w:val="0"/>
        <w:jc w:val="both"/>
        <w:rPr>
          <w:rFonts w:ascii="Times New Roman" w:hAnsi="Times New Roman"/>
          <w:sz w:val="20"/>
        </w:rPr>
      </w:pPr>
      <w:r>
        <w:rPr>
          <w:rFonts w:ascii="Arial" w:hAnsi="Arial"/>
          <w:color w:val="000000"/>
          <w:sz w:val="20"/>
        </w:rPr>
        <w:t>C.</w:t>
      </w:r>
      <w:r>
        <w:rPr>
          <w:rFonts w:ascii="Times New Roman" w:hAnsi="Times New Roman"/>
          <w:color w:val="000000"/>
          <w:sz w:val="20"/>
        </w:rPr>
        <w:t xml:space="preserve"> </w:t>
      </w:r>
      <w:r>
        <w:rPr>
          <w:rFonts w:ascii="Arial" w:hAnsi="Arial"/>
          <w:color w:val="000000"/>
          <w:sz w:val="20"/>
        </w:rPr>
        <w:t>Arcturus or its Affiliate may wish to engage Thermo Fisher to perform certain CRO Services or CDMO Services from time to time (each, a “</w:t>
      </w:r>
      <w:r>
        <w:rPr>
          <w:rFonts w:ascii="Arial" w:hAnsi="Arial"/>
          <w:b/>
          <w:color w:val="000000"/>
          <w:sz w:val="20"/>
        </w:rPr>
        <w:t>Project</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as described in project addendums mutually agreed from time to time (each, a “</w:t>
      </w:r>
      <w:r>
        <w:rPr>
          <w:rFonts w:ascii="Arial" w:hAnsi="Arial"/>
          <w:b/>
          <w:color w:val="000000"/>
          <w:sz w:val="20"/>
        </w:rPr>
        <w:t>PA</w:t>
      </w:r>
      <w:r>
        <w:rPr>
          <w:rFonts w:ascii="Times New Roman" w:hAnsi="Times New Roman"/>
          <w:color w:val="000000"/>
          <w:sz w:val="20"/>
        </w:rPr>
        <w:t xml:space="preserve">” </w:t>
      </w:r>
      <w:r>
        <w:rPr>
          <w:rFonts w:ascii="Arial" w:hAnsi="Arial"/>
          <w:color w:val="000000"/>
          <w:sz w:val="20"/>
        </w:rPr>
        <w:t>or “</w:t>
      </w:r>
      <w:r>
        <w:rPr>
          <w:rFonts w:ascii="Arial" w:hAnsi="Arial"/>
          <w:b/>
          <w:color w:val="000000"/>
          <w:sz w:val="20"/>
        </w:rPr>
        <w:t>Project Addendum</w:t>
      </w:r>
      <w:r>
        <w:rPr>
          <w:rFonts w:ascii="Times New Roman" w:hAnsi="Times New Roman"/>
          <w:color w:val="000000"/>
          <w:sz w:val="20"/>
        </w:rPr>
        <w:t>”</w:t>
      </w:r>
      <w:r>
        <w:rPr>
          <w:rFonts w:ascii="Arial" w:hAnsi="Arial"/>
          <w:color w:val="000000"/>
          <w:sz w:val="20"/>
        </w:rPr>
        <w:t>).</w:t>
      </w:r>
    </w:p>
    <w:p>
      <w:pPr>
        <w:pStyle w:val="TextBody"/>
        <w:bidi w:val="0"/>
        <w:spacing w:before="0" w:after="160"/>
        <w:jc w:val="center"/>
        <w:rPr>
          <w:rFonts w:ascii="Arial" w:hAnsi="Arial"/>
          <w:b/>
          <w:color w:val="000000"/>
          <w:sz w:val="20"/>
          <w:u w:val="single"/>
        </w:rPr>
      </w:pPr>
      <w:r>
        <w:rPr>
          <w:rFonts w:ascii="Arial" w:hAnsi="Arial"/>
          <w:b/>
          <w:color w:val="000000"/>
          <w:sz w:val="20"/>
          <w:u w:val="single"/>
        </w:rPr>
        <w:t>Agreement</w:t>
      </w:r>
    </w:p>
    <w:p>
      <w:pPr>
        <w:pStyle w:val="TextBody"/>
        <w:bidi w:val="0"/>
        <w:spacing w:before="0" w:after="160"/>
        <w:jc w:val="both"/>
        <w:rPr>
          <w:rFonts w:ascii="Arial" w:hAnsi="Arial"/>
          <w:color w:val="000000"/>
          <w:sz w:val="20"/>
        </w:rPr>
      </w:pPr>
      <w:r>
        <w:rPr>
          <w:rFonts w:ascii="Arial" w:hAnsi="Arial"/>
          <w:color w:val="000000"/>
          <w:sz w:val="20"/>
        </w:rPr>
        <w:t>For good and valuable consideration contained herein, the exchange, receipt and sufficiency of which are acknowledged, the Parties agree as follows:</w:t>
      </w:r>
    </w:p>
    <w:p>
      <w:pPr>
        <w:pStyle w:val="TextBody"/>
        <w:bidi w:val="0"/>
        <w:jc w:val="left"/>
        <w:rPr>
          <w:rFonts w:ascii="Times New Roman" w:hAnsi="Times New Roman"/>
          <w:sz w:val="20"/>
        </w:rPr>
      </w:pPr>
      <w:r>
        <w:rPr>
          <w:rFonts w:ascii="Arial" w:hAnsi="Arial"/>
          <w:b/>
          <w:color w:val="000000"/>
          <w:sz w:val="20"/>
        </w:rPr>
        <w:t>1.</w:t>
      </w:r>
      <w:r>
        <w:rPr>
          <w:rFonts w:ascii="Times New Roman" w:hAnsi="Times New Roman"/>
          <w:color w:val="000000"/>
          <w:sz w:val="20"/>
        </w:rPr>
        <w:t xml:space="preserve"> </w:t>
      </w:r>
      <w:r>
        <w:rPr>
          <w:rFonts w:ascii="Arial" w:hAnsi="Arial"/>
          <w:b/>
          <w:color w:val="000000"/>
          <w:sz w:val="20"/>
        </w:rPr>
        <w:t>Services</w:t>
      </w:r>
    </w:p>
    <w:p>
      <w:pPr>
        <w:pStyle w:val="TextBody"/>
        <w:bidi w:val="0"/>
        <w:jc w:val="both"/>
        <w:rPr>
          <w:rFonts w:ascii="Times New Roman" w:hAnsi="Times New Roman"/>
          <w:sz w:val="20"/>
        </w:rPr>
      </w:pPr>
      <w:r>
        <w:rPr>
          <w:rFonts w:ascii="Arial" w:hAnsi="Arial"/>
          <w:color w:val="000000"/>
          <w:sz w:val="20"/>
        </w:rPr>
        <w:t xml:space="preserve">1.1 </w:t>
      </w:r>
      <w:r>
        <w:rPr>
          <w:rFonts w:ascii="Arial" w:hAnsi="Arial"/>
          <w:b/>
          <w:color w:val="000000"/>
          <w:sz w:val="20"/>
          <w:u w:val="single"/>
        </w:rPr>
        <w:t>Services.</w:t>
      </w:r>
      <w:r>
        <w:rPr>
          <w:rFonts w:ascii="Times New Roman" w:hAnsi="Times New Roman"/>
          <w:color w:val="000000"/>
          <w:sz w:val="20"/>
        </w:rPr>
        <w:t xml:space="preserve"> </w:t>
      </w:r>
      <w:r>
        <w:rPr>
          <w:rFonts w:ascii="Arial" w:hAnsi="Arial"/>
          <w:color w:val="000000"/>
          <w:sz w:val="20"/>
        </w:rPr>
        <w:t>Thermo Fisher or its Affiliate agrees to provide services identified and described in a PA executed and delivered from time to time by each of the Parties or its respective Affiliate (“</w:t>
      </w:r>
      <w:r>
        <w:rPr>
          <w:rFonts w:ascii="Arial" w:hAnsi="Arial"/>
          <w:b/>
          <w:color w:val="000000"/>
          <w:sz w:val="20"/>
        </w:rPr>
        <w:t>Services</w:t>
      </w:r>
      <w:r>
        <w:rPr>
          <w:rFonts w:ascii="Times New Roman" w:hAnsi="Times New Roman"/>
          <w:color w:val="000000"/>
          <w:sz w:val="20"/>
        </w:rPr>
        <w:t>”</w:t>
      </w:r>
      <w:r>
        <w:rPr>
          <w:rFonts w:ascii="Arial" w:hAnsi="Arial"/>
          <w:color w:val="000000"/>
          <w:sz w:val="20"/>
        </w:rPr>
        <w:t>). Services may include either “</w:t>
      </w:r>
      <w:r>
        <w:rPr>
          <w:rFonts w:ascii="Arial" w:hAnsi="Arial"/>
          <w:b/>
          <w:color w:val="000000"/>
          <w:sz w:val="20"/>
        </w:rPr>
        <w:t>CRO Services</w:t>
      </w:r>
      <w:r>
        <w:rPr>
          <w:rFonts w:ascii="Times New Roman" w:hAnsi="Times New Roman"/>
          <w:color w:val="000000"/>
          <w:sz w:val="20"/>
        </w:rPr>
        <w:t>”</w:t>
      </w:r>
      <w:r>
        <w:rPr>
          <w:rFonts w:ascii="Arial" w:hAnsi="Arial"/>
          <w:color w:val="000000"/>
          <w:sz w:val="20"/>
        </w:rPr>
        <w:t>, all of which are subject to the terms and conditions set forth in Annex 1 (but not Annex 2) and further defined in a PA, or CDMO Services, all of which are subject to the terms and conditions set forth in Annex 2 (but not Annex 1) and further defined in a PA.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Thermo Fisher Affiliate executing the PA is only responsible for Services specified in a PA that has been executed and delivered by Arcturus and the Thermo Fisher Affiliate. Certain of the PAs may also be subject to a quality assurance agreement (“</w:t>
      </w:r>
      <w:r>
        <w:rPr>
          <w:rFonts w:ascii="Arial" w:hAnsi="Arial"/>
          <w:b/>
          <w:color w:val="000000"/>
          <w:sz w:val="20"/>
        </w:rPr>
        <w:t>Quality Agreement</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1.2.</w:t>
      </w:r>
      <w:r>
        <w:rPr>
          <w:rFonts w:ascii="Times New Roman" w:hAnsi="Times New Roman"/>
          <w:color w:val="000000"/>
          <w:sz w:val="20"/>
        </w:rPr>
        <w:t xml:space="preserve"> </w:t>
      </w:r>
      <w:r>
        <w:rPr>
          <w:rFonts w:ascii="Arial" w:hAnsi="Arial"/>
          <w:b/>
          <w:color w:val="000000"/>
          <w:sz w:val="20"/>
          <w:u w:val="single"/>
        </w:rPr>
        <w:t>Annex 3 [***]</w:t>
      </w:r>
      <w:r>
        <w:rPr>
          <w:rFonts w:ascii="Arial" w:hAnsi="Arial"/>
          <w:color w:val="000000"/>
          <w:sz w:val="20"/>
        </w:rPr>
        <w:t>.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Parties acknowledge that Annex 3 includes definitions that may also appear in this MSA. To the extent a defined term appears in both this MSA and Annex 3, the definition set forth in Annex 3 shall apply and be included in any applicable Project Addendum related to the Services set forth in Annex 3, provided that such definition is more specific or detailed.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0"/>
        </w:rPr>
        <w:t>1.3</w:t>
      </w:r>
      <w:r>
        <w:rPr>
          <w:rFonts w:ascii="Times New Roman" w:hAnsi="Times New Roman"/>
          <w:color w:val="000000"/>
          <w:sz w:val="20"/>
        </w:rPr>
        <w:t xml:space="preserve"> </w:t>
      </w:r>
      <w:r>
        <w:rPr>
          <w:rFonts w:ascii="Arial" w:hAnsi="Arial"/>
          <w:b/>
          <w:color w:val="000000"/>
          <w:sz w:val="20"/>
          <w:u w:val="single"/>
        </w:rPr>
        <w:t>Annex 4 Future Commitments</w:t>
      </w:r>
      <w:r>
        <w:rPr>
          <w:rFonts w:ascii="Arial" w:hAnsi="Arial"/>
          <w:color w:val="000000"/>
          <w:sz w:val="20"/>
        </w:rPr>
        <w:t xml:space="preserve">. Arcturus and the applicable Thermo Fisher Affiliate agree to negotiate and execute the following: (a) one or more PAs for CDMO Services and/or CRO Services and (b) a Commercial Supply Agreement and a PA, in each case, as described in and in accordance with the timelines set forth in </w:t>
      </w:r>
      <w:r>
        <w:rPr>
          <w:rFonts w:ascii="Arial" w:hAnsi="Arial"/>
          <w:color w:val="000000"/>
          <w:sz w:val="20"/>
          <w:u w:val="single"/>
        </w:rPr>
        <w:t>Annex 4</w:t>
      </w:r>
      <w:r>
        <w:rPr>
          <w:rFonts w:ascii="Times New Roman" w:hAnsi="Times New Roman"/>
          <w:color w:val="000000"/>
          <w:sz w:val="20"/>
        </w:rPr>
        <w:t xml:space="preserve"> </w:t>
      </w:r>
      <w:r>
        <w:rPr>
          <w:rFonts w:ascii="Arial" w:hAnsi="Arial"/>
          <w:color w:val="000000"/>
          <w:sz w:val="20"/>
        </w:rPr>
        <w:t>or as otherwise mutually agreed by</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color w:val="000000"/>
          <w:sz w:val="20"/>
        </w:rPr>
        <w:t>Arcturus and the Thermo Fisher Affiliate. Upon execution by both Parties, such PA or Commercial Supply Agreement or Quality Agreement will be incorporated by reference into this MSA.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1.4.</w:t>
      </w:r>
      <w:r>
        <w:rPr>
          <w:rFonts w:ascii="Times New Roman" w:hAnsi="Times New Roman"/>
          <w:color w:val="000000"/>
          <w:sz w:val="20"/>
        </w:rPr>
        <w:t xml:space="preserve"> </w:t>
      </w:r>
      <w:r>
        <w:rPr>
          <w:rFonts w:ascii="Arial" w:hAnsi="Arial"/>
          <w:b/>
          <w:color w:val="000000"/>
          <w:sz w:val="20"/>
          <w:u w:val="single"/>
        </w:rPr>
        <w:t>Conflicts Among Terms</w:t>
      </w:r>
      <w:r>
        <w:rPr>
          <w:rFonts w:ascii="Arial" w:hAnsi="Arial"/>
          <w:color w:val="000000"/>
          <w:sz w:val="20"/>
        </w:rPr>
        <w:t>. To the extent there is any conflict anywhere in this Agreement regarding the terms applicable to any of the Services to be performed under a PA, such conflict will be resolved in the following order of precedence with decreasing priority: a) the PA, b) the MSA, and c) the Quality Agreement applicable to a PA solely for matters involving quality control or documentation. To the extent that any provision of this MSA specifies any terms applicable to any of the Services in more detail than another provision of this MSA (but does not conflict with such other provision), then the more detailed provision will control (to the extent not in conflict). The Side Agreement provided in Annex 3 is subject to, and governed by, the MSA. In the event of any conflict between the terms of this Side Agreement and the MSA, the terms of this Side Agreement shall control with respect to the subject matter therein.</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1.5.</w:t>
      </w:r>
      <w:r>
        <w:rPr>
          <w:rFonts w:ascii="Times New Roman" w:hAnsi="Times New Roman"/>
          <w:color w:val="000000"/>
          <w:sz w:val="20"/>
        </w:rPr>
        <w:t xml:space="preserve"> </w:t>
      </w:r>
      <w:r>
        <w:rPr>
          <w:rFonts w:ascii="Arial" w:hAnsi="Arial"/>
          <w:b/>
          <w:color w:val="000000"/>
          <w:sz w:val="20"/>
          <w:u w:val="single"/>
        </w:rPr>
        <w:t>Affiliates.</w:t>
      </w:r>
      <w:r>
        <w:rPr>
          <w:rFonts w:ascii="Times New Roman" w:hAnsi="Times New Roman"/>
          <w:color w:val="000000"/>
          <w:sz w:val="20"/>
        </w:rPr>
        <w:t xml:space="preserve"> </w:t>
      </w:r>
      <w:r>
        <w:rPr>
          <w:rFonts w:ascii="Arial" w:hAnsi="Arial"/>
          <w:color w:val="000000"/>
          <w:sz w:val="20"/>
        </w:rPr>
        <w:t>Any Thermo Fisher Affiliate may enter into a PA. Any such Thermo Fisher Affiliate signing a PA shall be subject to the terms of the applicable PA and all other terms of this MSA and/or Quality Agreement as applicable to that PA. If a Thermo Fisher Affiliate enters into a PA, in its own name, any liability will be solely with such Thermo Fisher Affiliate. Arcturus is solely liable for its acts and omissions under the terms of the applicable PA. For the purpose of this MSA: “</w:t>
      </w:r>
      <w:r>
        <w:rPr>
          <w:rFonts w:ascii="Arial" w:hAnsi="Arial"/>
          <w:b/>
          <w:color w:val="000000"/>
          <w:sz w:val="20"/>
        </w:rPr>
        <w:t>Affiliate</w:t>
      </w:r>
      <w:r>
        <w:rPr>
          <w:rFonts w:ascii="Times New Roman" w:hAnsi="Times New Roman"/>
          <w:color w:val="000000"/>
          <w:sz w:val="20"/>
        </w:rPr>
        <w:t xml:space="preserve">” </w:t>
      </w:r>
      <w:r>
        <w:rPr>
          <w:rFonts w:ascii="Arial" w:hAnsi="Arial"/>
          <w:color w:val="000000"/>
          <w:sz w:val="20"/>
        </w:rPr>
        <w:t xml:space="preserve">shall mean any entity that controls, is controlled by or is under common control with a Party, and, as used in such definition, </w:t>
      </w:r>
      <w:r>
        <w:rPr>
          <w:rFonts w:ascii="Times New Roman" w:hAnsi="Times New Roman"/>
          <w:color w:val="000000"/>
          <w:sz w:val="20"/>
        </w:rPr>
        <w:t>“</w:t>
      </w:r>
      <w:r>
        <w:rPr>
          <w:rFonts w:ascii="Arial" w:hAnsi="Arial"/>
          <w:b/>
          <w:color w:val="000000"/>
          <w:sz w:val="20"/>
        </w:rPr>
        <w:t xml:space="preserve">control” </w:t>
      </w:r>
      <w:r>
        <w:rPr>
          <w:rFonts w:ascii="Arial" w:hAnsi="Arial"/>
          <w:color w:val="000000"/>
          <w:sz w:val="20"/>
        </w:rPr>
        <w:t>shall mean (a) to possess, directly or indirectly, the power to direct the management or policies of an entity, or (b) to own, directly or indirectly, more than 50% of the outstanding voting securities or other ownership interest of the entity. References to the applicable Thermo Fisher Affiliate in connection with the performance of Services, the execution of a Project Addendum, or any rights and obligations arising or relating to a particular Project Addendum set forth herein shall be deemed to refer to the Thermo Affiliate who is party to the applicable Project Addendum.</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1.6.</w:t>
      </w:r>
      <w:r>
        <w:rPr>
          <w:rFonts w:ascii="Times New Roman" w:hAnsi="Times New Roman"/>
          <w:color w:val="000000"/>
          <w:sz w:val="20"/>
        </w:rPr>
        <w:t xml:space="preserve"> </w:t>
      </w:r>
      <w:r>
        <w:rPr>
          <w:rFonts w:ascii="Arial" w:hAnsi="Arial"/>
          <w:b/>
          <w:color w:val="000000"/>
          <w:sz w:val="20"/>
          <w:u w:val="single"/>
        </w:rPr>
        <w:t>Performance Standards.</w:t>
      </w:r>
      <w:r>
        <w:rPr>
          <w:rFonts w:ascii="Times New Roman" w:hAnsi="Times New Roman"/>
          <w:color w:val="000000"/>
          <w:sz w:val="20"/>
        </w:rPr>
        <w:t xml:space="preserve"> </w:t>
      </w:r>
      <w:r>
        <w:rPr>
          <w:rFonts w:ascii="Arial" w:hAnsi="Arial"/>
          <w:color w:val="000000"/>
          <w:sz w:val="20"/>
        </w:rPr>
        <w:t>The Thermo Fisher Affiliate will perform the Services for each Project in accordance with (to the extent applicable): [***] the “</w:t>
      </w:r>
      <w:r>
        <w:rPr>
          <w:rFonts w:ascii="Arial" w:hAnsi="Arial"/>
          <w:b/>
          <w:color w:val="000000"/>
          <w:sz w:val="20"/>
        </w:rPr>
        <w:t>Performance Standards</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w:t>
      </w:r>
      <w:r>
        <w:rPr>
          <w:rFonts w:ascii="Times New Roman" w:hAnsi="Times New Roman"/>
          <w:color w:val="000000"/>
          <w:sz w:val="20"/>
        </w:rPr>
        <w:t xml:space="preserve"> </w:t>
      </w:r>
      <w:r>
        <w:rPr>
          <w:rFonts w:ascii="Arial" w:hAnsi="Arial"/>
          <w:b/>
          <w:color w:val="000000"/>
          <w:sz w:val="20"/>
        </w:rPr>
        <w:t>Compensation and Payment</w:t>
      </w:r>
    </w:p>
    <w:p>
      <w:pPr>
        <w:pStyle w:val="TextBody"/>
        <w:bidi w:val="0"/>
        <w:jc w:val="both"/>
        <w:rPr>
          <w:rFonts w:ascii="Times New Roman" w:hAnsi="Times New Roman"/>
          <w:sz w:val="20"/>
        </w:rPr>
      </w:pPr>
      <w:r>
        <w:rPr>
          <w:rFonts w:ascii="Arial" w:hAnsi="Arial"/>
          <w:color w:val="000000"/>
          <w:sz w:val="20"/>
        </w:rPr>
        <w:t>2.1.</w:t>
      </w:r>
      <w:r>
        <w:rPr>
          <w:rFonts w:ascii="Times New Roman" w:hAnsi="Times New Roman"/>
          <w:color w:val="000000"/>
          <w:sz w:val="20"/>
        </w:rPr>
        <w:t xml:space="preserve"> </w:t>
      </w:r>
      <w:r>
        <w:rPr>
          <w:rFonts w:ascii="Arial" w:hAnsi="Arial"/>
          <w:b/>
          <w:color w:val="000000"/>
          <w:sz w:val="20"/>
          <w:u w:val="single"/>
        </w:rPr>
        <w:t>Charges</w:t>
      </w:r>
      <w:r>
        <w:rPr>
          <w:rFonts w:ascii="Arial" w:hAnsi="Arial"/>
          <w:b/>
          <w:color w:val="000000"/>
          <w:sz w:val="20"/>
        </w:rPr>
        <w:t xml:space="preserve">. </w:t>
      </w:r>
      <w:r>
        <w:rPr>
          <w:rFonts w:ascii="Arial" w:hAnsi="Arial"/>
          <w:color w:val="000000"/>
          <w:sz w:val="20"/>
        </w:rPr>
        <w:t>Arcturus shall pay the Thermo Fisher Affiliate party to the PA the fees for Services performed under the PA (“</w:t>
      </w:r>
      <w:r>
        <w:rPr>
          <w:rFonts w:ascii="Arial" w:hAnsi="Arial"/>
          <w:b/>
          <w:color w:val="000000"/>
          <w:sz w:val="20"/>
        </w:rPr>
        <w:t>Fees</w:t>
      </w:r>
      <w:r>
        <w:rPr>
          <w:rFonts w:ascii="Times New Roman" w:hAnsi="Times New Roman"/>
          <w:color w:val="000000"/>
          <w:sz w:val="20"/>
        </w:rPr>
        <w:t>”</w:t>
      </w:r>
      <w:r>
        <w:rPr>
          <w:rFonts w:ascii="Arial" w:hAnsi="Arial"/>
          <w:color w:val="000000"/>
          <w:sz w:val="20"/>
        </w:rPr>
        <w:t>) and for the out-of-pocket and/or pass-through expenses incurred in connection with performing the Services including any investigator fees and handling fees, as applicable (collectively, the “</w:t>
      </w:r>
      <w:r>
        <w:rPr>
          <w:rFonts w:ascii="Arial" w:hAnsi="Arial"/>
          <w:b/>
          <w:color w:val="000000"/>
          <w:sz w:val="20"/>
        </w:rPr>
        <w:t>Costs</w:t>
      </w:r>
      <w:r>
        <w:rPr>
          <w:rFonts w:ascii="Times New Roman" w:hAnsi="Times New Roman"/>
          <w:color w:val="000000"/>
          <w:sz w:val="20"/>
        </w:rPr>
        <w:t>”</w:t>
      </w:r>
      <w:r>
        <w:rPr>
          <w:rFonts w:ascii="Arial" w:hAnsi="Arial"/>
          <w:color w:val="000000"/>
          <w:sz w:val="20"/>
        </w:rPr>
        <w:t>), in each case, that are chargeable to or reimbursable by Arcturus in accordance with the terms of the PA and any payment schedule therein.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2.2.</w:t>
      </w:r>
      <w:r>
        <w:rPr>
          <w:rFonts w:ascii="Times New Roman" w:hAnsi="Times New Roman"/>
          <w:color w:val="000000"/>
          <w:sz w:val="20"/>
        </w:rPr>
        <w:t xml:space="preserve"> </w:t>
      </w:r>
      <w:r>
        <w:rPr>
          <w:rFonts w:ascii="Arial" w:hAnsi="Arial"/>
          <w:b/>
          <w:color w:val="000000"/>
          <w:sz w:val="20"/>
          <w:u w:val="single"/>
        </w:rPr>
        <w:t>Invoicing</w:t>
      </w:r>
      <w:r>
        <w:rPr>
          <w:rFonts w:ascii="Arial" w:hAnsi="Arial"/>
          <w:color w:val="000000"/>
          <w:sz w:val="20"/>
        </w:rPr>
        <w:t>. Upon the PA Effective Date for a PA, the Thermo Fisher Affiliate shall invoice Arcturus for any agreed upon [***] that are specified in the PA (if any) to be invoiced based upon such PA Effective Date and before any Services begin [***]the Thermo Fisher Affiliate will invoice Arcturus in arrears against the [***] , and Arcturus will be responsible for the prior agreed upon actual amounts incurred. Unless otherwise stated in a PA, where the Thermo Fisher Affiliate incurs [***] based on exchange rates as published by a reputable third-party source and in a manner consistent with the accounting principles, [***] , applicable to the Thermo Fisher Affiliate as consistently applied for all services similar to the Services.</w:t>
      </w:r>
      <w:r>
        <w:rPr>
          <w:rFonts w:ascii="Times New Roman" w:hAnsi="Times New Roman"/>
          <w:color w:val="000000"/>
          <w:sz w:val="20"/>
        </w:rPr>
        <w:t xml:space="preserve"> </w:t>
      </w:r>
      <w:r>
        <w:rPr>
          <w:rFonts w:ascii="Arial" w:hAnsi="Arial"/>
          <w:color w:val="000000"/>
          <w:sz w:val="20"/>
        </w:rPr>
        <w:t>The Thermo Fisher Affiliate will not invoice any items that aren’t set forth in a PA unless Arcturus has previously approved in writing. All invoices shall be sent to accountspayable@arcturusrx.com.</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2.3.</w:t>
      </w:r>
      <w:r>
        <w:rPr>
          <w:rFonts w:ascii="Times New Roman" w:hAnsi="Times New Roman"/>
          <w:color w:val="000000"/>
          <w:sz w:val="20"/>
        </w:rPr>
        <w:t xml:space="preserve"> </w:t>
      </w:r>
      <w:r>
        <w:rPr>
          <w:rFonts w:ascii="Arial" w:hAnsi="Arial"/>
          <w:b/>
          <w:color w:val="000000"/>
          <w:sz w:val="20"/>
          <w:u w:val="single"/>
        </w:rPr>
        <w:t>Payment Terms</w:t>
      </w:r>
      <w:r>
        <w:rPr>
          <w:rFonts w:ascii="Arial" w:hAnsi="Arial"/>
          <w:b/>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0"/>
        </w:rPr>
        <w:t>2.4.</w:t>
      </w:r>
      <w:r>
        <w:rPr>
          <w:rFonts w:ascii="Times New Roman" w:hAnsi="Times New Roman"/>
          <w:color w:val="000000"/>
          <w:sz w:val="20"/>
        </w:rPr>
        <w:t xml:space="preserve"> </w:t>
      </w:r>
      <w:r>
        <w:rPr>
          <w:rFonts w:ascii="Arial" w:hAnsi="Arial"/>
          <w:b/>
          <w:color w:val="000000"/>
          <w:sz w:val="20"/>
          <w:u w:val="single"/>
        </w:rPr>
        <w:t>Changes in Scope</w:t>
      </w:r>
      <w:r>
        <w:rPr>
          <w:rFonts w:ascii="Arial" w:hAnsi="Arial"/>
          <w:color w:val="000000"/>
          <w:sz w:val="20"/>
        </w:rPr>
        <w:t>. [***]</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2.5.</w:t>
      </w:r>
      <w:r>
        <w:rPr>
          <w:rFonts w:ascii="Times New Roman" w:hAnsi="Times New Roman"/>
          <w:color w:val="000000"/>
          <w:sz w:val="20"/>
        </w:rPr>
        <w:t xml:space="preserve"> </w:t>
      </w:r>
      <w:r>
        <w:rPr>
          <w:rFonts w:ascii="Arial" w:hAnsi="Arial"/>
          <w:b/>
          <w:color w:val="000000"/>
          <w:sz w:val="20"/>
          <w:u w:val="single"/>
        </w:rPr>
        <w:t>Taxes and Duties.</w:t>
      </w:r>
    </w:p>
    <w:p>
      <w:pPr>
        <w:pStyle w:val="TextBody"/>
        <w:bidi w:val="0"/>
        <w:jc w:val="both"/>
        <w:rPr>
          <w:rFonts w:ascii="Times New Roman" w:hAnsi="Times New Roman"/>
          <w:sz w:val="20"/>
        </w:rPr>
      </w:pPr>
      <w:r>
        <w:rPr>
          <w:rFonts w:ascii="Arial" w:hAnsi="Arial"/>
          <w:color w:val="000000"/>
          <w:sz w:val="20"/>
        </w:rPr>
        <w:t>2.5.1.</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2.5.2.</w:t>
      </w:r>
      <w:r>
        <w:rPr>
          <w:rFonts w:ascii="Times New Roman" w:hAnsi="Times New Roman"/>
          <w:color w:val="000000"/>
          <w:sz w:val="20"/>
        </w:rPr>
        <w:t xml:space="preserve"> </w:t>
      </w:r>
      <w:r>
        <w:rPr>
          <w:rFonts w:ascii="Arial" w:hAnsi="Arial"/>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2.5.3.</w:t>
      </w:r>
      <w:r>
        <w:rPr>
          <w:rFonts w:ascii="Times New Roman" w:hAnsi="Times New Roman"/>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2.6.</w:t>
      </w:r>
      <w:r>
        <w:rPr>
          <w:rFonts w:ascii="Times New Roman" w:hAnsi="Times New Roman"/>
          <w:color w:val="000000"/>
          <w:sz w:val="20"/>
        </w:rPr>
        <w:t xml:space="preserve"> </w:t>
      </w:r>
      <w:r>
        <w:rPr>
          <w:rFonts w:ascii="Arial" w:hAnsi="Arial"/>
          <w:b/>
          <w:color w:val="000000"/>
          <w:sz w:val="20"/>
          <w:u w:val="single"/>
        </w:rPr>
        <w:t>Right of Set-Off</w:t>
      </w:r>
      <w:r>
        <w:rPr>
          <w:rFonts w:ascii="Arial" w:hAnsi="Arial"/>
          <w:color w:val="000000"/>
          <w:sz w:val="20"/>
        </w:rPr>
        <w:t>. The Thermo Fisher Affiliate reserves the right to set off any amounts due by Arcturus under this MSA against any amounts owed by Arcturus.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3.</w:t>
      </w:r>
      <w:r>
        <w:rPr>
          <w:rFonts w:ascii="Times New Roman" w:hAnsi="Times New Roman"/>
          <w:color w:val="000000"/>
          <w:sz w:val="20"/>
        </w:rPr>
        <w:t xml:space="preserve"> </w:t>
      </w:r>
      <w:r>
        <w:rPr>
          <w:rFonts w:ascii="Arial" w:hAnsi="Arial"/>
          <w:b/>
          <w:color w:val="000000"/>
          <w:sz w:val="20"/>
        </w:rPr>
        <w:t>Outbound Shipment/Title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3.1.</w:t>
      </w:r>
      <w:r>
        <w:rPr>
          <w:rFonts w:ascii="Times New Roman" w:hAnsi="Times New Roman"/>
          <w:color w:val="000000"/>
          <w:sz w:val="20"/>
        </w:rPr>
        <w:t xml:space="preserve"> </w:t>
      </w:r>
      <w:r>
        <w:rPr>
          <w:rFonts w:ascii="Arial" w:hAnsi="Arial"/>
          <w:color w:val="000000"/>
          <w:sz w:val="20"/>
        </w:rPr>
        <w:t>Any outbound delivery by or on behalf of a Thermo Fisher Affiliate to or for Arcturus in connection with any Services will be subject to shipping terms FCA (Incoterms 2020) from the Thermo Fisher Affiliate facility for the Services, unless otherwise mutually agreed in writing or specified in a PA. Arcturus is responsible for insuring shipments. Arcturus is responsible for being the exporter of record and will comply with all applicable laws and obtain any required licenses and authorizations necessary for export or import (unless otherwise agreed in writing) and will otherwise comply with all applicable laws and pay any applicable export or import fees, and Duties.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3.2.</w:t>
      </w:r>
      <w:r>
        <w:rPr>
          <w:rFonts w:ascii="Times New Roman" w:hAnsi="Times New Roman"/>
          <w:color w:val="000000"/>
          <w:sz w:val="20"/>
        </w:rPr>
        <w:t xml:space="preserve"> </w:t>
      </w:r>
      <w:r>
        <w:rPr>
          <w:rFonts w:ascii="Arial" w:hAnsi="Arial"/>
          <w:color w:val="000000"/>
          <w:sz w:val="20"/>
        </w:rPr>
        <w:t>If a PA specifies that the Thermo Fisher Affiliate shall coordinate the collection of materials or products of, from or on behalf of Arcturus using Thermo Fisher’s selected carriers, then the Thermo Fisher Affiliate will do so as an agent of Arcturus and at the Arcturus Party’s sole risk and expense. In addition to the terms in this MSA and the PA, Arcturus: (i) will pay all freight charges per the PA, and be responsible for all final freight charges based on actual shipping characteristics and all charges not contemplated in the PA (including accessorial services such as detention and demurrage); (ii) approves Thermo Fisher Affiliate’s selection of transportation mode and carrier; (iii) allows Thermo Fisher Affiliate to coordinate customs clearance up to, and including, paying duties and taxes on behalf of Arcturus; (iv) agrees that the shipment is subject to the selected carrier’s waybill terms, and (v) any claims for loss, damage, or delay must be made directly against the carrier, which may limit its liability. The Thermo Fisher Affiliate is not considered a freight forwarder or carrier in providing these Services.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3.3 Upon any Thermo Fisher Affiliate’s release pursuant to the applicable Quality Agreement of any deliverable, title to the deliverable will transfer to Arcturus. Arcturus will bear the risk of loss and will be obligated to insure the deliverable at all times.</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4.</w:t>
      </w:r>
      <w:r>
        <w:rPr>
          <w:rFonts w:ascii="Times New Roman" w:hAnsi="Times New Roman"/>
          <w:color w:val="000000"/>
          <w:sz w:val="20"/>
        </w:rPr>
        <w:t xml:space="preserve"> </w:t>
      </w:r>
      <w:r>
        <w:rPr>
          <w:rFonts w:ascii="Arial" w:hAnsi="Arial"/>
          <w:b/>
          <w:color w:val="000000"/>
          <w:sz w:val="20"/>
        </w:rPr>
        <w:t>Obligations of the Parties.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color w:val="000000"/>
          <w:sz w:val="20"/>
        </w:rPr>
        <w:t>4.1.</w:t>
      </w:r>
      <w:r>
        <w:rPr>
          <w:rFonts w:ascii="Times New Roman" w:hAnsi="Times New Roman"/>
          <w:color w:val="000000"/>
          <w:sz w:val="20"/>
        </w:rPr>
        <w:t xml:space="preserve"> </w:t>
      </w:r>
      <w:r>
        <w:rPr>
          <w:rFonts w:ascii="Arial" w:hAnsi="Arial"/>
          <w:b/>
          <w:color w:val="000000"/>
          <w:sz w:val="20"/>
        </w:rPr>
        <w:t>Arcturus Obligations</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4.1.1. </w:t>
      </w:r>
      <w:r>
        <w:rPr>
          <w:rFonts w:ascii="Arial" w:hAnsi="Arial"/>
          <w:b/>
          <w:color w:val="000000"/>
          <w:sz w:val="20"/>
          <w:u w:val="single"/>
        </w:rPr>
        <w:t>Information, Materials and Actions</w:t>
      </w:r>
      <w:r>
        <w:rPr>
          <w:rFonts w:ascii="Arial" w:hAnsi="Arial"/>
          <w:color w:val="000000"/>
          <w:sz w:val="20"/>
        </w:rPr>
        <w:t xml:space="preserve">. Arcturus will provide accurate and up to date information and Arcturus Supplied Materials (as defined below) (including essential documents as defined in the ICH-GCP Guideline) and drug product, if applicable. Arcturus shall take any such other actions necessary for the Thermo Fisher Affiliate to provide the subject Services, in each case as specified in the PA. Arcturus will, and will cause its respective agents, employees and contractors to take action and execute documents, as appropriate, to perform the Services or regulatory obligations delegated to a Thermo Fisher Affiliate under a PA or achieve the objectives of this MSA.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4.1.2. “</w:t>
      </w:r>
      <w:r>
        <w:rPr>
          <w:rFonts w:ascii="Arial" w:hAnsi="Arial"/>
          <w:b/>
          <w:color w:val="000000"/>
          <w:sz w:val="20"/>
        </w:rPr>
        <w:t>Arcturus Supplied Materials</w:t>
      </w:r>
      <w:r>
        <w:rPr>
          <w:rFonts w:ascii="Times New Roman" w:hAnsi="Times New Roman"/>
          <w:color w:val="000000"/>
          <w:sz w:val="20"/>
        </w:rPr>
        <w:t xml:space="preserve">” </w:t>
      </w:r>
      <w:r>
        <w:rPr>
          <w:rFonts w:ascii="Arial" w:hAnsi="Arial"/>
          <w:color w:val="000000"/>
          <w:sz w:val="20"/>
        </w:rPr>
        <w:t>means any materials designated as such in a PA, which are those materials expected to be purchased or delivered by Arcturus to Thermo Fisher in accordance with the schedule or other terms of the PA.</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color w:val="000000"/>
          <w:sz w:val="20"/>
        </w:rPr>
        <w:t xml:space="preserve">4.1.3. </w:t>
      </w:r>
      <w:r>
        <w:rPr>
          <w:rFonts w:ascii="Arial" w:hAnsi="Arial"/>
          <w:b/>
          <w:color w:val="000000"/>
          <w:sz w:val="20"/>
          <w:u w:val="single"/>
        </w:rPr>
        <w:t>Approvals.</w:t>
      </w:r>
      <w:r>
        <w:rPr>
          <w:rFonts w:ascii="Times New Roman" w:hAnsi="Times New Roman"/>
          <w:color w:val="000000"/>
          <w:sz w:val="20"/>
        </w:rPr>
        <w:t xml:space="preserve"> </w:t>
      </w:r>
      <w:r>
        <w:rPr>
          <w:rFonts w:ascii="Arial" w:hAnsi="Arial"/>
          <w:color w:val="000000"/>
          <w:sz w:val="20"/>
        </w:rPr>
        <w:t>To the extent that any PA specifies that any of the Services require the consent or approval of Arcturus, Arcturus will not unreasonably withhold or delay such consent or approval.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4.1.4.</w:t>
      </w:r>
      <w:r>
        <w:rPr>
          <w:rFonts w:ascii="Arial" w:hAnsi="Arial"/>
          <w:b/>
          <w:color w:val="000000"/>
          <w:sz w:val="20"/>
          <w:u w:val="single"/>
        </w:rPr>
        <w:t>Dependency</w:t>
      </w:r>
      <w:r>
        <w:rPr>
          <w:rFonts w:ascii="Arial" w:hAnsi="Arial"/>
          <w:color w:val="000000"/>
          <w:sz w:val="20"/>
        </w:rPr>
        <w:t>. Arcturus acknowledges that the Thermo Fisher Affiliate’s performance of the Services is dependent on Arcturus’ cooperation and that the Thermo Fisher Affiliate to a PA shall not be responsible for any delays in its performance of Services under a PA to the extent caused by the failure of Arcturus to timely provide necessary approvals, consents, information or materials specified in the PA to be provided by Arcturus. If any such delay caused by Arcturus occurs, the Project timelines affected may be revised to reasonably account for such delay.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4.1.5. </w:t>
      </w:r>
      <w:r>
        <w:rPr>
          <w:rFonts w:ascii="Arial" w:hAnsi="Arial"/>
          <w:b/>
          <w:color w:val="000000"/>
          <w:sz w:val="20"/>
          <w:u w:val="single"/>
        </w:rPr>
        <w:t>Cancellations.</w:t>
      </w:r>
      <w:r>
        <w:rPr>
          <w:rFonts w:ascii="Times New Roman" w:hAnsi="Times New Roman"/>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4.1.6.</w:t>
      </w:r>
      <w:r>
        <w:rPr>
          <w:rFonts w:ascii="Times New Roman" w:hAnsi="Times New Roman"/>
          <w:color w:val="000000"/>
          <w:sz w:val="20"/>
        </w:rPr>
        <w:t xml:space="preserve"> </w:t>
      </w:r>
      <w:r>
        <w:rPr>
          <w:rFonts w:ascii="Arial" w:hAnsi="Arial"/>
          <w:b/>
          <w:color w:val="000000"/>
          <w:sz w:val="20"/>
          <w:u w:val="single"/>
        </w:rPr>
        <w:t>Legal Compliance.</w:t>
      </w:r>
      <w:r>
        <w:rPr>
          <w:rFonts w:ascii="Times New Roman" w:hAnsi="Times New Roman"/>
          <w:color w:val="000000"/>
          <w:sz w:val="20"/>
        </w:rPr>
        <w:t xml:space="preserve"> </w:t>
      </w:r>
      <w:r>
        <w:rPr>
          <w:rFonts w:ascii="Arial" w:hAnsi="Arial"/>
          <w:color w:val="000000"/>
          <w:sz w:val="20"/>
        </w:rPr>
        <w:t>Arcturus shall comply with all applicable laws, rules and regulations governing the performance of its obligations and the subject matter of this MSA.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4.1.7.</w:t>
      </w:r>
      <w:r>
        <w:rPr>
          <w:rFonts w:ascii="Times New Roman" w:hAnsi="Times New Roman"/>
          <w:color w:val="000000"/>
          <w:sz w:val="20"/>
        </w:rPr>
        <w:t xml:space="preserve"> </w:t>
      </w:r>
      <w:r>
        <w:rPr>
          <w:rFonts w:ascii="Arial" w:hAnsi="Arial"/>
          <w:b/>
          <w:color w:val="000000"/>
          <w:sz w:val="20"/>
          <w:u w:val="single"/>
        </w:rPr>
        <w:t>Importer of Record</w:t>
      </w:r>
      <w:r>
        <w:rPr>
          <w:rFonts w:ascii="Arial" w:hAnsi="Arial"/>
          <w:color w:val="000000"/>
          <w:sz w:val="20"/>
        </w:rPr>
        <w:t>. Arcturus shall be Importer of Record unless expressly agreed otherwise in a PA.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4.1</w:t>
      </w:r>
      <w:r>
        <w:rPr>
          <w:rFonts w:ascii="Arial" w:hAnsi="Arial"/>
          <w:color w:val="000000"/>
          <w:sz w:val="20"/>
          <w:u w:val="single"/>
        </w:rPr>
        <w:t>.</w:t>
      </w:r>
      <w:r>
        <w:rPr>
          <w:rFonts w:ascii="Arial" w:hAnsi="Arial"/>
          <w:color w:val="000000"/>
          <w:sz w:val="20"/>
        </w:rPr>
        <w:t xml:space="preserve">8. </w:t>
      </w:r>
      <w:r>
        <w:rPr>
          <w:rFonts w:ascii="Arial" w:hAnsi="Arial"/>
          <w:b/>
          <w:color w:val="000000"/>
          <w:sz w:val="20"/>
          <w:u w:val="single"/>
        </w:rPr>
        <w:t>Deliveries of Arcturus Supplied Materials</w:t>
      </w:r>
      <w:r>
        <w:rPr>
          <w:rFonts w:ascii="Arial" w:hAnsi="Arial"/>
          <w:color w:val="000000"/>
          <w:sz w:val="20"/>
        </w:rPr>
        <w:t>. Subject to Section 3.2, all shipments of Arcturus Supplied Materials will be made DDP (Incoterms 2020) to the Service Provider facility for receipt thereof specified in the applicable PA. Each such shipment must be delivered in accordance with applicable laws. The Arcturus Supplied Materials will be suitable for their intended use, uncontaminated, and not adulterated upon arrival at such facility.</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0"/>
        </w:rPr>
        <w:t>4.2</w:t>
      </w:r>
      <w:r>
        <w:rPr>
          <w:rFonts w:ascii="Times New Roman" w:hAnsi="Times New Roman"/>
          <w:color w:val="000000"/>
          <w:sz w:val="20"/>
        </w:rPr>
        <w:t xml:space="preserve"> </w:t>
      </w:r>
      <w:r>
        <w:rPr>
          <w:rFonts w:ascii="Arial" w:hAnsi="Arial"/>
          <w:b/>
          <w:color w:val="000000"/>
          <w:sz w:val="20"/>
        </w:rPr>
        <w:t>Obligations of Thermo Fisher.</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4.2.1 Each Thermo Fisher Affiliate to a PA acknowledges that it is in possession of all permits or licenses necessary to perform its obligations under this MSA and the PA.</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4.2.2 Each Thermo Fisher Affiliate that executes a PA acknowledges that the Products shall be manufactured in accordance with the Performance Standards.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4.2.3 Each Thermo Fisher Affiliate that executes a PA acknowledges that Services will be performed using the standard of care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4.2.4</w:t>
      </w:r>
      <w:r>
        <w:rPr>
          <w:rFonts w:ascii="Times New Roman" w:hAnsi="Times New Roman"/>
          <w:color w:val="000000"/>
          <w:sz w:val="20"/>
        </w:rPr>
        <w:t xml:space="preserve"> </w:t>
      </w:r>
      <w:r>
        <w:rPr>
          <w:rFonts w:ascii="Arial" w:hAnsi="Arial"/>
          <w:color w:val="000000"/>
          <w:sz w:val="20"/>
        </w:rPr>
        <w:t>Each Thermo Fisher Affiliate to a PA acknowledges that all personnel performing Services are qualified, trained, and capable of performing their assigned functions in a professional and workmanlike manner. Personnel assigned to work on an Arcturus PA shall receive -specific training related to the applicable Arcturus Project prior to performing their tasks.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4.2.5 Each Thermo Fisher Affiliate that executes a PA acknowledges that any deviations from approved instructions or internal procedures shall be documented, justified, and explained in accordance with this MSA, applicable PA, and the Quality Agreement.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5.</w:t>
      </w:r>
      <w:r>
        <w:rPr>
          <w:rFonts w:ascii="Times New Roman" w:hAnsi="Times New Roman"/>
          <w:color w:val="000000"/>
          <w:sz w:val="20"/>
        </w:rPr>
        <w:t xml:space="preserve"> </w:t>
      </w:r>
      <w:r>
        <w:rPr>
          <w:rFonts w:ascii="Arial" w:hAnsi="Arial"/>
          <w:b/>
          <w:color w:val="000000"/>
          <w:sz w:val="20"/>
        </w:rPr>
        <w:t>Term and Termination</w:t>
      </w:r>
    </w:p>
    <w:p>
      <w:pPr>
        <w:pStyle w:val="TextBody"/>
        <w:bidi w:val="0"/>
        <w:spacing w:before="0" w:after="160"/>
        <w:jc w:val="both"/>
        <w:rPr>
          <w:rFonts w:ascii="Times New Roman" w:hAnsi="Times New Roman"/>
          <w:sz w:val="20"/>
        </w:rPr>
      </w:pPr>
      <w:r>
        <w:rPr>
          <w:rFonts w:ascii="Arial" w:hAnsi="Arial"/>
          <w:color w:val="000000"/>
          <w:sz w:val="20"/>
        </w:rPr>
        <w:t>5.1.</w:t>
      </w:r>
      <w:r>
        <w:rPr>
          <w:rFonts w:ascii="Times New Roman" w:hAnsi="Times New Roman"/>
          <w:color w:val="000000"/>
          <w:sz w:val="20"/>
        </w:rPr>
        <w:t xml:space="preserve"> </w:t>
      </w:r>
      <w:r>
        <w:rPr>
          <w:rFonts w:ascii="Arial" w:hAnsi="Arial"/>
          <w:b/>
          <w:color w:val="000000"/>
          <w:sz w:val="20"/>
          <w:u w:val="single"/>
        </w:rPr>
        <w:t>Master Agreement Initial Term and Auto Renewal</w:t>
      </w:r>
      <w:r>
        <w:rPr>
          <w:rFonts w:ascii="Arial" w:hAnsi="Arial"/>
          <w:color w:val="000000"/>
          <w:sz w:val="20"/>
        </w:rPr>
        <w:t>. This MSA shall commence on the Effective Date and continue for an initial term of five (5) years, unless terminated sooner pursuant to Section 5.2, 5.3 or 5.4. At the end of such five years, if applicable, this MSA shall automatically renew for successive one-year periods (each, an “</w:t>
      </w:r>
      <w:r>
        <w:rPr>
          <w:rFonts w:ascii="Arial" w:hAnsi="Arial"/>
          <w:b/>
          <w:color w:val="000000"/>
          <w:sz w:val="20"/>
        </w:rPr>
        <w:t>Extension</w:t>
      </w:r>
      <w:r>
        <w:rPr>
          <w:rFonts w:ascii="Times New Roman" w:hAnsi="Times New Roman"/>
          <w:color w:val="000000"/>
          <w:sz w:val="20"/>
        </w:rPr>
        <w:t>”</w:t>
      </w:r>
      <w:r>
        <w:rPr>
          <w:rFonts w:ascii="Arial" w:hAnsi="Arial"/>
          <w:color w:val="000000"/>
          <w:sz w:val="20"/>
        </w:rPr>
        <w:t>), unless either Party provides written notice of non-renewal at least ninety (90) days prior to the end of the then-current Term. The period from the Effective Date until this MSA either expires at the end</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color w:val="000000"/>
          <w:sz w:val="20"/>
        </w:rPr>
        <w:t>of the initial term or any Extension or terminates during such initial term or any Extension under Section 5.3 or 5.4 is the “</w:t>
      </w:r>
      <w:r>
        <w:rPr>
          <w:rFonts w:ascii="Arial" w:hAnsi="Arial"/>
          <w:b/>
          <w:color w:val="000000"/>
          <w:sz w:val="20"/>
        </w:rPr>
        <w:t>Term</w:t>
      </w:r>
      <w:r>
        <w:rPr>
          <w:rFonts w:ascii="Times New Roman" w:hAnsi="Times New Roman"/>
          <w:color w:val="000000"/>
          <w:sz w:val="20"/>
        </w:rPr>
        <w:t>”</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5.2.</w:t>
      </w:r>
      <w:r>
        <w:rPr>
          <w:rFonts w:ascii="Times New Roman" w:hAnsi="Times New Roman"/>
          <w:color w:val="000000"/>
          <w:sz w:val="20"/>
        </w:rPr>
        <w:t xml:space="preserve"> </w:t>
      </w:r>
      <w:r>
        <w:rPr>
          <w:rFonts w:ascii="Arial" w:hAnsi="Arial"/>
          <w:b/>
          <w:color w:val="000000"/>
          <w:sz w:val="20"/>
          <w:u w:val="single"/>
        </w:rPr>
        <w:t>Project Addendums</w:t>
      </w:r>
      <w:r>
        <w:rPr>
          <w:rFonts w:ascii="Arial" w:hAnsi="Arial"/>
          <w:color w:val="000000"/>
          <w:sz w:val="20"/>
        </w:rPr>
        <w:t>. Each PA becomes effective and part of this MSA upon the effective date of the PA specified in the PA, or, if not so specified, the latest date the PA is executed and delivered by Arcturus and the Thermo Fisher Affiliate thereto (“</w:t>
      </w:r>
      <w:r>
        <w:rPr>
          <w:rFonts w:ascii="Arial" w:hAnsi="Arial"/>
          <w:b/>
          <w:color w:val="000000"/>
          <w:sz w:val="20"/>
        </w:rPr>
        <w:t>PA Effective Date</w:t>
      </w:r>
      <w:r>
        <w:rPr>
          <w:rFonts w:ascii="Times New Roman" w:hAnsi="Times New Roman"/>
          <w:color w:val="000000"/>
          <w:sz w:val="20"/>
        </w:rPr>
        <w:t>”</w:t>
      </w:r>
      <w:r>
        <w:rPr>
          <w:rFonts w:ascii="Arial" w:hAnsi="Arial"/>
          <w:color w:val="000000"/>
          <w:sz w:val="20"/>
        </w:rPr>
        <w:t xml:space="preserve">). Each PA terminates as specified in the PA, or, if not so specified, when the Services under that PA all have been completed in accordance with all of the requirements of this MSA (the </w:t>
      </w:r>
      <w:r>
        <w:rPr>
          <w:rFonts w:ascii="Times New Roman" w:hAnsi="Times New Roman"/>
          <w:color w:val="000000"/>
          <w:sz w:val="20"/>
        </w:rPr>
        <w:t>“</w:t>
      </w:r>
      <w:r>
        <w:rPr>
          <w:rFonts w:ascii="Arial" w:hAnsi="Arial"/>
          <w:b/>
          <w:color w:val="000000"/>
          <w:sz w:val="20"/>
        </w:rPr>
        <w:t>PA Term</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5.3.</w:t>
      </w:r>
      <w:r>
        <w:rPr>
          <w:rFonts w:ascii="Times New Roman" w:hAnsi="Times New Roman"/>
          <w:color w:val="000000"/>
          <w:sz w:val="20"/>
        </w:rPr>
        <w:t xml:space="preserve"> </w:t>
      </w:r>
      <w:r>
        <w:rPr>
          <w:rFonts w:ascii="Arial" w:hAnsi="Arial"/>
          <w:b/>
          <w:color w:val="000000"/>
          <w:sz w:val="20"/>
          <w:u w:val="single"/>
        </w:rPr>
        <w:t>Termination for Insolvency</w:t>
      </w:r>
      <w:r>
        <w:rPr>
          <w:rFonts w:ascii="Arial" w:hAnsi="Arial"/>
          <w:color w:val="000000"/>
          <w:sz w:val="20"/>
        </w:rPr>
        <w:t>. Either Party may terminate this MSA immediately upon written notice if the other Party becomes insolvent, makes an assignment for the benefit of creditors, files or has filed against it a petition in bankruptcy that is not dismissed within thirty (30) days, or ceases or threatens to cease conducting business in the ordinary course. Arcturus or the Thermo Fisher Affiliate to a PA may terminate the PA if the other party thereto becomes insolvent, makes an assignment for the benefit of creditors, files or has filed against it a petition in bankruptcy that is not dismissed within thirty (30) days, or ceases or threatens to cease conducting business in the ordinary course.</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5.4.</w:t>
      </w:r>
      <w:r>
        <w:rPr>
          <w:rFonts w:ascii="Times New Roman" w:hAnsi="Times New Roman"/>
          <w:color w:val="000000"/>
          <w:sz w:val="20"/>
        </w:rPr>
        <w:t xml:space="preserve"> </w:t>
      </w:r>
      <w:r>
        <w:rPr>
          <w:rFonts w:ascii="Arial" w:hAnsi="Arial"/>
          <w:b/>
          <w:color w:val="000000"/>
          <w:sz w:val="20"/>
          <w:u w:val="single"/>
        </w:rPr>
        <w:t>Termination for Breach.</w:t>
      </w:r>
      <w:r>
        <w:rPr>
          <w:rFonts w:ascii="Times New Roman" w:hAnsi="Times New Roman"/>
          <w:color w:val="000000"/>
          <w:sz w:val="20"/>
        </w:rPr>
        <w:t xml:space="preserve"> </w:t>
      </w:r>
      <w:r>
        <w:rPr>
          <w:rFonts w:ascii="Arial" w:hAnsi="Arial"/>
          <w:color w:val="000000"/>
          <w:sz w:val="20"/>
        </w:rPr>
        <w:t>Either Party may terminate this MSA for material breach by the other Party, provided the breaching Party does not cure such material breach within thirty (30) days of receiving written notice of the breach</w:t>
      </w:r>
      <w:r>
        <w:rPr>
          <w:rFonts w:ascii="Times New Roman" w:hAnsi="Times New Roman"/>
          <w:color w:val="000000"/>
          <w:sz w:val="20"/>
        </w:rPr>
        <w:t xml:space="preserve"> </w:t>
      </w:r>
      <w:r>
        <w:rPr>
          <w:rFonts w:ascii="Arial" w:hAnsi="Arial"/>
          <w:color w:val="000000"/>
          <w:sz w:val="20"/>
        </w:rPr>
        <w:t>or a time as mutually agreed by the Parties.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5.5.</w:t>
      </w:r>
      <w:r>
        <w:rPr>
          <w:rFonts w:ascii="Times New Roman" w:hAnsi="Times New Roman"/>
          <w:color w:val="000000"/>
          <w:sz w:val="20"/>
        </w:rPr>
        <w:t xml:space="preserve"> </w:t>
      </w:r>
      <w:r>
        <w:rPr>
          <w:rFonts w:ascii="Arial" w:hAnsi="Arial"/>
          <w:b/>
          <w:color w:val="000000"/>
          <w:sz w:val="20"/>
          <w:u w:val="single"/>
        </w:rPr>
        <w:t>Effect of Termination of MSA</w:t>
      </w:r>
      <w:r>
        <w:rPr>
          <w:rFonts w:ascii="Arial" w:hAnsi="Arial"/>
          <w:color w:val="000000"/>
          <w:sz w:val="20"/>
        </w:rPr>
        <w:t>. Termination or expiration of this MSA terminates the ability of any of the Parties or their respective Affiliates to enter into any new PA that has not become effective before such termination or expiration. Termination or expiration of this MSA shall not automatically terminate any active PA(s) or any of the terms of this MSA applicable thereto unless specified in the PA(s). Except as specified in any PA(s), the terms and conditions of this MSA shall continue to apply to all PA(s) still in effect at termination or expiration of this MSA.</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5.6.</w:t>
      </w:r>
      <w:r>
        <w:rPr>
          <w:rFonts w:ascii="Times New Roman" w:hAnsi="Times New Roman"/>
          <w:color w:val="000000"/>
          <w:sz w:val="20"/>
        </w:rPr>
        <w:t xml:space="preserve"> </w:t>
      </w:r>
      <w:r>
        <w:rPr>
          <w:rFonts w:ascii="Arial" w:hAnsi="Arial"/>
          <w:b/>
          <w:color w:val="000000"/>
          <w:sz w:val="20"/>
          <w:u w:val="single"/>
        </w:rPr>
        <w:t>Effects of Termination of a PA</w:t>
      </w:r>
      <w:r>
        <w:rPr>
          <w:rFonts w:ascii="Arial" w:hAnsi="Arial"/>
          <w:color w:val="000000"/>
          <w:sz w:val="20"/>
        </w:rPr>
        <w:t>. If a PA expires or otherwise is terminated for any reason: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5.6.1.</w:t>
      </w:r>
      <w:r>
        <w:rPr>
          <w:rFonts w:ascii="Times New Roman" w:hAnsi="Times New Roman"/>
          <w:color w:val="000000"/>
          <w:sz w:val="20"/>
        </w:rPr>
        <w:t xml:space="preserve"> </w:t>
      </w:r>
      <w:r>
        <w:rPr>
          <w:rFonts w:ascii="Arial" w:hAnsi="Arial"/>
          <w:color w:val="000000"/>
          <w:sz w:val="20"/>
        </w:rPr>
        <w:t>The Thermo Fisher Affiliate will: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5.6.1.1.</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5.6.1.2.</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5.6.2.</w:t>
      </w:r>
      <w:r>
        <w:rPr>
          <w:rFonts w:ascii="Times New Roman" w:hAnsi="Times New Roman"/>
          <w:color w:val="000000"/>
          <w:sz w:val="20"/>
        </w:rPr>
        <w:t xml:space="preserve"> </w:t>
      </w:r>
      <w:r>
        <w:rPr>
          <w:rFonts w:ascii="Arial" w:hAnsi="Arial"/>
          <w:color w:val="000000"/>
          <w:sz w:val="20"/>
        </w:rPr>
        <w:t>Arcturus will: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5.6.2.1.</w:t>
      </w:r>
      <w:r>
        <w:rPr>
          <w:rFonts w:ascii="Times New Roman" w:hAnsi="Times New Roman"/>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5.6.2.2.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5.6.2.3.</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1B1B1D"/>
          <w:sz w:val="20"/>
        </w:rPr>
        <w:t>5.6.2.4.</w:t>
      </w:r>
      <w:r>
        <w:rPr>
          <w:rFonts w:ascii="Times New Roman" w:hAnsi="Times New Roman"/>
          <w:color w:val="000000"/>
          <w:sz w:val="20"/>
        </w:rPr>
        <w:t xml:space="preserve"> </w:t>
      </w:r>
      <w:r>
        <w:rPr>
          <w:rFonts w:ascii="Arial" w:hAnsi="Arial"/>
          <w:color w:val="000000"/>
          <w:sz w:val="20"/>
        </w:rPr>
        <w:t>[***]</w:t>
      </w:r>
      <w:r>
        <w:rPr>
          <w:rFonts w:ascii="Arial" w:hAnsi="Arial"/>
          <w:color w:val="1B1B1D"/>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6.</w:t>
      </w:r>
      <w:r>
        <w:rPr>
          <w:rFonts w:ascii="Times New Roman" w:hAnsi="Times New Roman"/>
          <w:color w:val="000000"/>
          <w:sz w:val="20"/>
        </w:rPr>
        <w:t xml:space="preserve"> </w:t>
      </w:r>
      <w:r>
        <w:rPr>
          <w:rFonts w:ascii="Arial" w:hAnsi="Arial"/>
          <w:b/>
          <w:color w:val="000000"/>
          <w:sz w:val="20"/>
        </w:rPr>
        <w:t>Confidentiality</w:t>
      </w:r>
    </w:p>
    <w:p>
      <w:pPr>
        <w:pStyle w:val="TextBody"/>
        <w:bidi w:val="0"/>
        <w:jc w:val="both"/>
        <w:rPr>
          <w:rFonts w:ascii="Times New Roman" w:hAnsi="Times New Roman"/>
          <w:sz w:val="20"/>
        </w:rPr>
      </w:pPr>
      <w:r>
        <w:rPr>
          <w:rFonts w:ascii="Arial" w:hAnsi="Arial"/>
          <w:color w:val="000000"/>
          <w:sz w:val="20"/>
        </w:rPr>
        <w:t>6.1.</w:t>
      </w:r>
      <w:r>
        <w:rPr>
          <w:rFonts w:ascii="Times New Roman" w:hAnsi="Times New Roman"/>
          <w:color w:val="000000"/>
          <w:sz w:val="20"/>
        </w:rPr>
        <w:t xml:space="preserve"> </w:t>
      </w:r>
      <w:r>
        <w:rPr>
          <w:rFonts w:ascii="Arial" w:hAnsi="Arial"/>
          <w:b/>
          <w:color w:val="000000"/>
          <w:sz w:val="20"/>
          <w:u w:val="single"/>
        </w:rPr>
        <w:t>Confidential Information</w:t>
      </w:r>
      <w:r>
        <w:rPr>
          <w:rFonts w:ascii="Arial" w:hAnsi="Arial"/>
          <w:color w:val="000000"/>
          <w:sz w:val="20"/>
        </w:rPr>
        <w:t>. For the purposes of this MSA, "</w:t>
      </w:r>
      <w:r>
        <w:rPr>
          <w:rFonts w:ascii="Arial" w:hAnsi="Arial"/>
          <w:b/>
          <w:color w:val="000000"/>
          <w:sz w:val="20"/>
        </w:rPr>
        <w:t>Confidential Information</w:t>
      </w:r>
      <w:r>
        <w:rPr>
          <w:rFonts w:ascii="Arial" w:hAnsi="Arial"/>
          <w:color w:val="000000"/>
          <w:sz w:val="20"/>
        </w:rPr>
        <w:t>" means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6.2.</w:t>
      </w:r>
      <w:r>
        <w:rPr>
          <w:rFonts w:ascii="Times New Roman" w:hAnsi="Times New Roman"/>
          <w:color w:val="000000"/>
          <w:sz w:val="20"/>
        </w:rPr>
        <w:t xml:space="preserve"> </w:t>
      </w:r>
      <w:r>
        <w:rPr>
          <w:rFonts w:ascii="Arial" w:hAnsi="Arial"/>
          <w:b/>
          <w:color w:val="000000"/>
          <w:sz w:val="20"/>
          <w:u w:val="single"/>
        </w:rPr>
        <w:t>Use</w:t>
      </w:r>
      <w:r>
        <w:rPr>
          <w:rFonts w:ascii="Arial" w:hAnsi="Arial"/>
          <w:color w:val="000000"/>
          <w:sz w:val="20"/>
        </w:rPr>
        <w:t>. [***].</w:t>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0"/>
        </w:rPr>
        <w:t>6.3.</w:t>
      </w:r>
      <w:r>
        <w:rPr>
          <w:rFonts w:ascii="Times New Roman" w:hAnsi="Times New Roman"/>
          <w:color w:val="000000"/>
          <w:sz w:val="20"/>
        </w:rPr>
        <w:t xml:space="preserve"> </w:t>
      </w:r>
      <w:r>
        <w:rPr>
          <w:rFonts w:ascii="Arial" w:hAnsi="Arial"/>
          <w:b/>
          <w:color w:val="000000"/>
          <w:sz w:val="20"/>
          <w:u w:val="single"/>
        </w:rPr>
        <w:t>Disclosure</w:t>
      </w:r>
      <w:r>
        <w:rPr>
          <w:rFonts w:ascii="Arial" w:hAnsi="Arial"/>
          <w:color w:val="000000"/>
          <w:sz w:val="20"/>
        </w:rPr>
        <w:t>. [***].</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6.4.</w:t>
      </w:r>
      <w:r>
        <w:rPr>
          <w:rFonts w:ascii="Times New Roman" w:hAnsi="Times New Roman"/>
          <w:color w:val="000000"/>
          <w:sz w:val="20"/>
        </w:rPr>
        <w:t xml:space="preserve"> </w:t>
      </w:r>
      <w:r>
        <w:rPr>
          <w:rFonts w:ascii="Arial" w:hAnsi="Arial"/>
          <w:b/>
          <w:color w:val="000000"/>
          <w:sz w:val="20"/>
          <w:u w:val="single"/>
        </w:rPr>
        <w:t>Exceptions</w:t>
      </w:r>
      <w:r>
        <w:rPr>
          <w:rFonts w:ascii="Arial" w:hAnsi="Arial"/>
          <w:color w:val="000000"/>
          <w:sz w:val="20"/>
        </w:rPr>
        <w:t>.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6.5.</w:t>
      </w:r>
      <w:r>
        <w:rPr>
          <w:rFonts w:ascii="Times New Roman" w:hAnsi="Times New Roman"/>
          <w:color w:val="000000"/>
          <w:sz w:val="20"/>
        </w:rPr>
        <w:t xml:space="preserve"> </w:t>
      </w:r>
      <w:r>
        <w:rPr>
          <w:rFonts w:ascii="Arial" w:hAnsi="Arial"/>
          <w:b/>
          <w:color w:val="000000"/>
          <w:sz w:val="20"/>
          <w:u w:val="single"/>
        </w:rPr>
        <w:t>Return of Information</w:t>
      </w:r>
      <w:r>
        <w:rPr>
          <w:rFonts w:ascii="Arial" w:hAnsi="Arial"/>
          <w:color w:val="000000"/>
          <w:sz w:val="20"/>
        </w:rPr>
        <w:t>.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6.6.</w:t>
      </w:r>
      <w:r>
        <w:rPr>
          <w:rFonts w:ascii="Times New Roman" w:hAnsi="Times New Roman"/>
          <w:color w:val="000000"/>
          <w:sz w:val="20"/>
        </w:rPr>
        <w:t xml:space="preserve"> </w:t>
      </w:r>
      <w:r>
        <w:rPr>
          <w:rFonts w:ascii="Arial" w:hAnsi="Arial"/>
          <w:b/>
          <w:color w:val="000000"/>
          <w:sz w:val="20"/>
          <w:u w:val="single"/>
        </w:rPr>
        <w:t>Remedies</w:t>
      </w:r>
      <w:r>
        <w:rPr>
          <w:rFonts w:ascii="Arial" w:hAnsi="Arial"/>
          <w:color w:val="000000"/>
          <w:sz w:val="20"/>
        </w:rPr>
        <w: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7.</w:t>
      </w:r>
      <w:r>
        <w:rPr>
          <w:rFonts w:ascii="Times New Roman" w:hAnsi="Times New Roman"/>
          <w:color w:val="000000"/>
          <w:sz w:val="20"/>
        </w:rPr>
        <w:t xml:space="preserve"> </w:t>
      </w:r>
      <w:r>
        <w:rPr>
          <w:rFonts w:ascii="Arial" w:hAnsi="Arial"/>
          <w:b/>
          <w:color w:val="000000"/>
          <w:sz w:val="20"/>
        </w:rPr>
        <w:t>Data Privacy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7.1.</w:t>
      </w:r>
      <w:r>
        <w:rPr>
          <w:rFonts w:ascii="Times New Roman" w:hAnsi="Times New Roman"/>
          <w:color w:val="000000"/>
          <w:sz w:val="20"/>
        </w:rPr>
        <w:t xml:space="preserve"> </w:t>
      </w:r>
      <w:r>
        <w:rPr>
          <w:rFonts w:ascii="Arial" w:hAnsi="Arial"/>
          <w:b/>
          <w:color w:val="000000"/>
          <w:sz w:val="20"/>
          <w:u w:val="single"/>
        </w:rPr>
        <w:t>Definitions</w:t>
      </w:r>
      <w:r>
        <w:rPr>
          <w:rFonts w:ascii="Arial" w:hAnsi="Arial"/>
          <w:color w:val="000000"/>
          <w:sz w:val="20"/>
        </w:rPr>
        <w:t>. [***] .</w:t>
      </w:r>
    </w:p>
    <w:p>
      <w:pPr>
        <w:pStyle w:val="TextBody"/>
        <w:bidi w:val="0"/>
        <w:jc w:val="both"/>
        <w:rPr>
          <w:rFonts w:ascii="Times New Roman" w:hAnsi="Times New Roman"/>
          <w:sz w:val="20"/>
        </w:rPr>
      </w:pPr>
      <w:r>
        <w:rPr>
          <w:rFonts w:ascii="Arial" w:hAnsi="Arial"/>
          <w:color w:val="000000"/>
          <w:sz w:val="20"/>
        </w:rPr>
        <w:t>7.2.</w:t>
      </w:r>
      <w:r>
        <w:rPr>
          <w:rFonts w:ascii="Times New Roman" w:hAnsi="Times New Roman"/>
          <w:color w:val="000000"/>
          <w:sz w:val="20"/>
        </w:rPr>
        <w:t xml:space="preserve"> </w:t>
      </w:r>
      <w:r>
        <w:rPr>
          <w:rFonts w:ascii="Arial" w:hAnsi="Arial"/>
          <w:b/>
          <w:color w:val="000000"/>
          <w:sz w:val="20"/>
          <w:u w:val="single"/>
        </w:rPr>
        <w:t>Compliance</w:t>
      </w:r>
      <w:r>
        <w:rPr>
          <w:rFonts w:ascii="Arial" w:hAnsi="Arial"/>
          <w:color w:val="000000"/>
          <w:sz w:val="20"/>
        </w:rPr>
        <w:t>.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7.3.</w:t>
      </w:r>
      <w:r>
        <w:rPr>
          <w:rFonts w:ascii="Times New Roman" w:hAnsi="Times New Roman"/>
          <w:color w:val="000000"/>
          <w:sz w:val="20"/>
        </w:rPr>
        <w:t xml:space="preserve"> </w:t>
      </w:r>
      <w:r>
        <w:rPr>
          <w:rFonts w:ascii="Arial" w:hAnsi="Arial"/>
          <w:b/>
          <w:color w:val="000000"/>
          <w:sz w:val="20"/>
          <w:u w:val="single"/>
        </w:rPr>
        <w:t>Patient Recruitment Services</w:t>
      </w:r>
      <w:r>
        <w:rPr>
          <w:rFonts w:ascii="Arial" w:hAnsi="Arial"/>
          <w:color w:val="000000"/>
          <w:sz w:val="20"/>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7.4.</w:t>
      </w:r>
      <w:r>
        <w:rPr>
          <w:rFonts w:ascii="Times New Roman" w:hAnsi="Times New Roman"/>
          <w:color w:val="000000"/>
          <w:sz w:val="20"/>
        </w:rPr>
        <w:t xml:space="preserve"> </w:t>
      </w:r>
      <w:r>
        <w:rPr>
          <w:rFonts w:ascii="Arial" w:hAnsi="Arial"/>
          <w:b/>
          <w:color w:val="000000"/>
          <w:sz w:val="20"/>
          <w:u w:val="single"/>
        </w:rPr>
        <w:t>Site Management Organization Services</w:t>
      </w:r>
      <w:r>
        <w:rPr>
          <w:rFonts w:ascii="Arial" w:hAnsi="Arial"/>
          <w:color w:val="000000"/>
          <w:sz w:val="20"/>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7.5.</w:t>
      </w:r>
      <w:r>
        <w:rPr>
          <w:rFonts w:ascii="Times New Roman" w:hAnsi="Times New Roman"/>
          <w:color w:val="000000"/>
          <w:sz w:val="20"/>
        </w:rPr>
        <w:t xml:space="preserve"> </w:t>
      </w:r>
      <w:r>
        <w:rPr>
          <w:rFonts w:ascii="Arial" w:hAnsi="Arial"/>
          <w:b/>
          <w:color w:val="000000"/>
          <w:sz w:val="20"/>
          <w:u w:val="single"/>
        </w:rPr>
        <w:t>CRO Services</w:t>
      </w:r>
      <w:r>
        <w:rPr>
          <w:rFonts w:ascii="Arial" w:hAnsi="Arial"/>
          <w:color w:val="000000"/>
          <w:sz w:val="20"/>
        </w:rPr>
        <w:t>.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7.6.</w:t>
      </w:r>
      <w:r>
        <w:rPr>
          <w:rFonts w:ascii="Times New Roman" w:hAnsi="Times New Roman"/>
          <w:color w:val="000000"/>
          <w:sz w:val="20"/>
        </w:rPr>
        <w:t xml:space="preserve"> </w:t>
      </w:r>
      <w:r>
        <w:rPr>
          <w:rFonts w:ascii="Arial" w:hAnsi="Arial"/>
          <w:b/>
          <w:color w:val="000000"/>
          <w:sz w:val="20"/>
          <w:u w:val="single"/>
        </w:rPr>
        <w:t>Data Processing Obligations</w:t>
      </w:r>
      <w:r>
        <w:rPr>
          <w:rFonts w:ascii="Arial" w:hAnsi="Arial"/>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7.7.</w:t>
      </w:r>
      <w:r>
        <w:rPr>
          <w:rFonts w:ascii="Times New Roman" w:hAnsi="Times New Roman"/>
          <w:color w:val="000000"/>
          <w:sz w:val="20"/>
        </w:rPr>
        <w:t xml:space="preserve"> </w:t>
      </w:r>
      <w:r>
        <w:rPr>
          <w:rFonts w:ascii="Arial" w:hAnsi="Arial"/>
          <w:b/>
          <w:color w:val="000000"/>
          <w:sz w:val="20"/>
          <w:u w:val="single"/>
        </w:rPr>
        <w:t>Privacy and Security Incidents</w:t>
      </w:r>
      <w:r>
        <w:rPr>
          <w:rFonts w:ascii="Arial" w:hAnsi="Arial"/>
          <w:color w:val="000000"/>
          <w:sz w:val="20"/>
        </w:rPr>
        <w:t>.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7.8.</w:t>
      </w:r>
      <w:r>
        <w:rPr>
          <w:rFonts w:ascii="Times New Roman" w:hAnsi="Times New Roman"/>
          <w:color w:val="000000"/>
          <w:sz w:val="20"/>
        </w:rPr>
        <w:t xml:space="preserve"> </w:t>
      </w:r>
      <w:r>
        <w:rPr>
          <w:rFonts w:ascii="Arial" w:hAnsi="Arial"/>
          <w:b/>
          <w:color w:val="000000"/>
          <w:sz w:val="20"/>
          <w:u w:val="single"/>
        </w:rPr>
        <w:t>Data Protection Requests</w:t>
      </w:r>
      <w:r>
        <w:rPr>
          <w:rFonts w:ascii="Arial" w:hAnsi="Arial"/>
          <w:color w:val="000000"/>
          <w:sz w:val="20"/>
        </w:rPr>
        <w:t>.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7.9. </w:t>
      </w:r>
      <w:r>
        <w:rPr>
          <w:rFonts w:ascii="Arial" w:hAnsi="Arial"/>
          <w:b/>
          <w:color w:val="000000"/>
          <w:sz w:val="20"/>
          <w:u w:val="single"/>
        </w:rPr>
        <w:t>Processors and Data Transfers</w:t>
      </w:r>
      <w:r>
        <w:rPr>
          <w:rFonts w:ascii="Arial" w:hAnsi="Arial"/>
          <w:color w:val="000000"/>
          <w:sz w:val="20"/>
        </w:rPr>
        <w:t>. [***].</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8.</w:t>
      </w:r>
      <w:r>
        <w:rPr>
          <w:rFonts w:ascii="Times New Roman" w:hAnsi="Times New Roman"/>
          <w:color w:val="000000"/>
          <w:sz w:val="20"/>
        </w:rPr>
        <w:t xml:space="preserve"> </w:t>
      </w:r>
      <w:r>
        <w:rPr>
          <w:rFonts w:ascii="Arial" w:hAnsi="Arial"/>
          <w:b/>
          <w:color w:val="000000"/>
          <w:sz w:val="20"/>
        </w:rPr>
        <w:t>Intellectual Property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8.1.</w:t>
      </w:r>
      <w:r>
        <w:rPr>
          <w:rFonts w:ascii="Times New Roman" w:hAnsi="Times New Roman"/>
          <w:color w:val="000000"/>
          <w:sz w:val="20"/>
        </w:rPr>
        <w:t xml:space="preserve"> </w:t>
      </w:r>
      <w:r>
        <w:rPr>
          <w:rFonts w:ascii="Arial" w:hAnsi="Arial"/>
          <w:b/>
          <w:color w:val="000000"/>
          <w:sz w:val="20"/>
          <w:u w:val="single"/>
        </w:rPr>
        <w:t>Defined Terms</w:t>
      </w:r>
      <w:r>
        <w:rPr>
          <w:rFonts w:ascii="Arial" w:hAnsi="Arial"/>
          <w:b/>
          <w:color w:val="000000"/>
          <w:sz w:val="20"/>
        </w:rPr>
        <w:t>:</w:t>
      </w:r>
    </w:p>
    <w:p>
      <w:pPr>
        <w:pStyle w:val="TextBody"/>
        <w:bidi w:val="0"/>
        <w:jc w:val="both"/>
        <w:rPr/>
      </w:pPr>
      <w:r>
        <w:rPr>
          <w:color w:val="000000"/>
        </w:rPr>
        <w:t>“</w:t>
      </w:r>
      <w:r>
        <w:rPr>
          <w:rFonts w:ascii="Arial" w:hAnsi="Arial"/>
          <w:b/>
          <w:color w:val="000000"/>
          <w:sz w:val="20"/>
        </w:rPr>
        <w:t>Arcturus Arising IP</w:t>
      </w:r>
      <w:r>
        <w:rPr>
          <w:rFonts w:ascii="Times New Roman" w:hAnsi="Times New Roman"/>
          <w:color w:val="000000"/>
          <w:sz w:val="20"/>
        </w:rPr>
        <w:t xml:space="preserve">” </w:t>
      </w:r>
      <w:r>
        <w:rPr>
          <w:rFonts w:ascii="Arial" w:hAnsi="Arial"/>
          <w:color w:val="000000"/>
          <w:sz w:val="20"/>
        </w:rPr>
        <w:t>means, [***].</w:t>
      </w:r>
      <w:r>
        <w:rPr>
          <w:rFonts w:ascii="Times New Roman" w:hAnsi="Times New Roman"/>
          <w:color w:val="000000"/>
          <w:sz w:val="20"/>
        </w:rPr>
        <w:t xml:space="preserve"> </w:t>
      </w:r>
    </w:p>
    <w:p>
      <w:pPr>
        <w:pStyle w:val="TextBody"/>
        <w:bidi w:val="0"/>
        <w:jc w:val="both"/>
        <w:rPr/>
      </w:pPr>
      <w:r>
        <w:rPr>
          <w:color w:val="000000"/>
        </w:rPr>
        <w:t>“</w:t>
      </w:r>
      <w:r>
        <w:rPr>
          <w:rFonts w:ascii="Arial" w:hAnsi="Arial"/>
          <w:b/>
          <w:color w:val="000000"/>
          <w:sz w:val="20"/>
        </w:rPr>
        <w:t>Arcturus Background IP</w:t>
      </w:r>
      <w:r>
        <w:rPr>
          <w:rFonts w:ascii="Times New Roman" w:hAnsi="Times New Roman"/>
          <w:color w:val="000000"/>
          <w:sz w:val="20"/>
        </w:rPr>
        <w:t xml:space="preserve">” </w:t>
      </w:r>
      <w:r>
        <w:rPr>
          <w:rFonts w:ascii="Arial" w:hAnsi="Arial"/>
          <w:color w:val="000000"/>
          <w:sz w:val="20"/>
        </w:rPr>
        <w:t>means [***].</w:t>
      </w:r>
    </w:p>
    <w:p>
      <w:pPr>
        <w:pStyle w:val="TextBody"/>
        <w:bidi w:val="0"/>
        <w:jc w:val="both"/>
        <w:rPr/>
      </w:pPr>
      <w:r>
        <w:rPr>
          <w:color w:val="000000"/>
        </w:rPr>
        <w:t>“</w:t>
      </w:r>
      <w:r>
        <w:rPr>
          <w:rFonts w:ascii="Arial" w:hAnsi="Arial"/>
          <w:b/>
          <w:color w:val="000000"/>
          <w:sz w:val="20"/>
        </w:rPr>
        <w:t>Intellectual Property Rights” or “IPR</w:t>
      </w:r>
      <w:r>
        <w:rPr>
          <w:rFonts w:ascii="Times New Roman" w:hAnsi="Times New Roman"/>
          <w:color w:val="000000"/>
          <w:sz w:val="20"/>
        </w:rPr>
        <w:t xml:space="preserve">” </w:t>
      </w:r>
      <w:r>
        <w:rPr>
          <w:rFonts w:ascii="Arial" w:hAnsi="Arial"/>
          <w:color w:val="000000"/>
          <w:sz w:val="20"/>
        </w:rPr>
        <w:t>means, collectively, [***].</w:t>
      </w:r>
    </w:p>
    <w:p>
      <w:pPr>
        <w:pStyle w:val="TextBody"/>
        <w:bidi w:val="0"/>
        <w:jc w:val="both"/>
        <w:rPr/>
      </w:pPr>
      <w:r>
        <w:rPr>
          <w:color w:val="000000"/>
        </w:rPr>
        <w:t>“</w:t>
      </w:r>
      <w:r>
        <w:rPr>
          <w:rFonts w:ascii="Arial" w:hAnsi="Arial"/>
          <w:b/>
          <w:color w:val="000000"/>
          <w:sz w:val="20"/>
        </w:rPr>
        <w:t>Know-How</w:t>
      </w:r>
      <w:r>
        <w:rPr>
          <w:rFonts w:ascii="Times New Roman" w:hAnsi="Times New Roman"/>
          <w:color w:val="000000"/>
          <w:sz w:val="20"/>
        </w:rPr>
        <w:t xml:space="preserve">” </w:t>
      </w:r>
      <w:r>
        <w:rPr>
          <w:rFonts w:ascii="Arial" w:hAnsi="Arial"/>
          <w:color w:val="000000"/>
          <w:sz w:val="20"/>
        </w:rPr>
        <w:t>means [***].</w:t>
      </w:r>
    </w:p>
    <w:p>
      <w:pPr>
        <w:pStyle w:val="TextBody"/>
        <w:bidi w:val="0"/>
        <w:jc w:val="both"/>
        <w:rPr/>
      </w:pPr>
      <w:r>
        <w:rPr>
          <w:color w:val="000000"/>
        </w:rPr>
        <w:t>“</w:t>
      </w:r>
      <w:r>
        <w:rPr>
          <w:rFonts w:ascii="Arial" w:hAnsi="Arial"/>
          <w:b/>
          <w:color w:val="000000"/>
          <w:sz w:val="20"/>
        </w:rPr>
        <w:t>Thermo Fisher Background IP</w:t>
      </w:r>
      <w:r>
        <w:rPr>
          <w:rFonts w:ascii="Times New Roman" w:hAnsi="Times New Roman"/>
          <w:color w:val="000000"/>
          <w:sz w:val="20"/>
        </w:rPr>
        <w:t xml:space="preserve">” </w:t>
      </w:r>
      <w:r>
        <w:rPr>
          <w:rFonts w:ascii="Arial" w:hAnsi="Arial"/>
          <w:color w:val="000000"/>
          <w:sz w:val="20"/>
        </w:rPr>
        <w:t>means [***].</w:t>
      </w:r>
      <w:r>
        <w:rPr>
          <w:rFonts w:ascii="Times New Roman" w:hAnsi="Times New Roman"/>
          <w:color w:val="000000"/>
          <w:sz w:val="20"/>
        </w:rPr>
        <w:t xml:space="preserve"> </w:t>
      </w:r>
    </w:p>
    <w:p>
      <w:pPr>
        <w:pStyle w:val="TextBody"/>
        <w:bidi w:val="0"/>
        <w:jc w:val="both"/>
        <w:rPr/>
      </w:pPr>
      <w:r>
        <w:rPr>
          <w:color w:val="000000"/>
        </w:rPr>
        <w:t>“</w:t>
      </w:r>
      <w:r>
        <w:rPr>
          <w:rFonts w:ascii="Arial" w:hAnsi="Arial"/>
          <w:b/>
          <w:color w:val="000000"/>
          <w:sz w:val="20"/>
        </w:rPr>
        <w:t>Thermo Fisher IP</w:t>
      </w:r>
      <w:r>
        <w:rPr>
          <w:rFonts w:ascii="Times New Roman" w:hAnsi="Times New Roman"/>
          <w:color w:val="000000"/>
          <w:sz w:val="20"/>
        </w:rPr>
        <w:t xml:space="preserve">” </w:t>
      </w:r>
      <w:r>
        <w:rPr>
          <w:rFonts w:ascii="Arial" w:hAnsi="Arial"/>
          <w:color w:val="000000"/>
          <w:sz w:val="20"/>
        </w:rPr>
        <w:t>means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8.2.</w:t>
      </w:r>
      <w:r>
        <w:rPr>
          <w:rFonts w:ascii="Times New Roman" w:hAnsi="Times New Roman"/>
          <w:color w:val="000000"/>
          <w:sz w:val="20"/>
        </w:rPr>
        <w:t xml:space="preserve"> </w:t>
      </w:r>
      <w:r>
        <w:rPr>
          <w:rFonts w:ascii="Arial" w:hAnsi="Arial"/>
          <w:b/>
          <w:color w:val="000000"/>
          <w:sz w:val="20"/>
          <w:u w:val="single"/>
        </w:rPr>
        <w:t>No License</w:t>
      </w:r>
      <w:r>
        <w:rPr>
          <w:rFonts w:ascii="Arial" w:hAnsi="Arial"/>
          <w:color w:val="000000"/>
          <w:sz w:val="20"/>
        </w:rPr>
        <w:t>. Save for the licenses set forth in this Section 8, neither anything contained herein, nor the delivery of any information to a Party hereto, shall be deemed to grant the receiving Party any right or license under any patent or patent application or to any know-how, technology or invention of the disclosing Party.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8.3.</w:t>
      </w:r>
      <w:r>
        <w:rPr>
          <w:rFonts w:ascii="Times New Roman" w:hAnsi="Times New Roman"/>
          <w:color w:val="000000"/>
          <w:sz w:val="20"/>
        </w:rPr>
        <w:t xml:space="preserve"> </w:t>
      </w:r>
      <w:r>
        <w:rPr>
          <w:rFonts w:ascii="Arial" w:hAnsi="Arial"/>
          <w:b/>
          <w:color w:val="000000"/>
          <w:sz w:val="20"/>
          <w:u w:val="single"/>
        </w:rPr>
        <w:t>Limited Services License</w:t>
      </w:r>
      <w:r>
        <w:rPr>
          <w:rFonts w:ascii="Arial" w:hAnsi="Arial"/>
          <w:color w:val="000000"/>
          <w:sz w:val="20"/>
        </w:rPr>
        <w:t>. With respect to each PA, for its Project Term, Arcturus, on behalf of itself and its Affiliates, hereby grants to the Thermo Fisher Affiliate, a worldwide non-exclusive, fully paid-up, royalty-free, non-sublicensable (except as permitted under this MSA and/or PA) revocable license to Arcturus’ Background IP and Arcturus Arising IP that is reasonably necessary for such Thermo Fisher Affiliate to perform the Services solely for use in connection with the Services under such PA. Each such license terminates automatically at the end of the Project Term or termination of the applicable PA. Thermo Fisher shall not use Arcturus’s Background IP and Arcturus Arising IP for the benefit of any third party, for internal development purposes or to create derivative works.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8.4.</w:t>
      </w:r>
      <w:r>
        <w:rPr>
          <w:rFonts w:ascii="Times New Roman" w:hAnsi="Times New Roman"/>
          <w:color w:val="000000"/>
          <w:sz w:val="20"/>
        </w:rPr>
        <w:t xml:space="preserve"> </w:t>
      </w:r>
      <w:r>
        <w:rPr>
          <w:rFonts w:ascii="Arial" w:hAnsi="Arial"/>
          <w:b/>
          <w:color w:val="000000"/>
          <w:sz w:val="20"/>
          <w:u w:val="single"/>
        </w:rPr>
        <w:t>Arcturus Property</w:t>
      </w:r>
      <w:r>
        <w:rPr>
          <w:rFonts w:ascii="Arial" w:hAnsi="Arial"/>
          <w:color w:val="000000"/>
          <w:sz w:val="20"/>
        </w:rPr>
        <w:t>. Thermo Fisher, on behalf of itself and its Representatives, including the Thermo Fisher Affiliate entering into the PA, hereby assigns to Arcturus all of their respective rights, title and interest in any Arcturus Arising IP. Thermo Fisher shall and shall cause its Representatives to provide to Arcturus confirmatory assignments and execute other documents reasonably requested by Arcturus from time to time to further confirm, record or effectuate the intended IPR ownership consistent with this Section 8.</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color w:val="000000"/>
          <w:sz w:val="20"/>
        </w:rPr>
        <w:t>8.5.</w:t>
      </w:r>
      <w:r>
        <w:rPr>
          <w:rFonts w:ascii="Times New Roman" w:hAnsi="Times New Roman"/>
          <w:color w:val="000000"/>
          <w:sz w:val="20"/>
        </w:rPr>
        <w:t xml:space="preserve"> </w:t>
      </w:r>
      <w:r>
        <w:rPr>
          <w:rFonts w:ascii="Arial" w:hAnsi="Arial"/>
          <w:b/>
          <w:color w:val="000000"/>
          <w:sz w:val="20"/>
          <w:u w:val="single"/>
        </w:rPr>
        <w:t>Deliverable Use License</w:t>
      </w:r>
      <w:r>
        <w:rPr>
          <w:rFonts w:ascii="Arial" w:hAnsi="Arial"/>
          <w:color w:val="000000"/>
          <w:sz w:val="20"/>
        </w:rPr>
        <w:t>. Unless otherwise agreed in a separate license agreement or PA, Thermo Fisher hereby grants to Arcturus a non-exclusive, worldwide, fully paid-up, royalty-free, irrevocable (except in the case of breach) license, including the right to sublicense, under any IPRs in Thermo Fisher IP that is incorporated into a deliverable under a PA to the extent required for Arcturus to use, sell, offer for sale, import, export, reproduce, distribute, make derivative works of or otherwise exploit or dispose of the deliverable or the products or services that are the subject of the PA (the “</w:t>
      </w:r>
      <w:r>
        <w:rPr>
          <w:rFonts w:ascii="Arial" w:hAnsi="Arial"/>
          <w:b/>
          <w:color w:val="000000"/>
          <w:sz w:val="20"/>
        </w:rPr>
        <w:t>Deliverable Use License</w:t>
      </w:r>
      <w:r>
        <w:rPr>
          <w:rFonts w:ascii="Times New Roman" w:hAnsi="Times New Roman"/>
          <w:color w:val="000000"/>
          <w:sz w:val="20"/>
        </w:rPr>
        <w:t>”</w:t>
      </w:r>
      <w:r>
        <w:rPr>
          <w:rFonts w:ascii="Arial" w:hAnsi="Arial"/>
          <w:color w:val="000000"/>
          <w:sz w:val="20"/>
        </w:rPr>
        <w:t>). The Deliverable Use License does not apply to Thermo Fisher IP generally employed in the operation of any Thermo Fisher facility or equipment, including designs, specifications, and standard operating procedures. For Arcturus to manufacture product itself or via a third party using any Thermo Fisher IP, if Thermo Fisher IP is incorporated into deliverables, then Thermo Fisher may require a manufacturing license at an additional cost and/or with restrictions regarding such Thermo Fisher IP.</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8.6.</w:t>
      </w:r>
      <w:r>
        <w:rPr>
          <w:rFonts w:ascii="Times New Roman" w:hAnsi="Times New Roman"/>
          <w:color w:val="000000"/>
          <w:sz w:val="20"/>
        </w:rPr>
        <w:t xml:space="preserve"> </w:t>
      </w:r>
      <w:r>
        <w:rPr>
          <w:rFonts w:ascii="Arial" w:hAnsi="Arial"/>
          <w:b/>
          <w:color w:val="000000"/>
          <w:sz w:val="20"/>
          <w:u w:val="single"/>
        </w:rPr>
        <w:t>No Restriction</w:t>
      </w:r>
      <w:r>
        <w:rPr>
          <w:rFonts w:ascii="Arial" w:hAnsi="Arial"/>
          <w:color w:val="000000"/>
          <w:sz w:val="20"/>
        </w:rPr>
        <w:t>. Arcturus acknowledges that nothing in this MSA or a PA will restrict Thermo Fisher from using any Thermo Fisher IP in performing Services for other clients or on its own behalf.</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9.</w:t>
      </w:r>
      <w:r>
        <w:rPr>
          <w:rFonts w:ascii="Times New Roman" w:hAnsi="Times New Roman"/>
          <w:color w:val="000000"/>
          <w:sz w:val="20"/>
        </w:rPr>
        <w:t xml:space="preserve"> </w:t>
      </w:r>
      <w:r>
        <w:rPr>
          <w:rFonts w:ascii="Arial" w:hAnsi="Arial"/>
          <w:b/>
          <w:color w:val="000000"/>
          <w:sz w:val="20"/>
        </w:rPr>
        <w:t>Indemnification</w:t>
      </w:r>
    </w:p>
    <w:p>
      <w:pPr>
        <w:pStyle w:val="TextBody"/>
        <w:bidi w:val="0"/>
        <w:jc w:val="both"/>
        <w:rPr>
          <w:rFonts w:ascii="Times New Roman" w:hAnsi="Times New Roman"/>
          <w:sz w:val="20"/>
        </w:rPr>
      </w:pPr>
      <w:r>
        <w:rPr>
          <w:rFonts w:ascii="Arial" w:hAnsi="Arial"/>
          <w:color w:val="000000"/>
          <w:sz w:val="20"/>
        </w:rPr>
        <w:t>9.1.</w:t>
      </w:r>
      <w:r>
        <w:rPr>
          <w:rFonts w:ascii="Times New Roman" w:hAnsi="Times New Roman"/>
          <w:color w:val="000000"/>
          <w:sz w:val="20"/>
        </w:rPr>
        <w:t xml:space="preserve"> </w:t>
      </w:r>
      <w:r>
        <w:rPr>
          <w:rFonts w:ascii="Arial" w:hAnsi="Arial"/>
          <w:b/>
          <w:color w:val="000000"/>
          <w:sz w:val="20"/>
          <w:u w:val="single"/>
        </w:rPr>
        <w:t>[***]</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9.2.</w:t>
      </w:r>
      <w:r>
        <w:rPr>
          <w:rFonts w:ascii="Times New Roman" w:hAnsi="Times New Roman"/>
          <w:color w:val="000000"/>
          <w:sz w:val="20"/>
        </w:rPr>
        <w:t xml:space="preserve"> </w:t>
      </w:r>
      <w:r>
        <w:rPr>
          <w:rFonts w:ascii="Arial" w:hAnsi="Arial"/>
          <w:b/>
          <w:color w:val="000000"/>
          <w:sz w:val="20"/>
          <w:u w:val="single"/>
        </w:rPr>
        <w:t>[***]</w:t>
      </w:r>
      <w:r>
        <w:rPr>
          <w:rFonts w:ascii="Arial" w:hAnsi="Arial"/>
          <w:color w:val="000000"/>
          <w:sz w:val="20"/>
          <w:u w:val="single"/>
        </w:rPr>
        <w:t>.</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9.3.</w:t>
      </w:r>
      <w:r>
        <w:rPr>
          <w:rFonts w:ascii="Times New Roman" w:hAnsi="Times New Roman"/>
          <w:color w:val="000000"/>
          <w:sz w:val="20"/>
        </w:rPr>
        <w:t xml:space="preserve"> </w:t>
      </w:r>
      <w:r>
        <w:rPr>
          <w:rFonts w:ascii="Arial" w:hAnsi="Arial"/>
          <w:b/>
          <w:color w:val="000000"/>
          <w:sz w:val="20"/>
          <w:u w:val="single"/>
        </w:rPr>
        <w:t>Indemnification Procedure</w:t>
      </w:r>
      <w:r>
        <w:rPr>
          <w:rFonts w:ascii="Arial" w:hAnsi="Arial"/>
          <w:color w:val="000000"/>
          <w:sz w:val="20"/>
        </w:rPr>
        <w:t>. If a Claim occurs under Section 9.1 or 9.2 of this MSA, the indemnified Party will: (a) promptly notify the indemnifying Party in writing of the claim; (b) use commercially reasonable efforts to mitigate the effects of the Claim; (c) reasonably cooperate with the indemnifying Party in the defense of the claim; and (d) permit the indemnifying Party to control the defense, all at the indemnifying Party's cost and expense. Except where the indemnifying party agrees to a purely financial settlement with the relevant third-party claimant and a full waiver of any relevant claim against the indemnified party (and its relevant Affiliates), the indemnifying party may not settle the relevant claim without the approval of the indemnified party, which will not unreasonably withhold that approval.</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10.</w:t>
      </w:r>
      <w:r>
        <w:rPr>
          <w:rFonts w:ascii="Times New Roman" w:hAnsi="Times New Roman"/>
          <w:color w:val="000000"/>
          <w:sz w:val="20"/>
        </w:rPr>
        <w:t xml:space="preserve"> </w:t>
      </w:r>
      <w:r>
        <w:rPr>
          <w:rFonts w:ascii="Arial" w:hAnsi="Arial"/>
          <w:b/>
          <w:color w:val="000000"/>
          <w:sz w:val="20"/>
        </w:rPr>
        <w:t>[***]</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10.1</w:t>
      </w:r>
    </w:p>
    <w:p>
      <w:pPr>
        <w:pStyle w:val="TextBody"/>
        <w:bidi w:val="0"/>
        <w:jc w:val="both"/>
        <w:rPr/>
      </w:pPr>
      <w:r>
        <w:rPr>
          <w:rFonts w:ascii="Arial" w:hAnsi="Arial"/>
          <w:b/>
          <w:caps/>
          <w:color w:val="000000"/>
          <w:sz w:val="20"/>
        </w:rPr>
        <w:t>[***]</w:t>
      </w:r>
      <w:r>
        <w:rPr>
          <w:rFonts w:ascii="sans-serif" w:hAnsi="sans-serif"/>
          <w:caps/>
          <w:color w:val="000000"/>
          <w:sz w:val="22"/>
        </w:rPr>
        <w:t>.</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11.</w:t>
      </w:r>
      <w:r>
        <w:rPr>
          <w:rFonts w:ascii="Times New Roman" w:hAnsi="Times New Roman"/>
          <w:color w:val="000000"/>
          <w:sz w:val="20"/>
        </w:rPr>
        <w:t xml:space="preserve"> </w:t>
      </w:r>
      <w:r>
        <w:rPr>
          <w:rFonts w:ascii="Arial" w:hAnsi="Arial"/>
          <w:b/>
          <w:color w:val="000000"/>
          <w:sz w:val="20"/>
        </w:rPr>
        <w:t>Deficient Services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11.1.</w:t>
      </w:r>
      <w:r>
        <w:rPr>
          <w:rFonts w:ascii="Times New Roman" w:hAnsi="Times New Roman"/>
          <w:color w:val="000000"/>
          <w:sz w:val="20"/>
        </w:rPr>
        <w:t xml:space="preserve"> </w:t>
      </w:r>
      <w:r>
        <w:rPr>
          <w:rFonts w:ascii="Arial" w:hAnsi="Arial"/>
          <w:b/>
          <w:color w:val="000000"/>
          <w:sz w:val="20"/>
          <w:u w:val="single"/>
        </w:rPr>
        <w:t>Deficient Services.</w:t>
      </w:r>
      <w:r>
        <w:rPr>
          <w:rFonts w:ascii="Times New Roman" w:hAnsi="Times New Roman"/>
          <w:color w:val="000000"/>
          <w:sz w:val="20"/>
        </w:rPr>
        <w:t xml:space="preserve"> </w:t>
      </w:r>
      <w:r>
        <w:rPr>
          <w:rFonts w:ascii="Arial" w:hAnsi="Arial"/>
          <w:color w:val="000000"/>
          <w:sz w:val="20"/>
        </w:rPr>
        <w:t>Services shall be deemed deficient if such Services are not performed in accordance with the applicable Performance Standards and as a result are rendered unusable either in whole or in part (“</w:t>
      </w:r>
      <w:r>
        <w:rPr>
          <w:rFonts w:ascii="Arial" w:hAnsi="Arial"/>
          <w:b/>
          <w:color w:val="000000"/>
          <w:sz w:val="20"/>
        </w:rPr>
        <w:t>Deficient Services</w:t>
      </w:r>
      <w:r>
        <w:rPr>
          <w:rFonts w:ascii="Times New Roman" w:hAnsi="Times New Roman"/>
          <w:color w:val="000000"/>
          <w:sz w:val="20"/>
        </w:rPr>
        <w:t>”</w:t>
      </w:r>
      <w:r>
        <w:rPr>
          <w:rFonts w:ascii="Arial" w:hAnsi="Arial"/>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11.2.</w:t>
      </w:r>
      <w:r>
        <w:rPr>
          <w:rFonts w:ascii="Times New Roman" w:hAnsi="Times New Roman"/>
          <w:color w:val="000000"/>
          <w:sz w:val="20"/>
        </w:rPr>
        <w:t xml:space="preserve"> </w:t>
      </w:r>
      <w:r>
        <w:rPr>
          <w:rFonts w:ascii="Arial" w:hAnsi="Arial"/>
          <w:b/>
          <w:color w:val="000000"/>
          <w:sz w:val="20"/>
          <w:u w:val="single"/>
        </w:rPr>
        <w:t>Remedies.</w:t>
      </w:r>
      <w:r>
        <w:rPr>
          <w:rFonts w:ascii="Times New Roman" w:hAnsi="Times New Roman"/>
          <w:color w:val="000000"/>
          <w:sz w:val="20"/>
        </w:rPr>
        <w:t xml:space="preserve"> </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11.3.</w:t>
      </w:r>
      <w:r>
        <w:rPr>
          <w:rFonts w:ascii="Times New Roman" w:hAnsi="Times New Roman"/>
          <w:color w:val="000000"/>
          <w:sz w:val="20"/>
        </w:rPr>
        <w:t xml:space="preserve"> </w:t>
      </w:r>
      <w:r>
        <w:rPr>
          <w:rFonts w:ascii="Arial" w:hAnsi="Arial"/>
          <w:b/>
          <w:color w:val="000000"/>
          <w:sz w:val="20"/>
          <w:u w:val="single"/>
        </w:rPr>
        <w:t>Notice Timing</w:t>
      </w:r>
      <w:r>
        <w:rPr>
          <w:rFonts w:ascii="Arial" w:hAnsi="Arial"/>
          <w:color w:val="000000"/>
          <w:sz w:val="20"/>
        </w:rPr>
        <w:t>. If Arcturus does not claim Deficient Services on or before [***], the Services will be considered to have been accepted by Arcturus, and Arcturus waives its rights to claim Deficient Services. Nothing herein is intended to waive Arcturus’s right to claim Deficient Services for latent defects that are (i) [***]and (ii) claimed [***] (but not after the expiration date of the product).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12.</w:t>
      </w:r>
      <w:r>
        <w:rPr>
          <w:rFonts w:ascii="Times New Roman" w:hAnsi="Times New Roman"/>
          <w:color w:val="000000"/>
          <w:sz w:val="20"/>
        </w:rPr>
        <w:t xml:space="preserve"> </w:t>
      </w:r>
      <w:r>
        <w:rPr>
          <w:rFonts w:ascii="Arial" w:hAnsi="Arial"/>
          <w:b/>
          <w:color w:val="000000"/>
          <w:sz w:val="20"/>
        </w:rPr>
        <w:t>Limitation of Liability</w:t>
      </w:r>
    </w:p>
    <w:p>
      <w:pPr>
        <w:pStyle w:val="TextBody"/>
        <w:bidi w:val="0"/>
        <w:jc w:val="both"/>
        <w:rPr>
          <w:rFonts w:ascii="Times New Roman" w:hAnsi="Times New Roman"/>
          <w:sz w:val="20"/>
        </w:rPr>
      </w:pPr>
      <w:r>
        <w:rPr>
          <w:rFonts w:ascii="Arial" w:hAnsi="Arial"/>
          <w:color w:val="000000"/>
          <w:sz w:val="20"/>
        </w:rPr>
        <w:t>12.1.</w:t>
      </w:r>
      <w:r>
        <w:rPr>
          <w:rFonts w:ascii="Times New Roman" w:hAnsi="Times New Roman"/>
          <w:color w:val="000000"/>
          <w:sz w:val="20"/>
        </w:rPr>
        <w:t xml:space="preserve"> </w:t>
      </w:r>
      <w:r>
        <w:rPr>
          <w:rFonts w:ascii="sans-serif" w:hAnsi="sans-serif"/>
          <w:color w:val="000000"/>
          <w:sz w:val="22"/>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12.2</w:t>
      </w:r>
      <w:r>
        <w:rPr>
          <w:rFonts w:ascii="Times New Roman" w:hAnsi="Times New Roman"/>
          <w:color w:val="000000"/>
          <w:sz w:val="20"/>
        </w:rPr>
        <w:t xml:space="preserve"> </w:t>
      </w:r>
      <w:r>
        <w:rPr>
          <w:rFonts w:ascii="Arial" w:hAnsi="Arial"/>
          <w:b/>
          <w:color w:val="000000"/>
          <w:sz w:val="20"/>
          <w:u w:val="single"/>
        </w:rPr>
        <w:t>Limitation of Liability</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color w:val="000000"/>
          <w:sz w:val="20"/>
        </w:rPr>
        <w:t>A.</w:t>
      </w:r>
      <w:r>
        <w:rPr>
          <w:rFonts w:ascii="Times New Roman" w:hAnsi="Times New Roman"/>
          <w:color w:val="000000"/>
          <w:sz w:val="20"/>
        </w:rPr>
        <w:t xml:space="preserve"> </w:t>
      </w:r>
      <w:r>
        <w:rPr>
          <w:rFonts w:ascii="sans-serif" w:hAnsi="sans-serif"/>
          <w:color w:val="000000"/>
          <w:sz w:val="22"/>
        </w:rPr>
        <w:t>[***]</w:t>
      </w:r>
    </w:p>
    <w:p>
      <w:pPr>
        <w:pStyle w:val="TextBody"/>
        <w:bidi w:val="0"/>
        <w:jc w:val="both"/>
        <w:rPr>
          <w:rFonts w:ascii="Times New Roman" w:hAnsi="Times New Roman"/>
          <w:sz w:val="20"/>
        </w:rPr>
      </w:pPr>
      <w:r>
        <w:rPr>
          <w:rFonts w:ascii="Arial" w:hAnsi="Arial"/>
          <w:color w:val="000000"/>
          <w:sz w:val="20"/>
        </w:rPr>
        <w:t>1. [***]. [***].[***].</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B.</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12.3.</w:t>
      </w:r>
      <w:r>
        <w:rPr>
          <w:rFonts w:ascii="Times New Roman" w:hAnsi="Times New Roman"/>
          <w:color w:val="000000"/>
          <w:sz w:val="20"/>
        </w:rPr>
        <w:t xml:space="preserve"> </w:t>
      </w:r>
      <w:r>
        <w:rPr>
          <w:rFonts w:ascii="Arial" w:hAnsi="Arial"/>
          <w:b/>
          <w:color w:val="000000"/>
          <w:sz w:val="20"/>
          <w:u w:val="single"/>
        </w:rPr>
        <w:t xml:space="preserve">Limitation of Liability </w:t>
      </w:r>
      <w:r>
        <w:rPr>
          <w:rFonts w:ascii="Arial" w:hAnsi="Arial"/>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13.</w:t>
      </w:r>
      <w:r>
        <w:rPr>
          <w:rFonts w:ascii="Times New Roman" w:hAnsi="Times New Roman"/>
          <w:color w:val="000000"/>
          <w:sz w:val="20"/>
        </w:rPr>
        <w:t xml:space="preserve"> </w:t>
      </w:r>
      <w:r>
        <w:rPr>
          <w:rFonts w:ascii="Arial" w:hAnsi="Arial"/>
          <w:b/>
          <w:color w:val="000000"/>
          <w:sz w:val="20"/>
        </w:rPr>
        <w:t>Regulatory Inspections, Audits and Filings</w:t>
      </w:r>
    </w:p>
    <w:p>
      <w:pPr>
        <w:pStyle w:val="TextBody"/>
        <w:bidi w:val="0"/>
        <w:jc w:val="both"/>
        <w:rPr>
          <w:rFonts w:ascii="Times New Roman" w:hAnsi="Times New Roman"/>
          <w:sz w:val="20"/>
        </w:rPr>
      </w:pPr>
      <w:r>
        <w:rPr>
          <w:rFonts w:ascii="Arial" w:hAnsi="Arial"/>
          <w:color w:val="000000"/>
          <w:sz w:val="20"/>
        </w:rPr>
        <w:t>13.1.</w:t>
      </w:r>
      <w:r>
        <w:rPr>
          <w:rFonts w:ascii="Times New Roman" w:hAnsi="Times New Roman"/>
          <w:color w:val="000000"/>
          <w:sz w:val="20"/>
        </w:rPr>
        <w:t xml:space="preserve"> </w:t>
      </w:r>
      <w:r>
        <w:rPr>
          <w:rFonts w:ascii="Arial" w:hAnsi="Arial"/>
          <w:b/>
          <w:color w:val="000000"/>
          <w:sz w:val="20"/>
          <w:u w:val="single"/>
        </w:rPr>
        <w:t>Regulatory Inspections.</w:t>
      </w:r>
      <w:r>
        <w:rPr>
          <w:rFonts w:ascii="Times New Roman" w:hAnsi="Times New Roman"/>
          <w:color w:val="000000"/>
          <w:sz w:val="20"/>
        </w:rPr>
        <w:t xml:space="preserve"> </w:t>
      </w:r>
      <w:r>
        <w:rPr>
          <w:rFonts w:ascii="Arial" w:hAnsi="Arial"/>
          <w:color w:val="000000"/>
          <w:sz w:val="20"/>
        </w:rPr>
        <w:t>Both Parties agree to notify the other Party of any regulatory inspections and filings directly related to the Services and in accordance with any applicable Quality Agreement. If an inspection of any facility of Arcturus or any of its Affiliates involves any activities conducted by Thermo Fisher or any of its Affiliates under this MSA, Thermo Fisher will (or will cause the applicable Thermo Fisher Affiliate) to assist upon request and at Arcturus’ expense as required by applicable laws and regulations.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13.2.</w:t>
      </w:r>
      <w:r>
        <w:rPr>
          <w:rFonts w:ascii="Times New Roman" w:hAnsi="Times New Roman"/>
          <w:color w:val="000000"/>
          <w:sz w:val="20"/>
        </w:rPr>
        <w:t xml:space="preserve"> </w:t>
      </w:r>
      <w:r>
        <w:rPr>
          <w:rFonts w:ascii="Arial" w:hAnsi="Arial"/>
          <w:b/>
          <w:color w:val="000000"/>
          <w:sz w:val="20"/>
          <w:u w:val="single"/>
        </w:rPr>
        <w:t>Audits.</w:t>
      </w:r>
      <w:r>
        <w:rPr>
          <w:rFonts w:ascii="Times New Roman" w:hAnsi="Times New Roman"/>
          <w:color w:val="000000"/>
          <w:sz w:val="20"/>
        </w:rPr>
        <w:t xml:space="preserve"> </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13.3.</w:t>
      </w:r>
      <w:r>
        <w:rPr>
          <w:rFonts w:ascii="Times New Roman" w:hAnsi="Times New Roman"/>
          <w:color w:val="000000"/>
          <w:sz w:val="20"/>
        </w:rPr>
        <w:t xml:space="preserve"> </w:t>
      </w:r>
      <w:r>
        <w:rPr>
          <w:rFonts w:ascii="Arial" w:hAnsi="Arial"/>
          <w:b/>
          <w:color w:val="000000"/>
          <w:sz w:val="20"/>
          <w:u w:val="single"/>
        </w:rPr>
        <w:t>Regulatory Documentation for Manufacturing.</w:t>
      </w:r>
      <w:r>
        <w:rPr>
          <w:rFonts w:ascii="Times New Roman" w:hAnsi="Times New Roman"/>
          <w:color w:val="000000"/>
          <w:sz w:val="20"/>
        </w:rPr>
        <w:t xml:space="preserve"> </w:t>
      </w:r>
      <w:r>
        <w:rPr>
          <w:rFonts w:ascii="Arial" w:hAnsi="Arial"/>
          <w:color w:val="000000"/>
          <w:sz w:val="20"/>
        </w:rPr>
        <w:t>Thermo Fisher Affiliate will provide Arcturus Affiliate with a written request for the necessary documentation and the applicable deadline, the basis of the request and the specific risk to Thermo Fisher Affiliate’s regulatory standing. If Arcturus does not timely provide the Thermo Fisher Affiliate with documents related to and necessary for regulatory approval for manufacturing Services under a PA, and Thermo Fisher believes its, or the Thermo Fisher Affiliate’s regulatory standing may be at risk, the Thermo Fisher Affiliate can delay or postpone any regulatory inspection until it receives, reviews and approves the documents. Failure by Arcturus to meet this requirement will be considered a breach of this MSA.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14.</w:t>
      </w:r>
      <w:r>
        <w:rPr>
          <w:rFonts w:ascii="Times New Roman" w:hAnsi="Times New Roman"/>
          <w:color w:val="000000"/>
          <w:sz w:val="20"/>
        </w:rPr>
        <w:t xml:space="preserve"> </w:t>
      </w:r>
      <w:r>
        <w:rPr>
          <w:rFonts w:ascii="Arial" w:hAnsi="Arial"/>
          <w:b/>
          <w:color w:val="000000"/>
          <w:sz w:val="20"/>
        </w:rPr>
        <w:t xml:space="preserve">Insurance. </w:t>
      </w:r>
      <w:r>
        <w:rPr>
          <w:rFonts w:ascii="Arial" w:hAnsi="Arial"/>
          <w:color w:val="000000"/>
          <w:sz w:val="20"/>
        </w:rPr>
        <w:t>Each Party shall, at its own expense, procure and maintain and cause its respective Affiliates as applicable to procure and maintain, the insurance coverages set forth below with insurers authorized in the applicable jurisdiction and rated A- VII or better by A.M. Best (or the local equivalent), or otherwise reasonably acceptable to the other Party and counterparty to a PA. Required limits may be satisfied through any combination of primary and umbrella/excess liability policies. Each Party and its respective Affiliates as applicable shall maintain the required coverages for the duration of each Project Term and any post-termination period expressly required under Section 14.4.</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14.1.</w:t>
      </w:r>
      <w:r>
        <w:rPr>
          <w:rFonts w:ascii="Times New Roman" w:hAnsi="Times New Roman"/>
          <w:color w:val="000000"/>
          <w:sz w:val="20"/>
        </w:rPr>
        <w:t xml:space="preserve"> </w:t>
      </w:r>
      <w:r>
        <w:rPr>
          <w:rFonts w:ascii="Arial" w:hAnsi="Arial"/>
          <w:b/>
          <w:color w:val="000000"/>
          <w:sz w:val="20"/>
          <w:u w:val="single"/>
        </w:rPr>
        <w:t>Arcturus Insurance</w:t>
      </w:r>
    </w:p>
    <w:p>
      <w:pPr>
        <w:pStyle w:val="TextBody"/>
        <w:bidi w:val="0"/>
        <w:jc w:val="both"/>
        <w:rPr>
          <w:rFonts w:ascii="Times New Roman" w:hAnsi="Times New Roman"/>
          <w:sz w:val="20"/>
        </w:rPr>
      </w:pPr>
      <w:r>
        <w:rPr>
          <w:rFonts w:ascii="Arial" w:hAnsi="Arial"/>
          <w:color w:val="000000"/>
          <w:sz w:val="20"/>
        </w:rPr>
        <w:t>14.1.1.</w:t>
      </w:r>
      <w:r>
        <w:rPr>
          <w:rFonts w:ascii="Times New Roman" w:hAnsi="Times New Roman"/>
          <w:color w:val="000000"/>
          <w:sz w:val="20"/>
        </w:rPr>
        <w:t xml:space="preserve"> </w:t>
      </w:r>
      <w:r>
        <w:rPr>
          <w:rFonts w:ascii="Arial" w:hAnsi="Arial"/>
          <w:b/>
          <w:color w:val="000000"/>
          <w:sz w:val="20"/>
        </w:rPr>
        <w:t>Commercial general liability:</w:t>
      </w:r>
      <w:r>
        <w:rPr>
          <w:rFonts w:ascii="Times New Roman" w:hAnsi="Times New Roman"/>
          <w:color w:val="000000"/>
          <w:sz w:val="20"/>
        </w:rPr>
        <w:t xml:space="preserve"> </w:t>
      </w:r>
      <w:r>
        <w:rPr>
          <w:rFonts w:ascii="Arial" w:hAnsi="Arial"/>
          <w:color w:val="000000"/>
          <w:sz w:val="20"/>
        </w:rPr>
        <w:t>[***] each occurrence/aggregate.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14.1.2. </w:t>
      </w:r>
      <w:r>
        <w:rPr>
          <w:rFonts w:ascii="Arial" w:hAnsi="Arial"/>
          <w:b/>
          <w:color w:val="000000"/>
          <w:sz w:val="20"/>
        </w:rPr>
        <w:t>Products Liability / Products-Completed Operations</w:t>
      </w:r>
      <w:r>
        <w:rPr>
          <w:rFonts w:ascii="Times New Roman" w:hAnsi="Times New Roman"/>
          <w:color w:val="000000"/>
          <w:sz w:val="20"/>
        </w:rPr>
        <w:t xml:space="preserve"> </w:t>
      </w:r>
      <w:r>
        <w:rPr>
          <w:rFonts w:ascii="Arial" w:hAnsi="Arial"/>
          <w:color w:val="000000"/>
          <w:sz w:val="20"/>
        </w:rPr>
        <w:t>(may be included within CGL or separate): [***] each occurrence/aggregate.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14.1.3. </w:t>
      </w:r>
      <w:r>
        <w:rPr>
          <w:rFonts w:ascii="Arial" w:hAnsi="Arial"/>
          <w:b/>
          <w:color w:val="000000"/>
          <w:sz w:val="20"/>
        </w:rPr>
        <w:t>Clinical Trial Liability</w:t>
      </w:r>
      <w:r>
        <w:rPr>
          <w:rFonts w:ascii="Times New Roman" w:hAnsi="Times New Roman"/>
          <w:color w:val="000000"/>
          <w:sz w:val="20"/>
        </w:rPr>
        <w:t xml:space="preserve"> </w:t>
      </w:r>
      <w:r>
        <w:rPr>
          <w:rFonts w:ascii="Arial" w:hAnsi="Arial"/>
          <w:color w:val="000000"/>
          <w:sz w:val="20"/>
        </w:rPr>
        <w:t>(may be included within Products Liability or separate): [***] each occurrence/aggregate.</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14.1.4. </w:t>
      </w:r>
      <w:r>
        <w:rPr>
          <w:rFonts w:ascii="Arial" w:hAnsi="Arial"/>
          <w:b/>
          <w:color w:val="000000"/>
          <w:sz w:val="20"/>
        </w:rPr>
        <w:t xml:space="preserve">Cyber (if applicable): </w:t>
      </w:r>
      <w:r>
        <w:rPr>
          <w:rFonts w:ascii="Arial" w:hAnsi="Arial"/>
          <w:color w:val="000000"/>
          <w:sz w:val="20"/>
        </w:rPr>
        <w:t>If Arcturus, in connection with this Agreement, creates, receives, maintains, transmits, or otherwise processes Protected Health Information (“</w:t>
      </w:r>
      <w:r>
        <w:rPr>
          <w:rFonts w:ascii="Arial" w:hAnsi="Arial"/>
          <w:b/>
          <w:color w:val="000000"/>
          <w:sz w:val="20"/>
        </w:rPr>
        <w:t>PHI”</w:t>
      </w:r>
      <w:r>
        <w:rPr>
          <w:rFonts w:ascii="Arial" w:hAnsi="Arial"/>
          <w:color w:val="000000"/>
          <w:sz w:val="20"/>
        </w:rPr>
        <w:t>), Electronic Protected Health Information (“</w:t>
      </w:r>
      <w:r>
        <w:rPr>
          <w:rFonts w:ascii="Arial" w:hAnsi="Arial"/>
          <w:b/>
          <w:color w:val="000000"/>
          <w:sz w:val="20"/>
        </w:rPr>
        <w:t>ePHI</w:t>
      </w:r>
      <w:r>
        <w:rPr>
          <w:rFonts w:ascii="Times New Roman" w:hAnsi="Times New Roman"/>
          <w:color w:val="000000"/>
          <w:sz w:val="20"/>
        </w:rPr>
        <w:t>”</w:t>
      </w:r>
      <w:r>
        <w:rPr>
          <w:rFonts w:ascii="Arial" w:hAnsi="Arial"/>
          <w:color w:val="000000"/>
          <w:sz w:val="20"/>
        </w:rPr>
        <w:t>), or Electronic Medical Records (“</w:t>
      </w:r>
      <w:r>
        <w:rPr>
          <w:rFonts w:ascii="Arial" w:hAnsi="Arial"/>
          <w:b/>
          <w:color w:val="000000"/>
          <w:sz w:val="20"/>
        </w:rPr>
        <w:t>EMR</w:t>
      </w:r>
      <w:r>
        <w:rPr>
          <w:rFonts w:ascii="Times New Roman" w:hAnsi="Times New Roman"/>
          <w:color w:val="000000"/>
          <w:sz w:val="20"/>
        </w:rPr>
        <w:t>”</w:t>
      </w:r>
      <w:r>
        <w:rPr>
          <w:rFonts w:ascii="Arial" w:hAnsi="Arial"/>
          <w:color w:val="000000"/>
          <w:sz w:val="20"/>
        </w:rPr>
        <w:t>), then cyber/privacy liability insurance with limits not less than [***] each claim and in the aggregate, including privacy liability and network security liability coverage.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14.2.</w:t>
      </w:r>
      <w:r>
        <w:rPr>
          <w:rFonts w:ascii="Times New Roman" w:hAnsi="Times New Roman"/>
          <w:color w:val="000000"/>
          <w:sz w:val="20"/>
        </w:rPr>
        <w:t xml:space="preserve"> </w:t>
      </w:r>
      <w:r>
        <w:rPr>
          <w:rFonts w:ascii="Arial" w:hAnsi="Arial"/>
          <w:b/>
          <w:color w:val="000000"/>
          <w:sz w:val="20"/>
          <w:u w:val="single"/>
        </w:rPr>
        <w:t>Thermo Fisher Insurance</w:t>
      </w:r>
    </w:p>
    <w:p>
      <w:pPr>
        <w:pStyle w:val="TextBody"/>
        <w:bidi w:val="0"/>
        <w:spacing w:before="80" w:after="240"/>
        <w:jc w:val="left"/>
        <w:rPr>
          <w:rFonts w:ascii="Times New Roman" w:hAnsi="Times New Roman"/>
          <w:sz w:val="20"/>
        </w:rPr>
      </w:pPr>
      <w:r>
        <w:rPr>
          <w:rFonts w:ascii="Arial" w:hAnsi="Arial"/>
          <w:color w:val="000000"/>
          <w:sz w:val="20"/>
        </w:rPr>
        <w:t xml:space="preserve">14.2.1 </w:t>
      </w:r>
      <w:r>
        <w:rPr>
          <w:rFonts w:ascii="Arial" w:hAnsi="Arial"/>
          <w:b/>
          <w:color w:val="000000"/>
          <w:sz w:val="20"/>
        </w:rPr>
        <w:t>Commercial General Liability</w:t>
      </w:r>
      <w:r>
        <w:rPr>
          <w:rFonts w:ascii="Arial" w:hAnsi="Arial"/>
          <w:color w:val="000000"/>
          <w:sz w:val="20"/>
        </w:rPr>
        <w:t>: [***] each occurrence/aggregate.</w:t>
      </w:r>
    </w:p>
    <w:p>
      <w:pPr>
        <w:pStyle w:val="TextBody"/>
        <w:bidi w:val="0"/>
        <w:spacing w:before="0" w:after="240"/>
        <w:jc w:val="left"/>
        <w:rPr>
          <w:rFonts w:ascii="Times New Roman" w:hAnsi="Times New Roman"/>
          <w:sz w:val="20"/>
        </w:rPr>
      </w:pPr>
      <w:r>
        <w:rPr>
          <w:rFonts w:ascii="Arial" w:hAnsi="Arial"/>
          <w:color w:val="000000"/>
          <w:sz w:val="20"/>
        </w:rPr>
        <w:t xml:space="preserve">14.2.2 </w:t>
      </w:r>
      <w:r>
        <w:rPr>
          <w:rFonts w:ascii="Arial" w:hAnsi="Arial"/>
          <w:b/>
          <w:color w:val="000000"/>
          <w:sz w:val="20"/>
        </w:rPr>
        <w:t>Products Liability / Products-Completed Operations</w:t>
      </w:r>
      <w:r>
        <w:rPr>
          <w:rFonts w:ascii="Times New Roman" w:hAnsi="Times New Roman"/>
          <w:color w:val="000000"/>
          <w:sz w:val="20"/>
        </w:rPr>
        <w:t xml:space="preserve"> </w:t>
      </w:r>
      <w:r>
        <w:rPr>
          <w:rFonts w:ascii="Arial" w:hAnsi="Arial"/>
          <w:color w:val="000000"/>
          <w:sz w:val="20"/>
        </w:rPr>
        <w:t>(may be included within CGL or separate): [***] each occurrence/aggregate.</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240" w:after="240"/>
        <w:jc w:val="left"/>
        <w:rPr>
          <w:rFonts w:ascii="Times New Roman" w:hAnsi="Times New Roman"/>
          <w:sz w:val="20"/>
        </w:rPr>
      </w:pPr>
      <w:r>
        <w:rPr>
          <w:rFonts w:ascii="Arial" w:hAnsi="Arial"/>
          <w:color w:val="000000"/>
          <w:sz w:val="20"/>
        </w:rPr>
        <w:t>14.2.3</w:t>
      </w:r>
      <w:r>
        <w:rPr>
          <w:rFonts w:ascii="Times New Roman" w:hAnsi="Times New Roman"/>
          <w:color w:val="000000"/>
          <w:sz w:val="20"/>
        </w:rPr>
        <w:t xml:space="preserve"> </w:t>
      </w:r>
      <w:r>
        <w:rPr>
          <w:rFonts w:ascii="Arial" w:hAnsi="Arial"/>
          <w:b/>
          <w:color w:val="000000"/>
          <w:sz w:val="20"/>
        </w:rPr>
        <w:t>Workers’ Compensation (statutory) and Employers’ Liability</w:t>
      </w:r>
      <w:r>
        <w:rPr>
          <w:rFonts w:ascii="Arial" w:hAnsi="Arial"/>
          <w:color w:val="000000"/>
          <w:sz w:val="20"/>
        </w:rPr>
        <w:t>: [***].</w:t>
      </w:r>
    </w:p>
    <w:p>
      <w:pPr>
        <w:pStyle w:val="TextBody"/>
        <w:bidi w:val="0"/>
        <w:spacing w:before="0" w:after="240"/>
        <w:jc w:val="left"/>
        <w:rPr>
          <w:rFonts w:ascii="Times New Roman" w:hAnsi="Times New Roman"/>
          <w:sz w:val="20"/>
        </w:rPr>
      </w:pPr>
      <w:r>
        <w:rPr>
          <w:rFonts w:ascii="Arial" w:hAnsi="Arial"/>
          <w:color w:val="000000"/>
          <w:sz w:val="20"/>
        </w:rPr>
        <w:t xml:space="preserve">14.2.3 </w:t>
      </w:r>
      <w:r>
        <w:rPr>
          <w:rFonts w:ascii="Arial" w:hAnsi="Arial"/>
          <w:b/>
          <w:color w:val="000000"/>
          <w:sz w:val="20"/>
        </w:rPr>
        <w:t>Errors &amp; Omissions / Professional Liability</w:t>
      </w:r>
      <w:r>
        <w:rPr>
          <w:rFonts w:ascii="Times New Roman" w:hAnsi="Times New Roman"/>
          <w:color w:val="000000"/>
          <w:sz w:val="20"/>
        </w:rPr>
        <w:t xml:space="preserve"> </w:t>
      </w:r>
      <w:r>
        <w:rPr>
          <w:rFonts w:ascii="Arial" w:hAnsi="Arial"/>
          <w:color w:val="000000"/>
          <w:sz w:val="20"/>
        </w:rPr>
        <w:t>covering CRO Services and CDMO manufacturing Services: [***] each claim/aggregate, retro date no later than start of Services.</w:t>
      </w:r>
    </w:p>
    <w:p>
      <w:pPr>
        <w:pStyle w:val="TextBody"/>
        <w:bidi w:val="0"/>
        <w:spacing w:before="0" w:after="240"/>
        <w:jc w:val="left"/>
        <w:rPr>
          <w:rFonts w:ascii="Times New Roman" w:hAnsi="Times New Roman"/>
          <w:sz w:val="20"/>
        </w:rPr>
      </w:pPr>
      <w:r>
        <w:rPr>
          <w:rFonts w:ascii="Arial" w:hAnsi="Arial"/>
          <w:color w:val="000000"/>
          <w:sz w:val="20"/>
        </w:rPr>
        <w:t xml:space="preserve">14.2.4 </w:t>
      </w:r>
      <w:r>
        <w:rPr>
          <w:rFonts w:ascii="Arial" w:hAnsi="Arial"/>
          <w:b/>
          <w:color w:val="000000"/>
          <w:sz w:val="20"/>
        </w:rPr>
        <w:t>Cyber insurance</w:t>
      </w:r>
      <w:r>
        <w:rPr>
          <w:rFonts w:ascii="Times New Roman" w:hAnsi="Times New Roman"/>
          <w:color w:val="000000"/>
          <w:sz w:val="20"/>
        </w:rPr>
        <w:t xml:space="preserve"> </w:t>
      </w:r>
      <w:r>
        <w:rPr>
          <w:rFonts w:ascii="Arial" w:hAnsi="Arial"/>
          <w:color w:val="000000"/>
          <w:sz w:val="20"/>
        </w:rPr>
        <w:t>covering network security and privacy liability: [***].</w:t>
      </w:r>
    </w:p>
    <w:p>
      <w:pPr>
        <w:pStyle w:val="TextBody"/>
        <w:bidi w:val="0"/>
        <w:jc w:val="both"/>
        <w:rPr>
          <w:rFonts w:ascii="Times New Roman" w:hAnsi="Times New Roman"/>
          <w:sz w:val="20"/>
        </w:rPr>
      </w:pPr>
      <w:r>
        <w:rPr>
          <w:rFonts w:ascii="Arial" w:hAnsi="Arial"/>
          <w:b/>
          <w:color w:val="000000"/>
          <w:sz w:val="20"/>
        </w:rPr>
        <w:t xml:space="preserve">14.3 </w:t>
      </w:r>
      <w:r>
        <w:rPr>
          <w:rFonts w:ascii="Arial" w:hAnsi="Arial"/>
          <w:b/>
          <w:color w:val="000000"/>
          <w:sz w:val="20"/>
          <w:u w:val="single"/>
        </w:rPr>
        <w:t>Additional Insured; Primary/Non-Contributory; Waiver.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14.3.1 Where commercially available, Arcturus’ CGL and Products Liability/Clinical Trial Liability policies (and umbrella/excess policies, if used to satisfy the required limits) shall:</w:t>
      </w:r>
    </w:p>
    <w:p>
      <w:pPr>
        <w:pStyle w:val="TextBody"/>
        <w:bidi w:val="0"/>
        <w:jc w:val="left"/>
        <w:rPr>
          <w:rFonts w:ascii="Times New Roman" w:hAnsi="Times New Roman"/>
          <w:sz w:val="20"/>
        </w:rPr>
      </w:pPr>
      <w:r>
        <w:rPr>
          <w:rFonts w:ascii="sans-serif" w:hAnsi="sans-serif"/>
          <w:color w:val="000000"/>
          <w:sz w:val="22"/>
        </w:rPr>
        <w:br/>
      </w:r>
      <w:r>
        <w:rPr>
          <w:rFonts w:ascii="Arial" w:hAnsi="Arial"/>
          <w:color w:val="000000"/>
          <w:sz w:val="20"/>
        </w:rPr>
        <w:t>(a) include Thermo Fisher indemnitees as additional insureds for liability arising out of the Arcturus Party’s performance under this Agreement;</w:t>
      </w:r>
      <w:r>
        <w:rPr>
          <w:rFonts w:ascii="sans-serif" w:hAnsi="sans-serif"/>
          <w:color w:val="000000"/>
          <w:sz w:val="22"/>
        </w:rPr>
        <w:br/>
      </w:r>
      <w:r>
        <w:rPr>
          <w:rFonts w:ascii="Arial" w:hAnsi="Arial"/>
          <w:color w:val="000000"/>
          <w:sz w:val="20"/>
        </w:rPr>
        <w:t>(b) if liabilities arising from acts or omissions under the agreement is owed, be primary and non-contributory over insurance available to Thermo Fisher Indemnitees;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(c) include a waiver of subrogation in favor of Thermo Fisher indemnitees (this waiver shall not extend to the negligence or willful misconduct of Thermo Fisher Indemnitees), and</w:t>
      </w:r>
    </w:p>
    <w:p>
      <w:pPr>
        <w:pStyle w:val="TextBody"/>
        <w:bidi w:val="0"/>
        <w:jc w:val="left"/>
        <w:rPr>
          <w:rFonts w:ascii="Times New Roman" w:hAnsi="Times New Roman"/>
          <w:sz w:val="20"/>
        </w:rPr>
      </w:pPr>
      <w:r>
        <w:rPr>
          <w:rFonts w:ascii="Arial" w:hAnsi="Arial"/>
          <w:color w:val="000000"/>
          <w:sz w:val="20"/>
        </w:rPr>
        <w:t>(d) allow for separation of insureds. .</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14.3.2 Where commercially available, Thermo Fisher’s CGL (and umbrella/excess policies, if used to satisfy the required limits) shall:</w:t>
      </w:r>
    </w:p>
    <w:p>
      <w:pPr>
        <w:pStyle w:val="TextBody"/>
        <w:bidi w:val="0"/>
        <w:jc w:val="left"/>
        <w:rPr>
          <w:rFonts w:ascii="Times New Roman" w:hAnsi="Times New Roman"/>
          <w:sz w:val="20"/>
        </w:rPr>
      </w:pPr>
      <w:r>
        <w:rPr>
          <w:rFonts w:ascii="sans-serif" w:hAnsi="sans-serif"/>
          <w:color w:val="000000"/>
          <w:sz w:val="22"/>
        </w:rPr>
        <w:br/>
      </w:r>
      <w:r>
        <w:rPr>
          <w:rFonts w:ascii="Arial" w:hAnsi="Arial"/>
          <w:color w:val="000000"/>
          <w:sz w:val="20"/>
        </w:rPr>
        <w:t>(a) include the Arcturus indemnitees as additional insureds for liability arising out of the Thermo Fisher’s performance under this Agreement;</w:t>
      </w:r>
      <w:r>
        <w:rPr>
          <w:rFonts w:ascii="sans-serif" w:hAnsi="sans-serif"/>
          <w:color w:val="000000"/>
          <w:sz w:val="22"/>
        </w:rPr>
        <w:br/>
      </w:r>
      <w:r>
        <w:rPr>
          <w:rFonts w:ascii="Arial" w:hAnsi="Arial"/>
          <w:color w:val="000000"/>
          <w:sz w:val="20"/>
        </w:rPr>
        <w:t>(b) if liabilities arising from acts or omissions under the agreement is owed, be primary and non-contributory over insurance available to Arcturus Indemnitees;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(c) include a waiver of subrogation in favor of Arcturus indemnitees (this waiver shall not extend to the negligence or willful misconduct of Arcturus Indemnitees); and</w:t>
      </w:r>
    </w:p>
    <w:p>
      <w:pPr>
        <w:pStyle w:val="TextBody"/>
        <w:bidi w:val="0"/>
        <w:jc w:val="left"/>
        <w:rPr>
          <w:rFonts w:ascii="Times New Roman" w:hAnsi="Times New Roman"/>
          <w:sz w:val="20"/>
        </w:rPr>
      </w:pPr>
      <w:r>
        <w:rPr>
          <w:rFonts w:ascii="Arial" w:hAnsi="Arial"/>
          <w:color w:val="000000"/>
          <w:sz w:val="20"/>
        </w:rPr>
        <w:t>(d) allow for separation of insureds.</w:t>
        <w:br/>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14.4 </w:t>
      </w:r>
      <w:r>
        <w:rPr>
          <w:rFonts w:ascii="Arial" w:hAnsi="Arial"/>
          <w:b/>
          <w:color w:val="000000"/>
          <w:sz w:val="20"/>
          <w:u w:val="single"/>
        </w:rPr>
        <w:t>Claims-Made Continuity</w:t>
      </w:r>
      <w:r>
        <w:rPr>
          <w:rFonts w:ascii="Arial" w:hAnsi="Arial"/>
          <w:b/>
          <w:color w:val="000000"/>
          <w:sz w:val="20"/>
        </w:rPr>
        <w:t>.</w:t>
      </w:r>
    </w:p>
    <w:p>
      <w:pPr>
        <w:pStyle w:val="TextBody"/>
        <w:bidi w:val="0"/>
        <w:jc w:val="both"/>
        <w:rPr>
          <w:rFonts w:ascii="Times New Roman" w:hAnsi="Times New Roman"/>
          <w:sz w:val="20"/>
        </w:rPr>
      </w:pPr>
      <w:r>
        <w:rPr>
          <w:rFonts w:ascii="Arial" w:hAnsi="Arial"/>
          <w:color w:val="000000"/>
          <w:sz w:val="20"/>
        </w:rPr>
        <w:t>Claims made insurance must be in effect for at least five (5) years after termination or expiry of this MSA and any applicable PA with a retroactive date on or prior to the start of Services. Alternatively, tail coverage may be purchased for the same period.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color w:val="000000"/>
          <w:sz w:val="20"/>
        </w:rPr>
        <w:t xml:space="preserve">14.5 </w:t>
      </w:r>
      <w:r>
        <w:rPr>
          <w:rFonts w:ascii="Arial" w:hAnsi="Arial"/>
          <w:b/>
          <w:color w:val="000000"/>
          <w:sz w:val="20"/>
          <w:u w:val="single"/>
        </w:rPr>
        <w:t>Evidence and Notice</w:t>
      </w:r>
      <w:r>
        <w:rPr>
          <w:rFonts w:ascii="Arial" w:hAnsi="Arial"/>
          <w:b/>
          <w:color w:val="000000"/>
          <w:sz w:val="20"/>
        </w:rPr>
        <w:t>.</w:t>
      </w:r>
    </w:p>
    <w:p>
      <w:pPr>
        <w:pStyle w:val="TextBody"/>
        <w:bidi w:val="0"/>
        <w:jc w:val="both"/>
        <w:rPr>
          <w:rFonts w:ascii="Arial" w:hAnsi="Arial"/>
          <w:color w:val="000000"/>
          <w:sz w:val="20"/>
        </w:rPr>
      </w:pPr>
      <w:r>
        <w:rPr>
          <w:rFonts w:ascii="Arial" w:hAnsi="Arial"/>
          <w:color w:val="000000"/>
          <w:sz w:val="20"/>
        </w:rPr>
        <w:t>Each Party shall provide the other Party thirty (30) days prior written notice of insurance lapse or termination and, upon request, a certificate of insurance.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15.</w:t>
      </w:r>
      <w:r>
        <w:rPr>
          <w:rFonts w:ascii="Times New Roman" w:hAnsi="Times New Roman"/>
          <w:color w:val="000000"/>
          <w:sz w:val="20"/>
        </w:rPr>
        <w:t xml:space="preserve"> </w:t>
      </w:r>
      <w:r>
        <w:rPr>
          <w:rFonts w:ascii="Arial" w:hAnsi="Arial"/>
          <w:b/>
          <w:color w:val="000000"/>
          <w:sz w:val="20"/>
        </w:rPr>
        <w:t xml:space="preserve">Records. </w:t>
      </w:r>
      <w:r>
        <w:rPr>
          <w:rFonts w:ascii="Arial" w:hAnsi="Arial"/>
          <w:color w:val="000000"/>
          <w:sz w:val="20"/>
        </w:rPr>
        <w:t xml:space="preserve">During each Project Term, the Thermo Fisher Affiliate will maintain all </w:t>
      </w:r>
      <w:r>
        <w:rPr>
          <w:rFonts w:ascii="Arial" w:hAnsi="Arial"/>
          <w:color w:val="1B1B1D"/>
          <w:sz w:val="20"/>
        </w:rPr>
        <w:t>paperwork, forms, documentation</w:t>
      </w:r>
      <w:r>
        <w:rPr>
          <w:rFonts w:ascii="Times New Roman" w:hAnsi="Times New Roman"/>
          <w:color w:val="000000"/>
          <w:sz w:val="20"/>
        </w:rPr>
        <w:t xml:space="preserve"> </w:t>
      </w:r>
      <w:r>
        <w:rPr>
          <w:rFonts w:ascii="Arial" w:hAnsi="Arial"/>
          <w:color w:val="000000"/>
          <w:sz w:val="20"/>
        </w:rPr>
        <w:t>and all other data obtained or generated by the Thermo Fisher Affiliate and its Representatives in the course of providing the Services under the applicable PA (the “</w:t>
      </w:r>
      <w:r>
        <w:rPr>
          <w:rFonts w:ascii="Arial" w:hAnsi="Arial"/>
          <w:b/>
          <w:color w:val="000000"/>
          <w:sz w:val="20"/>
        </w:rPr>
        <w:t>Records</w:t>
      </w:r>
      <w:r>
        <w:rPr>
          <w:rFonts w:ascii="Times New Roman" w:hAnsi="Times New Roman"/>
          <w:color w:val="000000"/>
          <w:sz w:val="20"/>
        </w:rPr>
        <w:t>”</w:t>
      </w:r>
      <w:r>
        <w:rPr>
          <w:rFonts w:ascii="Arial" w:hAnsi="Arial"/>
          <w:color w:val="000000"/>
          <w:sz w:val="20"/>
        </w:rPr>
        <w:t>). Unless otherwise agreed in a PA and except as required by applicable law, after the expiration or termination of the applicable PA, the continued retention of the Records is, as between the Thermo Fisher Affiliate and Arcturus to a PA, is Arcturus’ responsibility. Upon receipt of Arcturus’ payment obligations and at Arcturus’ risk, cost and expense, the Thermo Fisher Affiliate shall deliver a complete and correct copy of all of the Records (except for one archival copy) in electronic form to Arcturus via electronic delivery means as Arcturus may reasonably request within thirty (30) days after the end of the subject Project Term. In the event the Thermo Fisher Affiliate is unable to contact Arcturus to arrange for such delivery after reasonable attempts, the Thermo Fisher Affiliate will deliver the Records in accordance with the Notice provision of this MSA and in accordance with any regulatory retention requirements and follow its SOPs with respect to Record storage and disposition timelines.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b/>
          <w:color w:val="000000"/>
          <w:sz w:val="20"/>
        </w:rPr>
        <w:t>16.</w:t>
      </w:r>
      <w:r>
        <w:rPr>
          <w:rFonts w:ascii="Times New Roman" w:hAnsi="Times New Roman"/>
          <w:color w:val="000000"/>
          <w:sz w:val="20"/>
        </w:rPr>
        <w:t xml:space="preserve"> </w:t>
      </w:r>
      <w:r>
        <w:rPr>
          <w:rFonts w:ascii="Arial" w:hAnsi="Arial"/>
          <w:b/>
          <w:color w:val="000000"/>
          <w:sz w:val="20"/>
        </w:rPr>
        <w:t>Destruction Services.</w:t>
      </w:r>
      <w:r>
        <w:rPr>
          <w:rFonts w:ascii="Times New Roman" w:hAnsi="Times New Roman"/>
          <w:color w:val="000000"/>
          <w:sz w:val="20"/>
        </w:rPr>
        <w:t xml:space="preserve"> </w:t>
      </w:r>
      <w:r>
        <w:rPr>
          <w:rFonts w:ascii="Arial" w:hAnsi="Arial"/>
          <w:color w:val="000000"/>
          <w:sz w:val="20"/>
        </w:rPr>
        <w:t>If Arcturus requires destruction services for clinical trial ancillary and/or drug product ("</w:t>
      </w:r>
      <w:r>
        <w:rPr>
          <w:rFonts w:ascii="Arial" w:hAnsi="Arial"/>
          <w:b/>
          <w:color w:val="000000"/>
          <w:sz w:val="20"/>
        </w:rPr>
        <w:t>CTADP</w:t>
      </w:r>
      <w:r>
        <w:rPr>
          <w:rFonts w:ascii="Arial" w:hAnsi="Arial"/>
          <w:color w:val="000000"/>
          <w:sz w:val="20"/>
        </w:rPr>
        <w:t>"), the Thermo Fisher Affiliate will perform this service subject to the terms of this MSA and the applicable PA and provide Arcturus with a Certificate of Destruction. Arcturus must specifically identify the CTADP to be destroyed and provide an accurate characterization ("residual" or "hazardous”) of the CTADP (“</w:t>
      </w:r>
      <w:r>
        <w:rPr>
          <w:rFonts w:ascii="Arial" w:hAnsi="Arial"/>
          <w:b/>
          <w:color w:val="000000"/>
          <w:sz w:val="20"/>
        </w:rPr>
        <w:t>Arcturus Characterization</w:t>
      </w:r>
      <w:r>
        <w:rPr>
          <w:rFonts w:ascii="Times New Roman" w:hAnsi="Times New Roman"/>
          <w:color w:val="000000"/>
          <w:sz w:val="20"/>
        </w:rPr>
        <w:t>”</w:t>
      </w:r>
      <w:r>
        <w:rPr>
          <w:rFonts w:ascii="Arial" w:hAnsi="Arial"/>
          <w:color w:val="000000"/>
          <w:sz w:val="20"/>
        </w:rPr>
        <w:t>). CTADP will not be considered waste until Arcturus has identified the specific CTADP to be destroyed. The Thermo Fisher Affiliate is not liable for any incorrect Arcturus Characterization, and destruction services will not be performed until the Arcturus Characterization has been received. For US-based waste disposal and transport, the Thermo Fisher Affiliate will obtain a temporary waste generator ID, and Arcturus will be the designated “primary generator” for all purposes under the law. If required under applicable law, both Thermo Fisher Affiliate and Arcturus will be "co-generators" with Arcturus as the “primary generator”.</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17.</w:t>
      </w:r>
      <w:r>
        <w:rPr>
          <w:rFonts w:ascii="Times New Roman" w:hAnsi="Times New Roman"/>
          <w:color w:val="000000"/>
          <w:sz w:val="20"/>
        </w:rPr>
        <w:t xml:space="preserve"> </w:t>
      </w:r>
      <w:r>
        <w:rPr>
          <w:rFonts w:ascii="Arial" w:hAnsi="Arial"/>
          <w:b/>
          <w:color w:val="000000"/>
          <w:sz w:val="20"/>
        </w:rPr>
        <w:t>Miscellaneous</w:t>
      </w:r>
    </w:p>
    <w:p>
      <w:pPr>
        <w:pStyle w:val="TextBody"/>
        <w:bidi w:val="0"/>
        <w:jc w:val="both"/>
        <w:rPr>
          <w:rFonts w:ascii="Times New Roman" w:hAnsi="Times New Roman"/>
          <w:sz w:val="20"/>
        </w:rPr>
      </w:pPr>
      <w:r>
        <w:rPr>
          <w:rFonts w:ascii="Arial" w:hAnsi="Arial"/>
          <w:color w:val="000000"/>
          <w:sz w:val="20"/>
        </w:rPr>
        <w:t>17.1.</w:t>
      </w:r>
      <w:r>
        <w:rPr>
          <w:rFonts w:ascii="Times New Roman" w:hAnsi="Times New Roman"/>
          <w:color w:val="000000"/>
          <w:sz w:val="20"/>
        </w:rPr>
        <w:t xml:space="preserve"> </w:t>
      </w:r>
      <w:r>
        <w:rPr>
          <w:rFonts w:ascii="Arial" w:hAnsi="Arial"/>
          <w:b/>
          <w:color w:val="000000"/>
          <w:sz w:val="20"/>
          <w:u w:val="single"/>
        </w:rPr>
        <w:t xml:space="preserve">Independent Contractor. </w:t>
      </w:r>
      <w:r>
        <w:rPr>
          <w:rFonts w:ascii="Arial" w:hAnsi="Arial"/>
          <w:color w:val="000000"/>
          <w:sz w:val="20"/>
        </w:rPr>
        <w:t>Thermo Fisher and its Affiliates, on the one hand, and Arcturus, on the other hand, are independent contractors, and nothing in this MSA shall be construed to create a partnership, joint venture, agency, or similar relationship between them.</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17.2.</w:t>
      </w:r>
      <w:r>
        <w:rPr>
          <w:rFonts w:ascii="Times New Roman" w:hAnsi="Times New Roman"/>
          <w:color w:val="000000"/>
          <w:sz w:val="20"/>
        </w:rPr>
        <w:t xml:space="preserve"> </w:t>
      </w:r>
      <w:r>
        <w:rPr>
          <w:rFonts w:ascii="Arial" w:hAnsi="Arial"/>
          <w:b/>
          <w:color w:val="000000"/>
          <w:sz w:val="20"/>
          <w:u w:val="single"/>
        </w:rPr>
        <w:t>No Debarment/Felony</w:t>
      </w:r>
      <w:r>
        <w:rPr>
          <w:rFonts w:ascii="Arial" w:hAnsi="Arial"/>
          <w:color w:val="000000"/>
          <w:sz w:val="20"/>
        </w:rPr>
        <w:t>. Thermo Fisher certifies that it and its Affiliates (i) has not been debarred and will not use any person it knows is debarred or suspended under 21 U.S.C. §335(a) and (ii) does not and will not employ any person convicted of a felony related to drug regulation under the United States Federal Food, Drug, and Cosmetic Act.</w:t>
      </w:r>
      <w:r>
        <w:rPr>
          <w:rFonts w:ascii="Times New Roman" w:hAnsi="Times New Roman"/>
          <w:color w:val="000000"/>
          <w:sz w:val="20"/>
        </w:rPr>
        <w:t xml:space="preserve"> </w:t>
      </w:r>
      <w:r>
        <w:rPr>
          <w:rFonts w:ascii="Arial" w:hAnsi="Arial"/>
          <w:color w:val="000000"/>
          <w:sz w:val="20"/>
        </w:rPr>
        <w:t>In the event that any such entity or person becomes debarred, Thermo Fisher will notify Arcturus promptly in writing.</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17.3.</w:t>
      </w:r>
      <w:r>
        <w:rPr>
          <w:rFonts w:ascii="Times New Roman" w:hAnsi="Times New Roman"/>
          <w:color w:val="000000"/>
          <w:sz w:val="20"/>
        </w:rPr>
        <w:t xml:space="preserve"> </w:t>
      </w:r>
      <w:r>
        <w:rPr>
          <w:rFonts w:ascii="Arial" w:hAnsi="Arial"/>
          <w:b/>
          <w:color w:val="000000"/>
          <w:sz w:val="20"/>
          <w:u w:val="single"/>
        </w:rPr>
        <w:t>Publicity</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Neither Party shall mention or otherwise use the name, insignia, symbol, trademark, trade name or logotype of the other Party or any of its Affiliates (or any abbreviation or adaptation thereof) in any publication, press release, promotional material or other form of publicity without the prior written approval of the other Party in each instance.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17.4.</w:t>
      </w:r>
      <w:r>
        <w:rPr>
          <w:rFonts w:ascii="Times New Roman" w:hAnsi="Times New Roman"/>
          <w:color w:val="000000"/>
          <w:sz w:val="20"/>
        </w:rPr>
        <w:t xml:space="preserve"> </w:t>
      </w:r>
      <w:r>
        <w:rPr>
          <w:rFonts w:ascii="Arial" w:hAnsi="Arial"/>
          <w:b/>
          <w:color w:val="000000"/>
          <w:sz w:val="20"/>
          <w:u w:val="single"/>
        </w:rPr>
        <w:t>Force Majeure.</w:t>
      </w:r>
      <w:r>
        <w:rPr>
          <w:rFonts w:ascii="Times New Roman" w:hAnsi="Times New Roman"/>
          <w:color w:val="000000"/>
          <w:sz w:val="20"/>
        </w:rPr>
        <w:t xml:space="preserve"> </w:t>
      </w:r>
      <w:r>
        <w:rPr>
          <w:rFonts w:ascii="Arial" w:hAnsi="Arial"/>
          <w:color w:val="000000"/>
          <w:sz w:val="20"/>
        </w:rPr>
        <w:t>Excluding any payment obligations, neither Party nor any of its Affiliates shall be liable for any failure or delay in performing its obligations under this MSA or any PA due to circumstances beyond its reasonable control, including but not limited to acts of God, war, riots, strikes or labor disturbances, lock outs, quarantines, communicable disease outbreaks, lack of or inability to obtain fuel, power or components, compliance with any order or regulation of any government entity and natural disasters.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17.5.</w:t>
      </w:r>
      <w:r>
        <w:rPr>
          <w:rFonts w:ascii="Times New Roman" w:hAnsi="Times New Roman"/>
          <w:color w:val="000000"/>
          <w:sz w:val="20"/>
        </w:rPr>
        <w:t xml:space="preserve"> </w:t>
      </w:r>
      <w:r>
        <w:rPr>
          <w:rFonts w:ascii="Arial" w:hAnsi="Arial"/>
          <w:b/>
          <w:color w:val="000000"/>
          <w:sz w:val="20"/>
          <w:u w:val="single"/>
        </w:rPr>
        <w:t>Notices.</w:t>
      </w:r>
      <w:r>
        <w:rPr>
          <w:rFonts w:ascii="Times New Roman" w:hAnsi="Times New Roman"/>
          <w:color w:val="000000"/>
          <w:sz w:val="20"/>
        </w:rPr>
        <w:t xml:space="preserve"> </w:t>
      </w:r>
      <w:r>
        <w:rPr>
          <w:rFonts w:ascii="Arial" w:hAnsi="Arial"/>
          <w:color w:val="000000"/>
          <w:sz w:val="20"/>
        </w:rPr>
        <w:t xml:space="preserve">Unless otherwise stated in a PA, all notices required or permitted under this MSA, or a PA shall be in writing and shall be deemed given when delivered via e-mail to </w:t>
      </w:r>
      <w:r>
        <w:rPr>
          <w:rFonts w:ascii="Arial" w:hAnsi="Arial"/>
          <w:sz w:val="20"/>
        </w:rPr>
        <w:t>legalnotices@thermofisher.com</w:t>
      </w:r>
      <w:r>
        <w:rPr>
          <w:rFonts w:ascii="Times New Roman" w:hAnsi="Times New Roman"/>
          <w:color w:val="000000"/>
          <w:sz w:val="20"/>
        </w:rPr>
        <w:t xml:space="preserve"> </w:t>
      </w:r>
      <w:r>
        <w:rPr>
          <w:rFonts w:ascii="Arial" w:hAnsi="Arial"/>
          <w:color w:val="000000"/>
          <w:sz w:val="20"/>
        </w:rPr>
        <w:t>(for Thermo Fisher) and ContractNotices@arcturusrx.com (for Arcturus).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17.6.</w:t>
      </w:r>
      <w:r>
        <w:rPr>
          <w:rFonts w:ascii="Times New Roman" w:hAnsi="Times New Roman"/>
          <w:color w:val="000000"/>
          <w:sz w:val="20"/>
        </w:rPr>
        <w:t xml:space="preserve"> </w:t>
      </w:r>
      <w:r>
        <w:rPr>
          <w:rFonts w:ascii="Arial" w:hAnsi="Arial"/>
          <w:b/>
          <w:color w:val="000000"/>
          <w:sz w:val="20"/>
          <w:u w:val="single"/>
        </w:rPr>
        <w:t>Governing Law.</w:t>
      </w:r>
      <w:r>
        <w:rPr>
          <w:rFonts w:ascii="Times New Roman" w:hAnsi="Times New Roman"/>
          <w:color w:val="000000"/>
          <w:sz w:val="20"/>
        </w:rPr>
        <w:t xml:space="preserve"> </w:t>
      </w:r>
      <w:r>
        <w:rPr>
          <w:rFonts w:ascii="Arial" w:hAnsi="Arial"/>
          <w:color w:val="000000"/>
          <w:sz w:val="20"/>
        </w:rPr>
        <w:t>This MSA and any PA and the rights and obligations of the Parties hereunder and their respective Affiliates shall be governed by and construed in accordance with the laws of the state of Delaware without reference to its conflicts-of-laws provisions. The UN Convention on Contracts for the International Sale of Goods shall not apply to this MSA or any PA.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17.7.</w:t>
      </w:r>
      <w:r>
        <w:rPr>
          <w:rFonts w:ascii="Times New Roman" w:hAnsi="Times New Roman"/>
          <w:color w:val="000000"/>
          <w:sz w:val="20"/>
        </w:rPr>
        <w:t xml:space="preserve"> </w:t>
      </w:r>
      <w:r>
        <w:rPr>
          <w:rFonts w:ascii="Arial" w:hAnsi="Arial"/>
          <w:b/>
          <w:color w:val="000000"/>
          <w:sz w:val="20"/>
          <w:u w:val="single"/>
        </w:rPr>
        <w:t>Dispute Resolution</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17.7.1.</w:t>
      </w:r>
      <w:r>
        <w:rPr>
          <w:rFonts w:ascii="Times New Roman" w:hAnsi="Times New Roman"/>
          <w:color w:val="000000"/>
          <w:sz w:val="20"/>
        </w:rPr>
        <w:t xml:space="preserve"> </w:t>
      </w:r>
      <w:r>
        <w:rPr>
          <w:rFonts w:ascii="Arial" w:hAnsi="Arial"/>
          <w:b/>
          <w:color w:val="000000"/>
          <w:sz w:val="20"/>
          <w:u w:val="single"/>
        </w:rPr>
        <w:t>Negotiation.</w:t>
      </w:r>
      <w:r>
        <w:rPr>
          <w:rFonts w:ascii="Times New Roman" w:hAnsi="Times New Roman"/>
          <w:color w:val="000000"/>
          <w:sz w:val="20"/>
        </w:rPr>
        <w:t xml:space="preserve"> </w:t>
      </w:r>
      <w:r>
        <w:rPr>
          <w:rFonts w:ascii="Arial" w:hAnsi="Arial"/>
          <w:color w:val="000000"/>
          <w:sz w:val="20"/>
        </w:rPr>
        <w:t xml:space="preserve">Upon receipt of written notice of a dispute arising out of this MSA or any PA, the Parties agree to use good faith efforts, including engagement of executive management as necessary, to resolve the dispute within thirty (30) days of a Party’s receipt of notice; </w:t>
      </w:r>
      <w:r>
        <w:rPr>
          <w:rFonts w:ascii="Arial" w:hAnsi="Arial"/>
          <w:i/>
          <w:color w:val="000000"/>
          <w:sz w:val="20"/>
        </w:rPr>
        <w:t>provided, however, that</w:t>
      </w:r>
      <w:r>
        <w:rPr>
          <w:rFonts w:ascii="Times New Roman" w:hAnsi="Times New Roman"/>
          <w:color w:val="000000"/>
          <w:sz w:val="20"/>
        </w:rPr>
        <w:t xml:space="preserve"> </w:t>
      </w:r>
      <w:r>
        <w:rPr>
          <w:rFonts w:ascii="Arial" w:hAnsi="Arial"/>
          <w:color w:val="000000"/>
          <w:sz w:val="20"/>
        </w:rPr>
        <w:t>either Party or its Affiliate may proceed to seek a temporary restraining order or preliminary or permanent injunctive relief for any alleged breach of Section 6 at any time in any court of competent jurisdiction.</w:t>
      </w:r>
    </w:p>
    <w:p>
      <w:pPr>
        <w:pStyle w:val="TextBody"/>
        <w:bidi w:val="0"/>
        <w:spacing w:before="0" w:after="160"/>
        <w:jc w:val="both"/>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Arial" w:hAnsi="Arial"/>
          <w:color w:val="000000"/>
          <w:sz w:val="20"/>
        </w:rPr>
        <w:t>17.7.2.</w:t>
      </w:r>
      <w:r>
        <w:rPr>
          <w:rFonts w:ascii="Times New Roman" w:hAnsi="Times New Roman"/>
          <w:color w:val="000000"/>
          <w:sz w:val="20"/>
        </w:rPr>
        <w:t xml:space="preserve"> </w:t>
      </w:r>
      <w:r>
        <w:rPr>
          <w:rFonts w:ascii="Arial" w:hAnsi="Arial"/>
          <w:b/>
          <w:color w:val="000000"/>
          <w:sz w:val="20"/>
          <w:u w:val="single"/>
        </w:rPr>
        <w:t>Arbitration</w:t>
      </w:r>
      <w:r>
        <w:rPr>
          <w:rFonts w:ascii="Arial" w:hAnsi="Arial"/>
          <w:b/>
          <w:color w:val="000000"/>
          <w:sz w:val="20"/>
        </w:rPr>
        <w:t xml:space="preserve">. </w:t>
      </w:r>
      <w:r>
        <w:rPr>
          <w:rFonts w:ascii="Arial" w:hAnsi="Arial"/>
          <w:color w:val="000000"/>
          <w:sz w:val="20"/>
        </w:rPr>
        <w:t>Subject to Section 17.7.1 of this MSA, any dispute under this MSA or a PA may be submitted to binding arbitration pursuant to the</w:t>
      </w:r>
      <w:r>
        <w:rPr>
          <w:rFonts w:ascii="Times New Roman" w:hAnsi="Times New Roman"/>
          <w:color w:val="FF0000"/>
          <w:sz w:val="20"/>
        </w:rPr>
        <w:t xml:space="preserve"> </w:t>
      </w:r>
      <w:r>
        <w:rPr>
          <w:rFonts w:ascii="Arial" w:hAnsi="Arial"/>
          <w:color w:val="000000"/>
          <w:sz w:val="20"/>
        </w:rPr>
        <w:t>Commercial Arbitration Rules of the American Arbitration Association</w:t>
      </w:r>
      <w:r>
        <w:rPr>
          <w:rFonts w:ascii="Times New Roman" w:hAnsi="Times New Roman"/>
          <w:color w:val="FF0000"/>
          <w:sz w:val="20"/>
        </w:rPr>
        <w:t xml:space="preserve"> </w:t>
      </w:r>
      <w:r>
        <w:rPr>
          <w:rFonts w:ascii="Arial" w:hAnsi="Arial"/>
          <w:color w:val="000000"/>
          <w:sz w:val="20"/>
        </w:rPr>
        <w:t>and conducted in the state of Delaware before an independent single arbitrator. The arbitrator’s decision shall be final and binding and shall be enforceable by any court of competent jurisdiction. Arbitration expenses shall be borne by the parties to the dispute in proportion as to which each such party prevails or is defeated in arbitration. Each such Party shall bear the expenses of its counsel and other experts.</w:t>
      </w:r>
    </w:p>
    <w:p>
      <w:pPr>
        <w:pStyle w:val="TextBody"/>
        <w:bidi w:val="0"/>
        <w:jc w:val="both"/>
        <w:rPr>
          <w:rFonts w:ascii="Times New Roman" w:hAnsi="Times New Roman"/>
          <w:sz w:val="20"/>
        </w:rPr>
      </w:pPr>
      <w:r>
        <w:rPr>
          <w:rFonts w:ascii="Arial" w:hAnsi="Arial"/>
          <w:color w:val="000000"/>
          <w:sz w:val="20"/>
        </w:rPr>
        <w:t xml:space="preserve">17.7.3 </w:t>
      </w:r>
      <w:r>
        <w:rPr>
          <w:rFonts w:ascii="Arial" w:hAnsi="Arial"/>
          <w:b/>
          <w:color w:val="000000"/>
          <w:sz w:val="20"/>
          <w:u w:val="single"/>
        </w:rPr>
        <w:t>Disputes.</w:t>
      </w:r>
      <w:r>
        <w:rPr>
          <w:rFonts w:ascii="Times New Roman" w:hAnsi="Times New Roman"/>
          <w:color w:val="000000"/>
          <w:sz w:val="20"/>
        </w:rPr>
        <w:t xml:space="preserve"> </w:t>
      </w:r>
      <w:r>
        <w:rPr>
          <w:rFonts w:ascii="Arial" w:hAnsi="Arial"/>
          <w:color w:val="000000"/>
          <w:sz w:val="20"/>
        </w:rPr>
        <w:t>If a technical dispute arises from any manufacturing Services, if not resolved pursuant to Section 17.7.1, either Party, by written request, may refer the dispute to an expert. Within ten (10) business days, the Parties will appoint a mutually agreed expert with relevant experience. The expert’s decision will be final and binding, except in cases of fraud, clear error, or conflict of interest. Each Party must promptly provide any requested information within five (5) business days. The Parties will cooperate to narrow the issues. Each Party will pay its own costs, and the expert’s costs will be shared equally unless otherwise agreed.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17.8.</w:t>
      </w:r>
      <w:r>
        <w:rPr>
          <w:rFonts w:ascii="Times New Roman" w:hAnsi="Times New Roman"/>
          <w:color w:val="000000"/>
          <w:sz w:val="20"/>
        </w:rPr>
        <w:t xml:space="preserve"> </w:t>
      </w:r>
      <w:r>
        <w:rPr>
          <w:rFonts w:ascii="Arial" w:hAnsi="Arial"/>
          <w:b/>
          <w:color w:val="000000"/>
          <w:sz w:val="20"/>
          <w:u w:val="single"/>
        </w:rPr>
        <w:t>Severability.</w:t>
      </w:r>
      <w:r>
        <w:rPr>
          <w:rFonts w:ascii="Times New Roman" w:hAnsi="Times New Roman"/>
          <w:color w:val="000000"/>
          <w:sz w:val="20"/>
        </w:rPr>
        <w:t xml:space="preserve"> </w:t>
      </w:r>
      <w:r>
        <w:rPr>
          <w:rFonts w:ascii="Arial" w:hAnsi="Arial"/>
          <w:color w:val="000000"/>
          <w:sz w:val="20"/>
        </w:rPr>
        <w:t>If any provision of this MSA or a PA is held to be invalid or unenforceable, the Parties intend and desire the remaining provisions to continue in full force and effect.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17.9.</w:t>
      </w:r>
      <w:r>
        <w:rPr>
          <w:rFonts w:ascii="Times New Roman" w:hAnsi="Times New Roman"/>
          <w:color w:val="000000"/>
          <w:sz w:val="20"/>
        </w:rPr>
        <w:t xml:space="preserve"> </w:t>
      </w:r>
      <w:r>
        <w:rPr>
          <w:rFonts w:ascii="Arial" w:hAnsi="Arial"/>
          <w:b/>
          <w:color w:val="000000"/>
          <w:sz w:val="20"/>
          <w:u w:val="single"/>
        </w:rPr>
        <w:t>Waiver</w:t>
      </w:r>
      <w:r>
        <w:rPr>
          <w:rFonts w:ascii="Arial" w:hAnsi="Arial"/>
          <w:color w:val="000000"/>
          <w:sz w:val="20"/>
          <w:u w:val="single"/>
        </w:rPr>
        <w:t>.</w:t>
      </w:r>
      <w:r>
        <w:rPr>
          <w:rFonts w:ascii="Times New Roman" w:hAnsi="Times New Roman"/>
          <w:color w:val="000000"/>
          <w:sz w:val="20"/>
        </w:rPr>
        <w:t xml:space="preserve"> </w:t>
      </w:r>
      <w:r>
        <w:rPr>
          <w:rFonts w:ascii="Arial" w:hAnsi="Arial"/>
          <w:color w:val="000000"/>
          <w:sz w:val="20"/>
        </w:rPr>
        <w:t>Any term or condition of this MSA or a PA may be waived in writing by a Party or its Affiliate entitled to the benefit of such term or condition. Either Party’s or its Affiliate’s failure to enforce a term or condition of this MSA or a PA is not a waiver of any such rights thereafter. No waiver of any breach or default of this MSA or a PA shall be deemed a waiver of any subsequent breach or default.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17.10.</w:t>
      </w:r>
      <w:r>
        <w:rPr>
          <w:rFonts w:ascii="Times New Roman" w:hAnsi="Times New Roman"/>
          <w:color w:val="000000"/>
          <w:sz w:val="20"/>
        </w:rPr>
        <w:t xml:space="preserve"> </w:t>
      </w:r>
      <w:r>
        <w:rPr>
          <w:rFonts w:ascii="Arial" w:hAnsi="Arial"/>
          <w:b/>
          <w:color w:val="000000"/>
          <w:sz w:val="20"/>
          <w:u w:val="single"/>
        </w:rPr>
        <w:t>Assignment, Third Party Vendors and Affiliate Subcontracting</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17.10.1. </w:t>
      </w:r>
      <w:r>
        <w:rPr>
          <w:rFonts w:ascii="Arial" w:hAnsi="Arial"/>
          <w:b/>
          <w:color w:val="000000"/>
          <w:sz w:val="20"/>
        </w:rPr>
        <w:t>Assignments.</w:t>
      </w:r>
      <w:r>
        <w:rPr>
          <w:rFonts w:ascii="Times New Roman" w:hAnsi="Times New Roman"/>
          <w:color w:val="000000"/>
          <w:sz w:val="20"/>
        </w:rPr>
        <w:t xml:space="preserve"> </w:t>
      </w:r>
      <w:r>
        <w:rPr>
          <w:rFonts w:ascii="Arial" w:hAnsi="Arial"/>
          <w:color w:val="000000"/>
          <w:sz w:val="20"/>
        </w:rPr>
        <w:t>Neither Party nor any of its Affiliates may assign its rights or obligations under this MSA or PA without the prior written consent of the other Party provided, however, that a Party hereto may assign this MSA or PA in its entirety (including all of its PAs) to a successor-in-interest to the Party’s business associated with the Services (in the case of Thermo Fisher) or the products that are the subject of the Services (in the case of Arcturus) without consent.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17.10.2. </w:t>
      </w:r>
      <w:r>
        <w:rPr>
          <w:rFonts w:ascii="Arial" w:hAnsi="Arial"/>
          <w:b/>
          <w:color w:val="000000"/>
          <w:sz w:val="20"/>
        </w:rPr>
        <w:t>Third Party Vendor</w:t>
      </w:r>
      <w:r>
        <w:rPr>
          <w:rFonts w:ascii="Arial" w:hAnsi="Arial"/>
          <w:color w:val="000000"/>
          <w:sz w:val="20"/>
        </w:rPr>
        <w:t>. In the event that Thermo Fisher subcontracts all or part of the Services under a PA to a Third Party Vendor, Thermo Fisher shall be responsible and retain primary liability for the performance of all obligations of Third Party Vendors (defined below). When used in this MSA, the term “</w:t>
      </w:r>
      <w:r>
        <w:rPr>
          <w:rFonts w:ascii="Arial" w:hAnsi="Arial"/>
          <w:b/>
          <w:color w:val="000000"/>
          <w:sz w:val="20"/>
        </w:rPr>
        <w:t>Third Party Vendor</w:t>
      </w:r>
      <w:r>
        <w:rPr>
          <w:rFonts w:ascii="Times New Roman" w:hAnsi="Times New Roman"/>
          <w:color w:val="000000"/>
          <w:sz w:val="20"/>
        </w:rPr>
        <w:t xml:space="preserve">” </w:t>
      </w:r>
      <w:r>
        <w:rPr>
          <w:rFonts w:ascii="Arial" w:hAnsi="Arial"/>
          <w:color w:val="000000"/>
          <w:sz w:val="20"/>
        </w:rPr>
        <w:t>shall mean and refer to any third party selected, managed and contracted by a Thermo Fisher Affiliate and to whom the Thermo Fisher Affiliate has subcontracted or delegated the Thermo Fisher Affiliate’s obligation to perform any portion of the Services hereunder but shall exclude (a) any investigators and any investigative site personnel; (b) data and safety monitoring board members or data monitoring committee members; (c) any third parties that are not Affiliates of Thermo Fisher providing components, courier services, drug distribution, destruction, drug manufacturing, or supply services; and (d) any third-party vendor selected by Arcturus against Thermo Fisher’s recommendation. Prior to utilizing any Third Party Vendor to perform Services in connection with a PA, Thermo Fisher shall upon request of Arcturus, confirm and document that such Third Party Vendor has been appropriately audit qualified. Thermo Fisher shall provide Arcturus with a written summary of the Third Party Vendor’s qualifications upon request and shall promptly notify Arcturus of any material adverse findings directly related to the Services.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color w:val="000000"/>
          <w:sz w:val="20"/>
        </w:rPr>
        <w:t>17.10.3. Fees and costs associated with Third Party Vendors shall be set forth in a PA, CNF, or COS and approved by Arcturus and signed by authorized representatives of both Parties. Thermo Fisher shall obtain Arcturus’ prior written approval before incurring any costs with a Third Party Vendor that are outside the approved budget, including change orders or scope modifications required for Services contracted to the Third Party Vendor.</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Arial" w:hAnsi="Arial"/>
          <w:color w:val="000000"/>
          <w:sz w:val="20"/>
        </w:rPr>
      </w:pPr>
      <w:r>
        <w:rPr>
          <w:rFonts w:ascii="Arial" w:hAnsi="Arial"/>
          <w:color w:val="000000"/>
          <w:sz w:val="20"/>
        </w:rPr>
        <w:t>Thermo Fisher shall not apply a management or overhead fee to Third Party Vendor costs.</w:t>
      </w:r>
    </w:p>
    <w:p>
      <w:pPr>
        <w:pStyle w:val="TextBody"/>
        <w:bidi w:val="0"/>
        <w:jc w:val="both"/>
        <w:rPr>
          <w:rFonts w:ascii="Times New Roman" w:hAnsi="Times New Roman"/>
          <w:sz w:val="20"/>
        </w:rPr>
      </w:pPr>
      <w:r>
        <w:rPr>
          <w:rFonts w:ascii="Arial" w:hAnsi="Arial"/>
          <w:color w:val="000000"/>
          <w:sz w:val="20"/>
        </w:rPr>
        <w:t>17.10.4. Contracts with any Third Party Vendor will, at a minimum, contain terms substantially similar to those in this MSA to the extent such terms are applicable to the Services to be performed by the Third Party Vendor with respect to compliance with law, Performance Standards, obligations of confidentiality and non-use of Arcturus Confidential Information, ownership and allocation of intellectual property rights and the results of the Services, recordkeeping and access to Records and indemnification obligations as applicable. Upon Arcturus’ request, Thermo Fisher shall provide Arcturus with a summary of the relevant provisions set forth above (subject to any applicable confidentiality restrictions), or Thermo Fisher shall obtain written confirmations from the Third Party Vendor that the foregoing requirements are satisfied.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17.10.5. In the event of a regulatory inspection of any Third Party Vendor that directly relates to the Services, Thermo Fisher shall promptly notify Arcturus (subject to any applicable confidentiality restrictions), and provide a summary of any inspection findings, observations, or correspondence directly relating to the PA.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17.10.6. Arcturus Requested Vendors. If Arcturus requests Thermo Fisher and Thermo Fisher agrees in the performance of the Services under a PA, to engage and contract with a specific vendor, service provider, or supplier and Arcturus has an already existing relationship or has evaluated and validated the vendor, such vendor would be deemed an “</w:t>
      </w:r>
      <w:r>
        <w:rPr>
          <w:rFonts w:ascii="Arial" w:hAnsi="Arial"/>
          <w:b/>
          <w:color w:val="000000"/>
          <w:sz w:val="20"/>
        </w:rPr>
        <w:t>Arcturus Requested Vendor</w:t>
      </w:r>
      <w:r>
        <w:rPr>
          <w:rFonts w:ascii="Times New Roman" w:hAnsi="Times New Roman"/>
          <w:color w:val="000000"/>
          <w:sz w:val="20"/>
        </w:rPr>
        <w:t xml:space="preserve">” </w:t>
      </w:r>
      <w:r>
        <w:rPr>
          <w:rFonts w:ascii="Arial" w:hAnsi="Arial"/>
          <w:color w:val="000000"/>
          <w:sz w:val="20"/>
        </w:rPr>
        <w:t>for purposes of the MSA. Thermo Fisher would ensure that each Arcturus-Requested Vendor is audit qualified before contracting with the Arcturus Requested Vendor. Thermo Fisher will remain accountable and responsible for oversight, coordination, and integration of the Services performed by any Arcturus-Requested Vendor. Thermo shall implement the same level of accountability, oversight, performance monitoring, and quality management for Arcturus Requested Vendors as it applies to its own Third Party Vendors. Engaging an Arcturus Requested Vendor would not relieve Thermo Fisher of any obligation, responsibility, or liability under the MSA, or limit Arcturus’s rights or remedies.</w:t>
      </w:r>
    </w:p>
    <w:p>
      <w:pPr>
        <w:pStyle w:val="TextBody"/>
        <w:bidi w:val="0"/>
        <w:jc w:val="both"/>
        <w:rPr>
          <w:rFonts w:ascii="Arial" w:hAnsi="Arial"/>
          <w:color w:val="000000"/>
          <w:sz w:val="20"/>
        </w:rPr>
      </w:pPr>
      <w:r>
        <w:rPr>
          <w:rFonts w:ascii="Arial" w:hAnsi="Arial"/>
          <w:color w:val="000000"/>
          <w:sz w:val="20"/>
        </w:rPr>
        <w:t>17.10.7. Fees and costs associated with Arcturus Requested Vendors shall be set forth in a PA or CNF or COS. Thermo Fisher shall obtain Arcturus’ prior written approval before incurring any costs with an Arcturus Requested Vendor that are outside the approved budget, including change orders or scope modifications required for Services contracted to the Arcturus Requested Vendor. Thermo Fisher shall not apply a management or overhead fee to Arcturus Requested Vendor costs.</w:t>
      </w:r>
    </w:p>
    <w:p>
      <w:pPr>
        <w:pStyle w:val="TextBody"/>
        <w:bidi w:val="0"/>
        <w:jc w:val="both"/>
        <w:rPr>
          <w:rFonts w:ascii="Times New Roman" w:hAnsi="Times New Roman"/>
          <w:sz w:val="20"/>
        </w:rPr>
      </w:pPr>
      <w:r>
        <w:rPr>
          <w:rFonts w:ascii="Arial" w:hAnsi="Arial"/>
          <w:color w:val="000000"/>
          <w:sz w:val="20"/>
        </w:rPr>
        <w:t>17.10.8. Affiliates. When used in this MSA, the term “</w:t>
      </w:r>
      <w:r>
        <w:rPr>
          <w:rFonts w:ascii="Arial" w:hAnsi="Arial"/>
          <w:b/>
          <w:color w:val="000000"/>
          <w:sz w:val="20"/>
        </w:rPr>
        <w:t>Affiliate Subcontractor</w:t>
      </w:r>
      <w:r>
        <w:rPr>
          <w:rFonts w:ascii="Times New Roman" w:hAnsi="Times New Roman"/>
          <w:color w:val="000000"/>
          <w:sz w:val="20"/>
        </w:rPr>
        <w:t xml:space="preserve">” </w:t>
      </w:r>
      <w:r>
        <w:rPr>
          <w:rFonts w:ascii="Arial" w:hAnsi="Arial"/>
          <w:color w:val="000000"/>
          <w:sz w:val="20"/>
        </w:rPr>
        <w:t>shall mean and refer to any Affiliate of Thermo Fisher selected, managed and contracted by the Thermo Fisher Affiliate designated as the contracting entity in a PA with Arcturus and to whom the Thermo Fisher Affiliate has subcontracted or delegated the Thermo Fisher Affiliate’s obligation to perform any portion of the Services under such PA hereunder. If the Affiliate Subcontractor is providing Services but the costs of those Services are included within the unit costs for the Services activities in the applicable PA budget, such Subcontractor does not require Arcturus’ permission to provide Services. A Thermo Fisher Affiliate may subcontract or outsource any of the Services under a PA to an Affiliate Subcontractor without Arcturus’ prior written permission where the Affiliate Subcontractor’s Fees are in the budget of a PA, CNF or COS as a separate line item, such permission may be given by Arcturus’ execution of a PA, CNF or COS. For purposes of this Agreement, the engagement by Thermo Fisher of individual person as a contractor to perform Services under Thermo Fisher’s direct supervision and control shall not be deemed subcontracting or outsourcing unless expressly stated in a PA. In the event that a Thermo Fisher Affiliate subcontracts all or part of the Services under a PA to a Subcontractor, the Thermo Fisher Affiliate shall be responsible and retain primary liability for the performance of all obligations of Subcontractors.</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0"/>
        </w:rPr>
        <w:t>17.11.</w:t>
      </w:r>
      <w:r>
        <w:rPr>
          <w:rFonts w:ascii="Times New Roman" w:hAnsi="Times New Roman"/>
          <w:color w:val="000000"/>
          <w:sz w:val="20"/>
        </w:rPr>
        <w:t xml:space="preserve"> </w:t>
      </w:r>
      <w:r>
        <w:rPr>
          <w:rFonts w:ascii="Arial" w:hAnsi="Arial"/>
          <w:b/>
          <w:color w:val="000000"/>
          <w:sz w:val="20"/>
          <w:u w:val="single"/>
        </w:rPr>
        <w:t>Economic Sanctions, Trade Embargoes, Export Control</w:t>
      </w:r>
      <w:r>
        <w:rPr>
          <w:rFonts w:ascii="Arial" w:hAnsi="Arial"/>
          <w:color w:val="000000"/>
          <w:sz w:val="20"/>
        </w:rPr>
        <w:t>. Each Party represents and warrants that (i) neither it, its directors, officers, nor any entity or individual owning 50% or more</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Arial" w:hAnsi="Arial"/>
          <w:color w:val="000000"/>
          <w:sz w:val="20"/>
        </w:rPr>
      </w:pPr>
      <w:r>
        <w:rPr>
          <w:rFonts w:ascii="Arial" w:hAnsi="Arial"/>
          <w:color w:val="000000"/>
          <w:sz w:val="20"/>
        </w:rPr>
        <w:t>of the Party’s Company is subject to economic sanctions or trade embargoes; and (ii) each Party will not request the other Party to provide any services or supply products, technology, or services that would cause the other Party to violate economic sanctions or trade embargoes. Each Party will not request the other Party to export, re-export, distribute, or supply to: (a) any person or organization involved in the improper development or use of nuclear, chemical/biological weapons, missiles, or terrorist activities; or (b) any person or organization prohibited by the United States or any other government from receiving the subject product, technology, or services.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17.12.</w:t>
      </w:r>
      <w:r>
        <w:rPr>
          <w:rFonts w:ascii="Times New Roman" w:hAnsi="Times New Roman"/>
          <w:color w:val="000000"/>
          <w:sz w:val="20"/>
        </w:rPr>
        <w:t xml:space="preserve"> </w:t>
      </w:r>
      <w:r>
        <w:rPr>
          <w:rFonts w:ascii="Arial" w:hAnsi="Arial"/>
          <w:b/>
          <w:color w:val="000000"/>
          <w:sz w:val="20"/>
          <w:u w:val="single"/>
        </w:rPr>
        <w:t>Counterparts and Electronic Signature</w:t>
      </w:r>
      <w:r>
        <w:rPr>
          <w:rFonts w:ascii="Arial" w:hAnsi="Arial"/>
          <w:color w:val="000000"/>
          <w:sz w:val="20"/>
        </w:rPr>
        <w:t>. This MSA and any PA and any amendments may be executed in counterparts, by original or electronic (including “pdf”) signature, each of which shall be deemed an original.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17.13.</w:t>
      </w:r>
      <w:r>
        <w:rPr>
          <w:rFonts w:ascii="Times New Roman" w:hAnsi="Times New Roman"/>
          <w:color w:val="000000"/>
          <w:sz w:val="20"/>
        </w:rPr>
        <w:t xml:space="preserve"> </w:t>
      </w:r>
      <w:r>
        <w:rPr>
          <w:rFonts w:ascii="Arial" w:hAnsi="Arial"/>
          <w:b/>
          <w:color w:val="000000"/>
          <w:sz w:val="20"/>
          <w:u w:val="single"/>
        </w:rPr>
        <w:t xml:space="preserve">Entire Agreement. </w:t>
      </w:r>
      <w:r>
        <w:rPr>
          <w:rFonts w:ascii="Arial" w:hAnsi="Arial"/>
          <w:color w:val="000000"/>
          <w:sz w:val="20"/>
        </w:rPr>
        <w:t>This MSA constitutes the entire agreement between the Parties and their respective Affiliates and supersedes all prior agreements and understandings, whether written or oral, relating to the subject matter herein. In no event shall either Party’s standard terms and conditions incorporated by reference or otherwise in a purchase order, quotation or online terms be valid or binding for Services or products subject to this MSA. No amendment, change or modification to this MSA or any PA shall be effective unless in writing and executed by the applicable Thermo Fisher Affiliate and Arcturus Party thereto.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17.14.</w:t>
      </w:r>
      <w:r>
        <w:rPr>
          <w:rFonts w:ascii="Times New Roman" w:hAnsi="Times New Roman"/>
          <w:color w:val="000000"/>
          <w:sz w:val="20"/>
        </w:rPr>
        <w:t xml:space="preserve"> </w:t>
      </w:r>
      <w:r>
        <w:rPr>
          <w:rFonts w:ascii="Arial" w:hAnsi="Arial"/>
          <w:b/>
          <w:color w:val="000000"/>
          <w:sz w:val="20"/>
          <w:u w:val="single"/>
        </w:rPr>
        <w:t>Survival</w:t>
      </w:r>
      <w:r>
        <w:rPr>
          <w:rFonts w:ascii="Arial" w:hAnsi="Arial"/>
          <w:color w:val="000000"/>
          <w:sz w:val="20"/>
        </w:rPr>
        <w:t>. The expiration or termination of this MSA or any PA will not affect any rights or obligations that by their nature should or are specified herein to survive such expiration or termination.</w:t>
      </w:r>
    </w:p>
    <w:p>
      <w:pPr>
        <w:pStyle w:val="TextBody"/>
        <w:bidi w:val="0"/>
        <w:spacing w:before="0" w:after="160"/>
        <w:jc w:val="left"/>
        <w:rPr/>
      </w:pPr>
      <w:r>
        <w:rPr/>
        <w:t> </w:t>
      </w:r>
    </w:p>
    <w:p>
      <w:pPr>
        <w:pStyle w:val="TextBody"/>
        <w:bidi w:val="0"/>
        <w:spacing w:before="0" w:after="160"/>
        <w:jc w:val="left"/>
        <w:rPr>
          <w:rFonts w:ascii="Arial" w:hAnsi="Arial"/>
          <w:color w:val="000000"/>
          <w:sz w:val="20"/>
        </w:rPr>
      </w:pPr>
      <w:r>
        <w:rPr>
          <w:rFonts w:ascii="Arial" w:hAnsi="Arial"/>
          <w:color w:val="000000"/>
          <w:sz w:val="20"/>
        </w:rPr>
        <w:t>IN WITNESS WHEREOF, the Parties hereto have entered into this MSA as of the Effective Date.</w:t>
      </w:r>
    </w:p>
    <w:p>
      <w:pPr>
        <w:pStyle w:val="TextBody"/>
        <w:bidi w:val="0"/>
        <w:spacing w:before="0" w:after="160"/>
        <w:jc w:val="left"/>
        <w:rPr/>
      </w:pPr>
      <w:r>
        <w:rPr/>
        <w:t> </w:t>
      </w:r>
    </w:p>
    <w:tbl>
      <w:tblPr>
        <w:tblW w:w="7247" w:type="dxa"/>
        <w:jc w:val="left"/>
        <w:tblInd w:w="0" w:type="dxa"/>
        <w:tblLayout w:type="fixed"/>
        <w:tblCellMar>
          <w:top w:w="28" w:type="dxa"/>
          <w:left w:w="28" w:type="dxa"/>
          <w:bottom w:w="28" w:type="dxa"/>
          <w:right w:w="28" w:type="dxa"/>
        </w:tblCellMar>
      </w:tblPr>
      <w:tblGrid>
        <w:gridCol w:w="3316"/>
        <w:gridCol w:w="3931"/>
      </w:tblGrid>
      <w:tr>
        <w:trPr/>
        <w:tc>
          <w:tcPr>
            <w:tcW w:w="331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Thermo Fisher Scientific Inc.</w:t>
            </w:r>
          </w:p>
          <w:p>
            <w:pPr>
              <w:pStyle w:val="TableContents"/>
              <w:bidi w:val="0"/>
              <w:jc w:val="left"/>
              <w:rPr/>
            </w:pPr>
            <w:r>
              <w:rPr/>
              <w:t> </w:t>
            </w:r>
          </w:p>
          <w:p>
            <w:pPr>
              <w:pStyle w:val="TableContents"/>
              <w:bidi w:val="0"/>
              <w:jc w:val="left"/>
              <w:rPr>
                <w:rFonts w:ascii="Times New Roman" w:hAnsi="Times New Roman"/>
                <w:sz w:val="22"/>
              </w:rPr>
            </w:pPr>
            <w:r>
              <w:rPr>
                <w:rFonts w:ascii="Arial" w:hAnsi="Arial"/>
                <w:color w:val="000000"/>
                <w:sz w:val="20"/>
              </w:rPr>
              <w:t>By: ___________________________</w:t>
            </w:r>
            <w:r>
              <w:rPr>
                <w:rFonts w:ascii="sans-serif" w:hAnsi="sans-serif"/>
                <w:color w:val="000000"/>
                <w:sz w:val="22"/>
              </w:rPr>
              <w:br/>
            </w:r>
            <w:r>
              <w:rPr>
                <w:rFonts w:ascii="Arial" w:hAnsi="Arial"/>
                <w:color w:val="000000"/>
                <w:sz w:val="20"/>
              </w:rPr>
              <w:t>Name:</w:t>
            </w:r>
            <w:r>
              <w:rPr>
                <w:rFonts w:ascii="Times New Roman" w:hAnsi="Times New Roman"/>
                <w:color w:val="000000"/>
                <w:sz w:val="22"/>
              </w:rPr>
              <w:t xml:space="preserve"> </w:t>
            </w:r>
          </w:p>
          <w:p>
            <w:pPr>
              <w:pStyle w:val="TableContents"/>
              <w:bidi w:val="0"/>
              <w:jc w:val="left"/>
              <w:rPr>
                <w:rFonts w:ascii="Times New Roman" w:hAnsi="Times New Roman"/>
                <w:sz w:val="20"/>
              </w:rPr>
            </w:pPr>
            <w:r>
              <w:rPr>
                <w:rFonts w:ascii="Arial" w:hAnsi="Arial"/>
                <w:color w:val="000000"/>
                <w:sz w:val="20"/>
              </w:rPr>
              <w:t>Title:</w:t>
            </w:r>
            <w:r>
              <w:rPr>
                <w:rFonts w:ascii="Times New Roman" w:hAnsi="Times New Roman"/>
                <w:color w:val="000000"/>
                <w:sz w:val="20"/>
              </w:rPr>
              <w:t xml:space="preserve"> </w:t>
            </w:r>
          </w:p>
          <w:p>
            <w:pPr>
              <w:pStyle w:val="TableContents"/>
              <w:bidi w:val="0"/>
              <w:spacing w:before="0" w:after="283"/>
              <w:jc w:val="left"/>
              <w:rPr>
                <w:rFonts w:ascii="Arial" w:hAnsi="Arial"/>
                <w:color w:val="000000"/>
                <w:sz w:val="20"/>
              </w:rPr>
            </w:pPr>
            <w:r>
              <w:rPr>
                <w:rFonts w:ascii="Arial" w:hAnsi="Arial"/>
                <w:color w:val="000000"/>
                <w:sz w:val="20"/>
              </w:rPr>
              <w:t>Date:</w:t>
            </w:r>
          </w:p>
        </w:tc>
        <w:tc>
          <w:tcPr>
            <w:tcW w:w="393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Arial" w:hAnsi="Arial"/>
                <w:b/>
                <w:color w:val="000000"/>
                <w:sz w:val="20"/>
              </w:rPr>
              <w:t>Arcturus Therapeutics, Inc.</w:t>
            </w:r>
            <w:r>
              <w:rPr>
                <w:rFonts w:ascii="sans-serif" w:hAnsi="sans-serif"/>
                <w:color w:val="000000"/>
                <w:sz w:val="22"/>
              </w:rPr>
              <w:br/>
            </w:r>
            <w:r>
              <w:rPr>
                <w:rFonts w:ascii="Times New Roman" w:hAnsi="Times New Roman"/>
                <w:color w:val="000000"/>
                <w:sz w:val="22"/>
              </w:rPr>
              <w:t> </w:t>
            </w:r>
          </w:p>
          <w:p>
            <w:pPr>
              <w:pStyle w:val="TableContents"/>
              <w:bidi w:val="0"/>
              <w:jc w:val="left"/>
              <w:rPr>
                <w:rFonts w:ascii="Times New Roman" w:hAnsi="Times New Roman"/>
                <w:sz w:val="22"/>
              </w:rPr>
            </w:pPr>
            <w:r>
              <w:rPr>
                <w:rFonts w:ascii="Arial" w:hAnsi="Arial"/>
                <w:color w:val="000000"/>
                <w:sz w:val="20"/>
              </w:rPr>
              <w:t>By: ___________________________</w:t>
            </w:r>
            <w:r>
              <w:rPr>
                <w:rFonts w:ascii="sans-serif" w:hAnsi="sans-serif"/>
                <w:color w:val="000000"/>
                <w:sz w:val="22"/>
              </w:rPr>
              <w:br/>
            </w:r>
            <w:r>
              <w:rPr>
                <w:rFonts w:ascii="Arial" w:hAnsi="Arial"/>
                <w:color w:val="000000"/>
                <w:sz w:val="20"/>
              </w:rPr>
              <w:t>Name: Joe Payne</w:t>
            </w:r>
            <w:r>
              <w:rPr>
                <w:rFonts w:ascii="sans-serif" w:hAnsi="sans-serif"/>
                <w:color w:val="000000"/>
                <w:sz w:val="22"/>
              </w:rPr>
              <w:br/>
            </w:r>
            <w:r>
              <w:rPr>
                <w:rFonts w:ascii="Arial" w:hAnsi="Arial"/>
                <w:color w:val="000000"/>
                <w:sz w:val="20"/>
              </w:rPr>
              <w:t>Title: President and Chief Executive Officer</w:t>
            </w:r>
          </w:p>
          <w:p>
            <w:pPr>
              <w:pStyle w:val="TableContents"/>
              <w:bidi w:val="0"/>
              <w:spacing w:before="0" w:after="283"/>
              <w:jc w:val="left"/>
              <w:rPr>
                <w:rFonts w:ascii="Arial" w:hAnsi="Arial"/>
                <w:color w:val="000000"/>
                <w:sz w:val="20"/>
              </w:rPr>
            </w:pPr>
            <w:r>
              <w:rPr>
                <w:rFonts w:ascii="Arial" w:hAnsi="Arial"/>
                <w:color w:val="000000"/>
                <w:sz w:val="20"/>
              </w:rPr>
              <w:t>Date: June 26, 2026</w:t>
            </w:r>
          </w:p>
        </w:tc>
      </w:tr>
    </w:tbl>
    <w:p>
      <w:pPr>
        <w:pStyle w:val="TextBody"/>
        <w:bidi w:val="0"/>
        <w:jc w:val="left"/>
        <w:rPr/>
      </w:pPr>
      <w:r>
        <w:rPr/>
        <w:t> </w:t>
      </w:r>
    </w:p>
    <w:p>
      <w:pPr>
        <w:pStyle w:val="TextBody"/>
        <w:bidi w:val="0"/>
        <w:jc w:val="left"/>
        <w:rPr/>
      </w:pPr>
      <w:r>
        <w:rPr/>
        <w:drawing>
          <wp:inline distT="0" distB="0" distL="0" distR="0">
            <wp:extent cx="590550" cy="561975"/>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55"/>
                    <a:stretch>
                      <a:fillRect/>
                    </a:stretch>
                  </pic:blipFill>
                  <pic:spPr bwMode="auto">
                    <a:xfrm>
                      <a:off x="0" y="0"/>
                      <a:ext cx="590550" cy="5619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160"/>
        <w:jc w:val="center"/>
        <w:rPr>
          <w:rFonts w:ascii="Arial" w:hAnsi="Arial"/>
          <w:b/>
          <w:color w:val="000000"/>
          <w:sz w:val="20"/>
          <w:u w:val="single"/>
        </w:rPr>
      </w:pPr>
      <w:r>
        <w:rPr>
          <w:rFonts w:ascii="Arial" w:hAnsi="Arial"/>
          <w:b/>
          <w:color w:val="000000"/>
          <w:sz w:val="20"/>
          <w:u w:val="single"/>
        </w:rPr>
        <w:t>Annex 1</w:t>
      </w:r>
    </w:p>
    <w:p>
      <w:pPr>
        <w:pStyle w:val="TextBody"/>
        <w:bidi w:val="0"/>
        <w:spacing w:before="0" w:after="160"/>
        <w:jc w:val="center"/>
        <w:rPr>
          <w:rFonts w:ascii="Times New Roman" w:hAnsi="Times New Roman"/>
          <w:sz w:val="20"/>
        </w:rPr>
      </w:pPr>
      <w:r>
        <w:rPr>
          <w:rFonts w:ascii="Arial" w:hAnsi="Arial"/>
          <w:b/>
          <w:color w:val="000000"/>
          <w:sz w:val="20"/>
          <w:u w:val="single"/>
        </w:rPr>
        <w:t>CRO Services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160"/>
        <w:jc w:val="center"/>
        <w:rPr>
          <w:rFonts w:ascii="Arial" w:hAnsi="Arial"/>
          <w:b/>
          <w:color w:val="000000"/>
          <w:sz w:val="20"/>
          <w:u w:val="single"/>
        </w:rPr>
      </w:pPr>
      <w:r>
        <w:rPr>
          <w:rFonts w:ascii="Arial" w:hAnsi="Arial"/>
          <w:b/>
          <w:color w:val="000000"/>
          <w:sz w:val="20"/>
          <w:u w:val="single"/>
        </w:rPr>
        <w:t>Annex 2</w:t>
      </w:r>
    </w:p>
    <w:p>
      <w:pPr>
        <w:pStyle w:val="TextBody"/>
        <w:bidi w:val="0"/>
        <w:spacing w:before="0" w:after="160"/>
        <w:jc w:val="center"/>
        <w:rPr>
          <w:rFonts w:ascii="Arial" w:hAnsi="Arial"/>
          <w:b/>
          <w:color w:val="000000"/>
          <w:sz w:val="20"/>
          <w:u w:val="single"/>
        </w:rPr>
      </w:pPr>
      <w:r>
        <w:rPr>
          <w:rFonts w:ascii="Arial" w:hAnsi="Arial"/>
          <w:b/>
          <w:color w:val="000000"/>
          <w:sz w:val="20"/>
          <w:u w:val="single"/>
        </w:rPr>
        <w:t>CDMO Services</w:t>
      </w:r>
    </w:p>
    <w:p>
      <w:pPr>
        <w:pStyle w:val="TextBody"/>
        <w:bidi w:val="0"/>
        <w:spacing w:before="0" w:after="160"/>
        <w:jc w:val="left"/>
        <w:rPr/>
      </w:pPr>
      <w:r>
        <w:rPr/>
        <w:t> </w:t>
      </w:r>
    </w:p>
    <w:p>
      <w:pPr>
        <w:pStyle w:val="TextBody"/>
        <w:bidi w:val="0"/>
        <w:spacing w:before="0" w:after="160"/>
        <w:jc w:val="both"/>
        <w:rPr>
          <w:rFonts w:ascii="Arial" w:hAnsi="Arial"/>
          <w:color w:val="000000"/>
          <w:sz w:val="20"/>
        </w:rPr>
      </w:pPr>
      <w:r>
        <w:rPr>
          <w:rFonts w:ascii="Arial" w:hAnsi="Arial"/>
          <w:color w:val="000000"/>
          <w:sz w:val="20"/>
        </w:rPr>
        <w:t>[***]</w:t>
      </w:r>
    </w:p>
    <w:p>
      <w:pPr>
        <w:pStyle w:val="TextBody"/>
        <w:bidi w:val="0"/>
        <w:spacing w:before="0" w:after="160"/>
        <w:jc w:val="both"/>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ANNEX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RISK-SHARING SIDE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Risk-Sharing Side Agreement</w:t>
      </w:r>
      <w:r>
        <w:rPr>
          <w:rFonts w:ascii="Times New Roman" w:hAnsi="Times New Roman"/>
          <w:b/>
          <w:color w:val="000000"/>
          <w:sz w:val="24"/>
        </w:rPr>
        <w:t xml:space="preserve">("Side Agreement") </w:t>
      </w:r>
      <w:r>
        <w:rPr>
          <w:rFonts w:ascii="Times New Roman" w:hAnsi="Times New Roman"/>
          <w:color w:val="000000"/>
          <w:sz w:val="24"/>
        </w:rPr>
        <w:t>is entered into as of</w:t>
      </w:r>
      <w:r>
        <w:rPr>
          <w:rFonts w:ascii="Times New Roman" w:hAnsi="Times New Roman"/>
          <w:smallCaps/>
          <w:color w:val="000000"/>
          <w:sz w:val="20"/>
        </w:rPr>
        <w:t xml:space="preserve"> </w:t>
      </w:r>
      <w:r>
        <w:rPr>
          <w:rFonts w:ascii="Times New Roman" w:hAnsi="Times New Roman"/>
          <w:color w:val="000000"/>
          <w:sz w:val="24"/>
        </w:rPr>
        <w:t xml:space="preserve">June 26, 2026 (the </w:t>
      </w:r>
      <w:r>
        <w:rPr>
          <w:rFonts w:ascii="Times New Roman" w:hAnsi="Times New Roman"/>
          <w:color w:val="000000"/>
          <w:sz w:val="20"/>
        </w:rPr>
        <w:t>“</w:t>
      </w:r>
      <w:r>
        <w:rPr>
          <w:rFonts w:ascii="Times New Roman" w:hAnsi="Times New Roman"/>
          <w:b/>
          <w:color w:val="000000"/>
          <w:sz w:val="24"/>
        </w:rPr>
        <w:t>Effective Date”</w:t>
      </w:r>
      <w:r>
        <w:rPr>
          <w:rFonts w:ascii="Times New Roman" w:hAnsi="Times New Roman"/>
          <w:color w:val="000000"/>
          <w:sz w:val="24"/>
        </w:rPr>
        <w:t>), by and between</w:t>
      </w:r>
      <w:r>
        <w:rPr>
          <w:rFonts w:ascii="Times New Roman" w:hAnsi="Times New Roman"/>
          <w:smallCaps/>
          <w:color w:val="000000"/>
          <w:sz w:val="20"/>
        </w:rPr>
        <w:t xml:space="preserve"> </w:t>
      </w:r>
      <w:r>
        <w:rPr>
          <w:rFonts w:ascii="Times New Roman" w:hAnsi="Times New Roman"/>
          <w:b/>
          <w:color w:val="000000"/>
          <w:sz w:val="24"/>
        </w:rPr>
        <w:t>Arcturus Therapeutics, Inc</w:t>
      </w:r>
      <w:r>
        <w:rPr>
          <w:rFonts w:ascii="Times New Roman" w:hAnsi="Times New Roman"/>
          <w:b/>
          <w:smallCaps/>
          <w:color w:val="000000"/>
          <w:sz w:val="24"/>
        </w:rPr>
        <w:t>.</w:t>
      </w:r>
      <w:r>
        <w:rPr>
          <w:rFonts w:ascii="Times New Roman" w:hAnsi="Times New Roman"/>
          <w:color w:val="000000"/>
          <w:sz w:val="24"/>
        </w:rPr>
        <w:t>, a Delaware corporation, having its principal office at 10285 Science Center Drive, San Diego, California 92121, (</w:t>
      </w:r>
      <w:r>
        <w:rPr>
          <w:rFonts w:ascii="Times New Roman" w:hAnsi="Times New Roman"/>
          <w:color w:val="000000"/>
          <w:sz w:val="20"/>
        </w:rPr>
        <w:t>“</w:t>
      </w:r>
      <w:r>
        <w:rPr>
          <w:rFonts w:ascii="Times New Roman" w:hAnsi="Times New Roman"/>
          <w:b/>
          <w:color w:val="000000"/>
          <w:sz w:val="24"/>
        </w:rPr>
        <w:t>Arcturus”</w:t>
      </w:r>
      <w:r>
        <w:rPr>
          <w:rFonts w:ascii="Times New Roman" w:hAnsi="Times New Roman"/>
          <w:color w:val="000000"/>
          <w:sz w:val="24"/>
        </w:rPr>
        <w:t xml:space="preserve">), and </w:t>
      </w:r>
      <w:r>
        <w:rPr>
          <w:rFonts w:ascii="Times New Roman" w:hAnsi="Times New Roman"/>
          <w:b/>
          <w:color w:val="000000"/>
          <w:sz w:val="24"/>
        </w:rPr>
        <w:t>Thermo Fisher Scientific, Inc</w:t>
      </w:r>
      <w:r>
        <w:rPr>
          <w:rFonts w:ascii="Times New Roman" w:hAnsi="Times New Roman"/>
          <w:b/>
          <w:smallCaps/>
          <w:color w:val="000000"/>
          <w:sz w:val="24"/>
        </w:rPr>
        <w:t>.</w:t>
      </w:r>
      <w:r>
        <w:rPr>
          <w:rFonts w:ascii="Times New Roman" w:hAnsi="Times New Roman"/>
          <w:smallCaps/>
          <w:color w:val="000000"/>
          <w:sz w:val="24"/>
        </w:rPr>
        <w:t>,</w:t>
      </w:r>
      <w:r>
        <w:rPr>
          <w:rFonts w:ascii="Times New Roman" w:hAnsi="Times New Roman"/>
          <w:color w:val="000000"/>
          <w:sz w:val="24"/>
        </w:rPr>
        <w:t>a Delaware corporation, having its principal place of business at 168 Third Avenue, Waltham, Massachusetts 02451 (</w:t>
      </w:r>
      <w:r>
        <w:rPr>
          <w:rFonts w:ascii="Times New Roman" w:hAnsi="Times New Roman"/>
          <w:color w:val="000000"/>
          <w:sz w:val="20"/>
        </w:rPr>
        <w:t>“</w:t>
      </w:r>
      <w:r>
        <w:rPr>
          <w:rFonts w:ascii="Times New Roman" w:hAnsi="Times New Roman"/>
          <w:b/>
          <w:color w:val="000000"/>
          <w:sz w:val="24"/>
        </w:rPr>
        <w:t>Thermo Fisher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this Side Agreement establishes the general business terms and framework governing the Parties’ collaboration pursuant to which Thermo Fisher will provide certain manufacturing services to Arcturus and in turn, Arcturus will engage the Pharmaceutical Product Development Affiliate of Thermo Fisher (“</w:t>
      </w:r>
      <w:r>
        <w:rPr>
          <w:rFonts w:ascii="Times New Roman" w:hAnsi="Times New Roman"/>
          <w:b/>
          <w:color w:val="000000"/>
          <w:sz w:val="24"/>
        </w:rPr>
        <w:t>PPD</w:t>
      </w:r>
      <w:r>
        <w:rPr>
          <w:rFonts w:ascii="Times New Roman" w:hAnsi="Times New Roman"/>
          <w:color w:val="000000"/>
          <w:sz w:val="20"/>
        </w:rPr>
        <w:t>”</w:t>
      </w:r>
      <w:r>
        <w:rPr>
          <w:rFonts w:ascii="Times New Roman" w:hAnsi="Times New Roman"/>
          <w:color w:val="000000"/>
          <w:sz w:val="24"/>
        </w:rPr>
        <w:t>) for the conduct of its ARCT-032 Phase 3 Clinical Trial (defined below) and OLE clinical study. If the Clinical Trial is approved, Arcturus will grant to Thermo Fisher certain commercial exclusivity for commercial manufacturing for a certain term.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this Side Agreement is subject to, and governed by, the Master Services Agreement between the Parties dated June 26, 2026 (the "</w:t>
      </w:r>
      <w:r>
        <w:rPr>
          <w:rFonts w:ascii="Times New Roman" w:hAnsi="Times New Roman"/>
          <w:b/>
          <w:color w:val="000000"/>
          <w:sz w:val="24"/>
        </w:rPr>
        <w:t>MSA</w:t>
      </w:r>
      <w:r>
        <w:rPr>
          <w:rFonts w:ascii="Times New Roman" w:hAnsi="Times New Roman"/>
          <w:color w:val="000000"/>
          <w:sz w:val="24"/>
        </w:rPr>
        <w:t>"), which is being executed concurrently herewith.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further intend to enter into a commercial supply agreement at a later date for the commercial manufacture of the Clinical Product (as defined below in Section 1.4) following completion of the Clinical Trial.</w:t>
      </w:r>
    </w:p>
    <w:p>
      <w:pPr>
        <w:pStyle w:val="TextBody"/>
        <w:bidi w:val="0"/>
        <w:spacing w:before="0" w:after="240"/>
        <w:jc w:val="left"/>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4"/>
        </w:rPr>
        <w:t>in consideration of the foregoing premises and the mutual covenants set forth herein, and for other good and valuable consideration, the receipt and sufficiency of which are hereby acknowledged, the Parties hereby agree as follows:</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ARTICLE 1 DEFINITIONS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acknowledge that this Side Agreement includes definitions that may also appear in the MSA. To the extent a defined term appears in both the MSA and this Side Agreement, the definition set forth in this Side Agreement shall apply and be included in any applicable Project Addendum related to the Services set forth herein and provided that such definition is more specific or detailed.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Agreement Term</w:t>
      </w:r>
      <w:r>
        <w:rPr>
          <w:rFonts w:ascii="Times New Roman" w:hAnsi="Times New Roman"/>
          <w:color w:val="000000"/>
          <w:sz w:val="24"/>
        </w:rPr>
        <w:t xml:space="preserve">" has the meaning set forth in Section 9.1.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color w:val="000000"/>
        </w:rPr>
        <w:t>“</w:t>
      </w:r>
      <w:r>
        <w:rPr>
          <w:rFonts w:ascii="Times New Roman" w:hAnsi="Times New Roman"/>
          <w:b/>
          <w:color w:val="000000"/>
          <w:sz w:val="24"/>
        </w:rPr>
        <w:t>Approval Date</w:t>
      </w:r>
      <w:r>
        <w:rPr>
          <w:color w:val="000000"/>
        </w:rPr>
        <w:t xml:space="preserve">” </w:t>
      </w:r>
      <w:r>
        <w:rPr>
          <w:rFonts w:ascii="Times New Roman" w:hAnsi="Times New Roman"/>
          <w:color w:val="000000"/>
          <w:sz w:val="24"/>
        </w:rPr>
        <w:t xml:space="preserve">means the date that Arcturus first receives Regulatory Approval in the United States.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color w:val="000000"/>
        </w:rPr>
        <w:t>“</w:t>
      </w:r>
      <w:r>
        <w:rPr>
          <w:rFonts w:ascii="Times New Roman" w:hAnsi="Times New Roman"/>
          <w:b/>
          <w:color w:val="000000"/>
          <w:sz w:val="24"/>
        </w:rPr>
        <w:t>Arcturus Materials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Exhibit A-1</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color w:val="000000"/>
        </w:rPr>
        <w:t>“</w:t>
      </w:r>
      <w:r>
        <w:rPr>
          <w:rFonts w:ascii="Times New Roman" w:hAnsi="Times New Roman"/>
          <w:b/>
          <w:color w:val="000000"/>
          <w:sz w:val="24"/>
        </w:rPr>
        <w:t>Clinical Product</w:t>
      </w:r>
      <w:r>
        <w:rPr>
          <w:color w:val="000000"/>
        </w:rPr>
        <w:t xml:space="preserve">” </w:t>
      </w:r>
      <w:r>
        <w:rPr>
          <w:rFonts w:ascii="Times New Roman" w:hAnsi="Times New Roman"/>
          <w:color w:val="000000"/>
          <w:sz w:val="24"/>
        </w:rPr>
        <w:t>means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color w:val="000000"/>
        </w:rPr>
        <w:t>“</w:t>
      </w:r>
      <w:r>
        <w:rPr>
          <w:rFonts w:ascii="Times New Roman" w:hAnsi="Times New Roman"/>
          <w:b/>
          <w:color w:val="000000"/>
          <w:sz w:val="24"/>
        </w:rPr>
        <w:t>Clinical Trial</w:t>
      </w:r>
      <w:r>
        <w:rPr>
          <w:color w:val="000000"/>
        </w:rPr>
        <w:t xml:space="preserve">” </w:t>
      </w:r>
      <w:r>
        <w:rPr>
          <w:rFonts w:ascii="Times New Roman" w:hAnsi="Times New Roman"/>
          <w:color w:val="000000"/>
          <w:sz w:val="24"/>
        </w:rPr>
        <w:t>means the Phase 3 ARCT-032-02 clinical trial as described in the Protocol and shall include any clinical study (“</w:t>
      </w:r>
      <w:r>
        <w:rPr>
          <w:rFonts w:ascii="Times New Roman" w:hAnsi="Times New Roman"/>
          <w:b/>
          <w:color w:val="000000"/>
          <w:sz w:val="24"/>
        </w:rPr>
        <w:t>Clinical Study or “Study</w:t>
      </w:r>
      <w:r>
        <w:rPr>
          <w:color w:val="000000"/>
        </w:rPr>
        <w:t>”</w:t>
      </w:r>
      <w:r>
        <w:rPr>
          <w:rFonts w:ascii="Times New Roman" w:hAnsi="Times New Roman"/>
          <w:color w:val="000000"/>
          <w:sz w:val="24"/>
        </w:rPr>
        <w:t>) conducted pursuant thereto.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color w:val="000000"/>
        </w:rPr>
        <w:t>“</w:t>
      </w:r>
      <w:r>
        <w:rPr>
          <w:rFonts w:ascii="Times New Roman" w:hAnsi="Times New Roman"/>
          <w:b/>
          <w:color w:val="000000"/>
          <w:sz w:val="24"/>
        </w:rPr>
        <w:t>Clinical Manufacturing Services</w:t>
      </w:r>
      <w:r>
        <w:rPr>
          <w:color w:val="000000"/>
        </w:rPr>
        <w:t xml:space="preserve">” </w:t>
      </w:r>
      <w:r>
        <w:rPr>
          <w:rFonts w:ascii="Times New Roman" w:hAnsi="Times New Roman"/>
          <w:color w:val="000000"/>
          <w:sz w:val="24"/>
        </w:rPr>
        <w:t>means the manufacture and supply of Clinical Product and related clinical supply services, including, as applicable,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color w:val="000000"/>
        </w:rPr>
        <w:t>“</w:t>
      </w:r>
      <w:r>
        <w:rPr>
          <w:rFonts w:ascii="Times New Roman" w:hAnsi="Times New Roman"/>
          <w:b/>
          <w:color w:val="000000"/>
          <w:sz w:val="24"/>
        </w:rPr>
        <w:t>Commercial Manufacturing Services</w:t>
      </w:r>
      <w:r>
        <w:rPr>
          <w:color w:val="000000"/>
        </w:rPr>
        <w:t xml:space="preserve">” </w:t>
      </w:r>
      <w:r>
        <w:rPr>
          <w:rFonts w:ascii="Times New Roman" w:hAnsi="Times New Roman"/>
          <w:color w:val="000000"/>
          <w:sz w:val="24"/>
        </w:rPr>
        <w:t>means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color w:val="000000"/>
        </w:rPr>
        <w:t>“</w:t>
      </w:r>
      <w:r>
        <w:rPr>
          <w:rFonts w:ascii="Times New Roman" w:hAnsi="Times New Roman"/>
          <w:b/>
          <w:color w:val="000000"/>
          <w:sz w:val="24"/>
        </w:rPr>
        <w:t>Commercial Product</w:t>
      </w:r>
      <w:r>
        <w:rPr>
          <w:color w:val="000000"/>
        </w:rPr>
        <w:t xml:space="preserve">” </w:t>
      </w:r>
      <w:r>
        <w:rPr>
          <w:rFonts w:ascii="Times New Roman" w:hAnsi="Times New Roman"/>
          <w:color w:val="000000"/>
          <w:sz w:val="24"/>
        </w:rPr>
        <w:t>means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pPr>
      <w:r>
        <w:rPr>
          <w:color w:val="000000"/>
        </w:rPr>
        <w:t>“</w:t>
      </w:r>
      <w:r>
        <w:rPr>
          <w:rFonts w:ascii="Times New Roman" w:hAnsi="Times New Roman"/>
          <w:b/>
          <w:color w:val="000000"/>
          <w:sz w:val="24"/>
        </w:rPr>
        <w:t>Commercial Supply Agreement</w:t>
      </w:r>
      <w:r>
        <w:rPr>
          <w:color w:val="000000"/>
        </w:rPr>
        <w:t xml:space="preserve">” </w:t>
      </w:r>
      <w:r>
        <w:rPr>
          <w:rFonts w:ascii="Times New Roman" w:hAnsi="Times New Roman"/>
          <w:color w:val="000000"/>
          <w:sz w:val="24"/>
        </w:rPr>
        <w:t>has the meaning set forth in Section 2.3.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1.10.</w:t>
      </w:r>
    </w:p>
    <w:p>
      <w:pPr>
        <w:pStyle w:val="TextBody"/>
        <w:bidi w:val="0"/>
        <w:spacing w:before="0" w:after="240"/>
        <w:jc w:val="left"/>
        <w:rPr/>
      </w:pPr>
      <w:r>
        <w:rPr>
          <w:color w:val="000000"/>
        </w:rPr>
        <w:t>“</w:t>
      </w:r>
      <w:r>
        <w:rPr>
          <w:rFonts w:ascii="Times New Roman" w:hAnsi="Times New Roman"/>
          <w:b/>
          <w:color w:val="000000"/>
          <w:sz w:val="24"/>
        </w:rPr>
        <w:t>Credit</w:t>
      </w:r>
      <w:r>
        <w:rPr>
          <w:color w:val="000000"/>
        </w:rPr>
        <w:t xml:space="preserve">” </w:t>
      </w:r>
      <w:r>
        <w:rPr>
          <w:rFonts w:ascii="Times New Roman" w:hAnsi="Times New Roman"/>
          <w:color w:val="000000"/>
          <w:sz w:val="24"/>
        </w:rPr>
        <w:t>has the meaning set forth in Section 8.2.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left"/>
        <w:rPr/>
      </w:pPr>
      <w:r>
        <w:rPr>
          <w:color w:val="000000"/>
        </w:rPr>
        <w:t>“</w:t>
      </w:r>
      <w:r>
        <w:rPr>
          <w:rFonts w:ascii="Times New Roman" w:hAnsi="Times New Roman"/>
          <w:b/>
          <w:color w:val="000000"/>
          <w:sz w:val="24"/>
        </w:rPr>
        <w:t>CRO Deadline</w:t>
      </w:r>
      <w:r>
        <w:rPr>
          <w:color w:val="000000"/>
        </w:rPr>
        <w:t xml:space="preserve">” </w:t>
      </w:r>
      <w:r>
        <w:rPr>
          <w:rFonts w:ascii="Times New Roman" w:hAnsi="Times New Roman"/>
          <w:color w:val="000000"/>
          <w:sz w:val="24"/>
        </w:rPr>
        <w:t>has the meaning set forth in Section 6.2.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left"/>
        <w:rPr/>
      </w:pPr>
      <w:r>
        <w:rPr>
          <w:color w:val="000000"/>
        </w:rPr>
        <w:t>“</w:t>
      </w:r>
      <w:r>
        <w:rPr>
          <w:rFonts w:ascii="Times New Roman" w:hAnsi="Times New Roman"/>
          <w:b/>
          <w:color w:val="000000"/>
          <w:sz w:val="24"/>
        </w:rPr>
        <w:t>CRO Match</w:t>
      </w:r>
      <w:r>
        <w:rPr>
          <w:color w:val="000000"/>
        </w:rPr>
        <w:t xml:space="preserve">” </w:t>
      </w:r>
      <w:r>
        <w:rPr>
          <w:rFonts w:ascii="Times New Roman" w:hAnsi="Times New Roman"/>
          <w:color w:val="000000"/>
          <w:sz w:val="24"/>
        </w:rPr>
        <w:t>has the meaning set forth in Section 3.2.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1.13.</w:t>
      </w:r>
    </w:p>
    <w:p>
      <w:pPr>
        <w:pStyle w:val="TextBody"/>
        <w:bidi w:val="0"/>
        <w:jc w:val="left"/>
        <w:rPr/>
      </w:pPr>
      <w:r>
        <w:rPr>
          <w:color w:val="000000"/>
        </w:rPr>
        <w:t>“</w:t>
      </w:r>
      <w:r>
        <w:rPr>
          <w:rFonts w:ascii="Times New Roman" w:hAnsi="Times New Roman"/>
          <w:b/>
          <w:color w:val="000000"/>
          <w:sz w:val="24"/>
        </w:rPr>
        <w:t>CRO Services</w:t>
      </w:r>
      <w:r>
        <w:rPr>
          <w:color w:val="000000"/>
        </w:rPr>
        <w:t xml:space="preserve">” </w:t>
      </w:r>
      <w:r>
        <w:rPr>
          <w:rFonts w:ascii="Times New Roman" w:hAnsi="Times New Roman"/>
          <w:color w:val="000000"/>
          <w:sz w:val="24"/>
        </w:rPr>
        <w:t>means all clinical research organization services provided by Thermo Fisher’s Affiliate PPD or PPD’s Affiliates in connection with the Phase 3 Clinical Trial and the OLE Study.</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left"/>
        <w:rPr/>
      </w:pPr>
      <w:r>
        <w:rPr>
          <w:color w:val="000000"/>
        </w:rPr>
        <w:t>“</w:t>
      </w:r>
      <w:r>
        <w:rPr>
          <w:rFonts w:ascii="Times New Roman" w:hAnsi="Times New Roman"/>
          <w:b/>
          <w:color w:val="000000"/>
          <w:sz w:val="24"/>
        </w:rPr>
        <w:t>Deficient Services</w:t>
      </w:r>
      <w:r>
        <w:rPr>
          <w:color w:val="000000"/>
        </w:rPr>
        <w:t xml:space="preserve">” </w:t>
      </w:r>
      <w:r>
        <w:rPr>
          <w:rFonts w:ascii="Times New Roman" w:hAnsi="Times New Roman"/>
          <w:color w:val="000000"/>
          <w:sz w:val="24"/>
        </w:rPr>
        <w:t>has the meaning set forth in Section 6.9.4.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left"/>
        <w:rPr/>
      </w:pPr>
      <w:r>
        <w:rPr>
          <w:color w:val="000000"/>
        </w:rPr>
        <w:t>“</w:t>
      </w:r>
      <w:r>
        <w:rPr>
          <w:rFonts w:ascii="Times New Roman" w:hAnsi="Times New Roman"/>
          <w:b/>
          <w:color w:val="000000"/>
          <w:sz w:val="24"/>
        </w:rPr>
        <w:t>Engineering Run</w:t>
      </w:r>
      <w:r>
        <w:rPr>
          <w:color w:val="000000"/>
        </w:rPr>
        <w:t xml:space="preserve">” </w:t>
      </w:r>
      <w:r>
        <w:rPr>
          <w:rFonts w:ascii="Times New Roman" w:hAnsi="Times New Roman"/>
          <w:color w:val="000000"/>
          <w:sz w:val="24"/>
        </w:rPr>
        <w:t>means the technology transfer, process implementation, manufacture, packaging, labeling, testing, release support, stability activities, validation-related activities, storage, and supply of Clinical Product by Thermo Fisher for use in the Phase 3 Clinical Trial, OLE Studies, or other agreed clinical or development activities. Manufacturing Services may include, as applicable, the manufacture and supply 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Product;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placebo;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Product for OLE Studies;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other agreed clinical trial materials, in each case as set forth in the applicable Project Addendum, Quality Agreement, or other written agreement between the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left"/>
        <w:rPr/>
      </w:pPr>
      <w:r>
        <w:rPr>
          <w:color w:val="000000"/>
        </w:rPr>
        <w:t>“</w:t>
      </w:r>
      <w:r>
        <w:rPr>
          <w:rFonts w:ascii="Times New Roman" w:hAnsi="Times New Roman"/>
          <w:b/>
          <w:color w:val="000000"/>
          <w:sz w:val="24"/>
        </w:rPr>
        <w:t>Excluded Services</w:t>
      </w:r>
      <w:r>
        <w:rPr>
          <w:color w:val="000000"/>
        </w:rPr>
        <w:t xml:space="preserve">” </w:t>
      </w:r>
      <w:r>
        <w:rPr>
          <w:rFonts w:ascii="Times New Roman" w:hAnsi="Times New Roman"/>
          <w:color w:val="000000"/>
          <w:sz w:val="24"/>
        </w:rPr>
        <w:t>has the meaning set forth in Section 6.4.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Go Decision</w:t>
      </w:r>
      <w:r>
        <w:rPr>
          <w:rFonts w:ascii="Times New Roman" w:hAnsi="Times New Roman"/>
          <w:color w:val="000000"/>
          <w:sz w:val="24"/>
        </w:rPr>
        <w:t>" means the written confirmation issued by Arcturus to Thermo Fisher that, based on data from the Phase 2 ARCT-032-02 Study and Arcturus’ internal review, Arcturus elects to advance the Product into the Phase 3 Clinical Trial and Arcturus delivery to Thermo Fisher of the completed Protocol for the Phase 3 Clinical Trial.</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left"/>
        <w:rPr/>
      </w:pPr>
      <w:r>
        <w:rPr>
          <w:color w:val="000000"/>
        </w:rPr>
        <w:t>“</w:t>
      </w:r>
      <w:r>
        <w:rPr>
          <w:rFonts w:ascii="Times New Roman" w:hAnsi="Times New Roman"/>
          <w:b/>
          <w:color w:val="000000"/>
          <w:sz w:val="24"/>
        </w:rPr>
        <w:t>Key Employees</w:t>
      </w:r>
      <w:r>
        <w:rPr>
          <w:color w:val="000000"/>
        </w:rPr>
        <w:t xml:space="preserve">” </w:t>
      </w:r>
      <w:r>
        <w:rPr>
          <w:rFonts w:ascii="Times New Roman" w:hAnsi="Times New Roman"/>
          <w:color w:val="000000"/>
          <w:sz w:val="24"/>
        </w:rPr>
        <w:t>has the meaning set forth in Section 6.9.1.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1.20.</w:t>
      </w:r>
    </w:p>
    <w:p>
      <w:pPr>
        <w:pStyle w:val="TextBody"/>
        <w:bidi w:val="0"/>
        <w:spacing w:before="0" w:after="240"/>
        <w:jc w:val="left"/>
        <w:rPr/>
      </w:pPr>
      <w:r>
        <w:rPr>
          <w:color w:val="000000"/>
        </w:rPr>
        <w:t>“</w:t>
      </w:r>
      <w:r>
        <w:rPr>
          <w:rFonts w:ascii="Times New Roman" w:hAnsi="Times New Roman"/>
          <w:b/>
          <w:color w:val="000000"/>
          <w:sz w:val="24"/>
        </w:rPr>
        <w:t>Key Performance Indicators or KPI’s</w:t>
      </w:r>
      <w:r>
        <w:rPr>
          <w:color w:val="000000"/>
        </w:rPr>
        <w:t xml:space="preserve">” </w:t>
      </w:r>
      <w:r>
        <w:rPr>
          <w:rFonts w:ascii="Times New Roman" w:hAnsi="Times New Roman"/>
          <w:color w:val="000000"/>
          <w:sz w:val="24"/>
        </w:rPr>
        <w:t>has the meaning set forth in Section 6.9.5.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left"/>
        <w:rPr/>
      </w:pPr>
      <w:r>
        <w:rPr>
          <w:color w:val="000000"/>
        </w:rPr>
        <w:t>“</w:t>
      </w:r>
      <w:r>
        <w:rPr>
          <w:rFonts w:ascii="Times New Roman" w:hAnsi="Times New Roman"/>
          <w:b/>
          <w:color w:val="000000"/>
          <w:sz w:val="24"/>
        </w:rPr>
        <w:t>Manufacturing Cap</w:t>
      </w:r>
      <w:r>
        <w:rPr>
          <w:color w:val="000000"/>
        </w:rPr>
        <w:t xml:space="preserve">” </w:t>
      </w:r>
      <w:r>
        <w:rPr>
          <w:rFonts w:ascii="Times New Roman" w:hAnsi="Times New Roman"/>
          <w:color w:val="000000"/>
          <w:sz w:val="24"/>
        </w:rPr>
        <w:t>has the meaning set forth in Section 3.1.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left"/>
        <w:rPr/>
      </w:pPr>
      <w:r>
        <w:rPr>
          <w:color w:val="000000"/>
        </w:rPr>
        <w:t>“</w:t>
      </w:r>
      <w:r>
        <w:rPr>
          <w:rFonts w:ascii="Times New Roman" w:hAnsi="Times New Roman"/>
          <w:b/>
          <w:color w:val="000000"/>
          <w:sz w:val="24"/>
        </w:rPr>
        <w:t>Manufacturing Run(s)</w:t>
      </w:r>
      <w:r>
        <w:rPr>
          <w:color w:val="000000"/>
        </w:rPr>
        <w:t xml:space="preserve">” </w:t>
      </w:r>
      <w:r>
        <w:rPr>
          <w:rFonts w:ascii="Times New Roman" w:hAnsi="Times New Roman"/>
          <w:color w:val="000000"/>
          <w:sz w:val="24"/>
        </w:rPr>
        <w:t>means each attempt by Thermo Fisher to Manufacture a Batch of Product in accordance with the Performance Standards.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Manufacturing Services</w:t>
      </w:r>
      <w:r>
        <w:rPr>
          <w:rFonts w:ascii="Times New Roman" w:hAnsi="Times New Roman"/>
          <w:color w:val="000000"/>
          <w:sz w:val="24"/>
        </w:rPr>
        <w:t>" means the tech transfer, manufacture and supply of clinical product by Thermo Fisher for use in the Phase 3 Clinical Trial and includes testing, release, stability, validation related activities. and manufacture of (i) placebo, (ii) Product for OLE Studies.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left"/>
        <w:rPr/>
      </w:pPr>
      <w:r>
        <w:rPr>
          <w:color w:val="000000"/>
        </w:rPr>
        <w:t>“</w:t>
      </w:r>
      <w:r>
        <w:rPr>
          <w:rFonts w:ascii="Times New Roman" w:hAnsi="Times New Roman"/>
          <w:b/>
          <w:color w:val="000000"/>
          <w:sz w:val="24"/>
        </w:rPr>
        <w:t>MSA</w:t>
      </w:r>
      <w:r>
        <w:rPr>
          <w:color w:val="000000"/>
        </w:rPr>
        <w:t xml:space="preserve">” </w:t>
      </w:r>
      <w:r>
        <w:rPr>
          <w:rFonts w:ascii="Times New Roman" w:hAnsi="Times New Roman"/>
          <w:color w:val="000000"/>
          <w:sz w:val="24"/>
        </w:rPr>
        <w:t>means the Master Services Agreement between the Parties as set forth in the 2</w:t>
      </w:r>
      <w:r>
        <w:rPr>
          <w:rFonts w:ascii="Times New Roman" w:hAnsi="Times New Roman"/>
          <w:color w:val="000000"/>
          <w:sz w:val="16"/>
        </w:rPr>
        <w:t>nd</w:t>
      </w:r>
      <w:r>
        <w:rPr>
          <w:color w:val="000000"/>
        </w:rPr>
        <w:t xml:space="preserve"> </w:t>
      </w:r>
      <w:r>
        <w:rPr>
          <w:rFonts w:ascii="Times New Roman" w:hAnsi="Times New Roman"/>
          <w:color w:val="000000"/>
          <w:sz w:val="24"/>
        </w:rPr>
        <w:t>Recital.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left"/>
        <w:rPr/>
      </w:pPr>
      <w:r>
        <w:rPr>
          <w:color w:val="000000"/>
        </w:rPr>
        <w:t>“</w:t>
      </w:r>
      <w:r>
        <w:rPr>
          <w:rFonts w:ascii="Times New Roman" w:hAnsi="Times New Roman"/>
          <w:b/>
          <w:color w:val="000000"/>
          <w:sz w:val="24"/>
        </w:rPr>
        <w:t>Minimum Success Rate</w:t>
      </w:r>
      <w:r>
        <w:rPr>
          <w:color w:val="000000"/>
        </w:rPr>
        <w:t xml:space="preserve">” </w:t>
      </w:r>
      <w:r>
        <w:rPr>
          <w:rFonts w:ascii="Times New Roman" w:hAnsi="Times New Roman"/>
          <w:color w:val="000000"/>
          <w:sz w:val="24"/>
        </w:rPr>
        <w:t>has meaning set forth in Section 5.4.2 and for clarity, the calculation of which does not include any reprocessing or rework batches.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1.26.</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No-Go Decision</w:t>
      </w:r>
      <w:r>
        <w:rPr>
          <w:rFonts w:ascii="Times New Roman" w:hAnsi="Times New Roman"/>
          <w:color w:val="000000"/>
          <w:sz w:val="24"/>
        </w:rPr>
        <w:t>" means the written confirmation issued by Arcturus that it elects not to advance the Product into Phase 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1.27.</w:t>
      </w:r>
    </w:p>
    <w:p>
      <w:pPr>
        <w:pStyle w:val="TextBody"/>
        <w:bidi w:val="0"/>
        <w:spacing w:before="0" w:after="240"/>
        <w:jc w:val="left"/>
        <w:rPr/>
      </w:pPr>
      <w:r>
        <w:rPr>
          <w:color w:val="000000"/>
        </w:rPr>
        <w:t>“</w:t>
      </w:r>
      <w:r>
        <w:rPr>
          <w:rFonts w:ascii="Times New Roman" w:hAnsi="Times New Roman"/>
          <w:b/>
          <w:color w:val="000000"/>
          <w:sz w:val="24"/>
        </w:rPr>
        <w:t>OLE Study</w:t>
      </w:r>
      <w:r>
        <w:rPr>
          <w:color w:val="000000"/>
        </w:rPr>
        <w:t xml:space="preserve">” </w:t>
      </w:r>
      <w:r>
        <w:rPr>
          <w:rFonts w:ascii="Times New Roman" w:hAnsi="Times New Roman"/>
          <w:color w:val="000000"/>
          <w:sz w:val="24"/>
        </w:rPr>
        <w:t>means the Open-Label Extension Study into which participants may be enrolled following completion of the Phase 3 Study.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1.28.</w:t>
      </w:r>
    </w:p>
    <w:p>
      <w:pPr>
        <w:pStyle w:val="TextBody"/>
        <w:bidi w:val="0"/>
        <w:spacing w:before="0" w:after="240"/>
        <w:jc w:val="left"/>
        <w:rPr/>
      </w:pPr>
      <w:r>
        <w:rPr>
          <w:color w:val="000000"/>
        </w:rPr>
        <w:t>“</w:t>
      </w:r>
      <w:r>
        <w:rPr>
          <w:rFonts w:ascii="Times New Roman" w:hAnsi="Times New Roman"/>
          <w:b/>
          <w:color w:val="000000"/>
          <w:sz w:val="24"/>
        </w:rPr>
        <w:t>PPD</w:t>
      </w:r>
      <w:r>
        <w:rPr>
          <w:color w:val="000000"/>
        </w:rPr>
        <w:t xml:space="preserve">” </w:t>
      </w:r>
      <w:r>
        <w:rPr>
          <w:rFonts w:ascii="Times New Roman" w:hAnsi="Times New Roman"/>
          <w:color w:val="000000"/>
          <w:sz w:val="24"/>
        </w:rPr>
        <w:t>means the Pharmaceutical Product Development Affiliate of Thermo Fisher.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1.29.</w:t>
      </w:r>
    </w:p>
    <w:p>
      <w:pPr>
        <w:pStyle w:val="TextBody"/>
        <w:bidi w:val="0"/>
        <w:spacing w:before="0" w:after="240"/>
        <w:jc w:val="left"/>
        <w:rPr/>
      </w:pPr>
      <w:r>
        <w:rPr>
          <w:color w:val="000000"/>
        </w:rPr>
        <w:t>“</w:t>
      </w:r>
      <w:r>
        <w:rPr>
          <w:rFonts w:ascii="Times New Roman" w:hAnsi="Times New Roman"/>
          <w:b/>
          <w:color w:val="000000"/>
          <w:sz w:val="24"/>
        </w:rPr>
        <w:t>PPQ</w:t>
      </w:r>
      <w:r>
        <w:rPr>
          <w:color w:val="000000"/>
        </w:rPr>
        <w:t xml:space="preserve">” </w:t>
      </w:r>
      <w:r>
        <w:rPr>
          <w:rFonts w:ascii="Times New Roman" w:hAnsi="Times New Roman"/>
          <w:color w:val="000000"/>
          <w:sz w:val="24"/>
        </w:rPr>
        <w:t>or “</w:t>
      </w:r>
      <w:r>
        <w:rPr>
          <w:rFonts w:ascii="Times New Roman" w:hAnsi="Times New Roman"/>
          <w:b/>
          <w:color w:val="000000"/>
          <w:sz w:val="24"/>
        </w:rPr>
        <w:t>Process Performance Qualification</w:t>
      </w:r>
      <w:r>
        <w:rPr>
          <w:color w:val="000000"/>
        </w:rPr>
        <w:t xml:space="preserve">” </w:t>
      </w:r>
      <w:r>
        <w:rPr>
          <w:rFonts w:ascii="Times New Roman" w:hAnsi="Times New Roman"/>
          <w:color w:val="000000"/>
          <w:sz w:val="24"/>
        </w:rPr>
        <w:t>Means the manufacture of the validation batches identified in the applicable Project Addendum that are intended to qualify the Manufacturing process for commercial manufacture and to support applicable regulatory submissions and approvals.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1.30.</w:t>
      </w:r>
    </w:p>
    <w:p>
      <w:pPr>
        <w:pStyle w:val="TextBody"/>
        <w:bidi w:val="0"/>
        <w:spacing w:before="0" w:after="240"/>
        <w:jc w:val="left"/>
        <w:rPr/>
      </w:pPr>
      <w:r>
        <w:rPr>
          <w:color w:val="000000"/>
        </w:rPr>
        <w:t>“</w:t>
      </w:r>
      <w:r>
        <w:rPr>
          <w:rFonts w:ascii="Times New Roman" w:hAnsi="Times New Roman"/>
          <w:b/>
          <w:color w:val="000000"/>
          <w:sz w:val="24"/>
        </w:rPr>
        <w:t>Pre-Go Cap</w:t>
      </w:r>
      <w:r>
        <w:rPr>
          <w:color w:val="000000"/>
        </w:rPr>
        <w:t xml:space="preserve">” </w:t>
      </w:r>
      <w:r>
        <w:rPr>
          <w:rFonts w:ascii="Times New Roman" w:hAnsi="Times New Roman"/>
          <w:color w:val="000000"/>
          <w:sz w:val="24"/>
        </w:rPr>
        <w:t>has the meaning set forth in Section 4.1.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Pre-Go Services</w:t>
      </w:r>
      <w:r>
        <w:rPr>
          <w:rFonts w:ascii="Times New Roman" w:hAnsi="Times New Roman"/>
          <w:color w:val="000000"/>
          <w:sz w:val="24"/>
        </w:rPr>
        <w:t>" means all manufacturing and related services performed by Thermo Fisher prior to and in anticipation of the Go Decision, as set forth in applicable Project Addendum under the MSA.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left"/>
        <w:rPr/>
      </w:pPr>
      <w:r>
        <w:rPr>
          <w:color w:val="000000"/>
        </w:rPr>
        <w:t>“</w:t>
      </w:r>
      <w:r>
        <w:rPr>
          <w:rFonts w:ascii="Times New Roman" w:hAnsi="Times New Roman"/>
          <w:b/>
          <w:color w:val="000000"/>
          <w:sz w:val="24"/>
        </w:rPr>
        <w:t>Product</w:t>
      </w:r>
      <w:r>
        <w:rPr>
          <w:color w:val="000000"/>
        </w:rPr>
        <w:t xml:space="preserve">” </w:t>
      </w:r>
      <w:r>
        <w:rPr>
          <w:rFonts w:ascii="Times New Roman" w:hAnsi="Times New Roman"/>
          <w:color w:val="000000"/>
          <w:sz w:val="24"/>
        </w:rPr>
        <w:t>means the pharmaceutical product ARCT-032 manufactured by Thermo Fisher pursuant to this Agreement, including the Clinical Product and Commercial Product.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left"/>
        <w:rPr/>
      </w:pPr>
      <w:r>
        <w:rPr>
          <w:color w:val="000000"/>
        </w:rPr>
        <w:t>“</w:t>
      </w:r>
      <w:r>
        <w:rPr>
          <w:rFonts w:ascii="Times New Roman" w:hAnsi="Times New Roman"/>
          <w:b/>
          <w:color w:val="000000"/>
          <w:sz w:val="24"/>
        </w:rPr>
        <w:t>Protocol</w:t>
      </w:r>
      <w:r>
        <w:rPr>
          <w:color w:val="000000"/>
        </w:rPr>
        <w:t xml:space="preserve">” </w:t>
      </w:r>
      <w:r>
        <w:rPr>
          <w:rFonts w:ascii="Times New Roman" w:hAnsi="Times New Roman"/>
          <w:color w:val="000000"/>
          <w:sz w:val="24"/>
        </w:rPr>
        <w:t>means the clinical study protocol for ARCT-032-03, as developed, approved, amended, supplemented, or otherwise modified by Arcturus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left"/>
        <w:rPr/>
      </w:pPr>
      <w:r>
        <w:rPr>
          <w:color w:val="000000"/>
        </w:rPr>
        <w:t>“</w:t>
      </w:r>
      <w:r>
        <w:rPr>
          <w:rFonts w:ascii="Times New Roman" w:hAnsi="Times New Roman"/>
          <w:b/>
          <w:color w:val="000000"/>
          <w:sz w:val="24"/>
        </w:rPr>
        <w:t>Qualifying Services</w:t>
      </w:r>
      <w:r>
        <w:rPr>
          <w:color w:val="000000"/>
        </w:rPr>
        <w:t xml:space="preserve">” </w:t>
      </w:r>
      <w:r>
        <w:rPr>
          <w:rFonts w:ascii="Times New Roman" w:hAnsi="Times New Roman"/>
          <w:color w:val="000000"/>
          <w:sz w:val="24"/>
        </w:rPr>
        <w:t xml:space="preserve">has the meaning set forth in Section 6.3 and </w:t>
      </w:r>
      <w:r>
        <w:rPr>
          <w:rFonts w:ascii="Times New Roman" w:hAnsi="Times New Roman"/>
          <w:b/>
          <w:color w:val="000000"/>
          <w:sz w:val="24"/>
        </w:rPr>
        <w:t>Exhibit B</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1.35.</w:t>
      </w:r>
    </w:p>
    <w:p>
      <w:pPr>
        <w:pStyle w:val="TextBody"/>
        <w:bidi w:val="0"/>
        <w:spacing w:before="0" w:after="240"/>
        <w:jc w:val="left"/>
        <w:rPr/>
      </w:pPr>
      <w:r>
        <w:rPr>
          <w:color w:val="000000"/>
        </w:rPr>
        <w:t>“</w:t>
      </w:r>
      <w:r>
        <w:rPr>
          <w:rFonts w:ascii="Times New Roman" w:hAnsi="Times New Roman"/>
          <w:b/>
          <w:color w:val="000000"/>
          <w:sz w:val="24"/>
        </w:rPr>
        <w:t>Raw Materials</w:t>
      </w:r>
      <w:r>
        <w:rPr>
          <w:color w:val="000000"/>
        </w:rPr>
        <w:t xml:space="preserve">” </w:t>
      </w:r>
      <w:r>
        <w:rPr>
          <w:rFonts w:ascii="Times New Roman" w:hAnsi="Times New Roman"/>
          <w:color w:val="000000"/>
          <w:sz w:val="24"/>
        </w:rPr>
        <w:t xml:space="preserve">means all ingredients, components, substances, intermediates, reagents, excipients, processing aids, consumables, and other materials as set forth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Project Addendum that are required for the manufacture, processing, testing, packaging, labeling, storage, or release of the Product, other than Arcturus Materials.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1.36.</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Regulatory Approval</w:t>
      </w:r>
      <w:r>
        <w:rPr>
          <w:rFonts w:ascii="Times New Roman" w:hAnsi="Times New Roman"/>
          <w:color w:val="000000"/>
          <w:sz w:val="24"/>
        </w:rPr>
        <w:t>" means BLA approval.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1.37.</w:t>
      </w:r>
    </w:p>
    <w:p>
      <w:pPr>
        <w:pStyle w:val="TextBody"/>
        <w:bidi w:val="0"/>
        <w:spacing w:before="0" w:after="240"/>
        <w:jc w:val="left"/>
        <w:rPr/>
      </w:pPr>
      <w:r>
        <w:rPr>
          <w:rFonts w:ascii="Times New Roman" w:hAnsi="Times New Roman"/>
          <w:color w:val="000000"/>
          <w:sz w:val="24"/>
        </w:rPr>
        <w:t>"</w:t>
      </w:r>
      <w:r>
        <w:rPr>
          <w:rFonts w:ascii="Times New Roman" w:hAnsi="Times New Roman"/>
          <w:b/>
          <w:color w:val="000000"/>
          <w:sz w:val="24"/>
        </w:rPr>
        <w:t>Regulatory Stop</w:t>
      </w:r>
      <w:r>
        <w:rPr>
          <w:rFonts w:ascii="Times New Roman" w:hAnsi="Times New Roman"/>
          <w:color w:val="000000"/>
          <w:sz w:val="24"/>
        </w:rPr>
        <w:t xml:space="preserve">" means a formal clinical hold, termination order, or equivalent directive issued by a competent Regulatory Authority that permanently prohibits continuation of the Phase 3 Clinical Trial.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1.38.</w:t>
      </w:r>
    </w:p>
    <w:p>
      <w:pPr>
        <w:pStyle w:val="TextBody"/>
        <w:bidi w:val="0"/>
        <w:spacing w:before="0" w:after="240"/>
        <w:jc w:val="left"/>
        <w:rPr/>
      </w:pPr>
      <w:r>
        <w:rPr>
          <w:color w:val="000000"/>
        </w:rPr>
        <w:t>“</w:t>
      </w:r>
      <w:r>
        <w:rPr>
          <w:rFonts w:ascii="Times New Roman" w:hAnsi="Times New Roman"/>
          <w:b/>
          <w:color w:val="000000"/>
          <w:sz w:val="24"/>
        </w:rPr>
        <w:t>Services</w:t>
      </w:r>
      <w:r>
        <w:rPr>
          <w:color w:val="000000"/>
        </w:rPr>
        <w:t xml:space="preserve">” </w:t>
      </w:r>
      <w:r>
        <w:rPr>
          <w:rFonts w:ascii="Times New Roman" w:hAnsi="Times New Roman"/>
          <w:color w:val="000000"/>
          <w:sz w:val="24"/>
        </w:rPr>
        <w:t>means collectively, Clinical Manufacturing Services, CRO Services and Commercial Manufacturing Services, each as set forth in an executed Project Addendum.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1.39.</w:t>
      </w:r>
    </w:p>
    <w:p>
      <w:pPr>
        <w:pStyle w:val="TextBody"/>
        <w:bidi w:val="0"/>
        <w:spacing w:before="0" w:after="240"/>
        <w:jc w:val="left"/>
        <w:rPr/>
      </w:pPr>
      <w:r>
        <w:rPr>
          <w:color w:val="000000"/>
        </w:rPr>
        <w:t>“</w:t>
      </w:r>
      <w:r>
        <w:rPr>
          <w:rFonts w:ascii="Times New Roman" w:hAnsi="Times New Roman"/>
          <w:b/>
          <w:color w:val="000000"/>
          <w:sz w:val="24"/>
        </w:rPr>
        <w:t>Steering Committee</w:t>
      </w:r>
      <w:r>
        <w:rPr>
          <w:color w:val="000000"/>
        </w:rPr>
        <w:t xml:space="preserve">” </w:t>
      </w:r>
      <w:r>
        <w:rPr>
          <w:rFonts w:ascii="Times New Roman" w:hAnsi="Times New Roman"/>
          <w:color w:val="000000"/>
          <w:sz w:val="24"/>
        </w:rPr>
        <w:t>has the meaning set forth in Section 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left"/>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has the meaning set forth in Section 9.1.</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2 RELATIONSHIP TO MSA AND TRANSACTION STRUCTURE</w:t>
      </w:r>
    </w:p>
    <w:p>
      <w:pPr>
        <w:pStyle w:val="TextBody"/>
        <w:bidi w:val="0"/>
        <w:spacing w:before="0" w:after="240"/>
        <w:jc w:val="left"/>
        <w:rPr>
          <w:rFonts w:ascii="Times New Roman" w:hAnsi="Times New Roman"/>
          <w:sz w:val="20"/>
        </w:rPr>
      </w:pP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b/>
          <w:color w:val="000000"/>
          <w:sz w:val="24"/>
        </w:rPr>
        <w:t>MSA Governs General Terms</w:t>
      </w:r>
      <w:r>
        <w:rPr>
          <w:rFonts w:ascii="Times New Roman" w:hAnsi="Times New Roman"/>
          <w:color w:val="000000"/>
          <w:sz w:val="24"/>
        </w:rPr>
        <w:t>. This Side Agreement is subject to and incorporates the terms and conditions of the MSA. All Manufacturing Services and CRO Service engagements under or referenced in this Side Agreement shall be governed by the MSA with respect to general terms including, without limitation, confidentiality, intellectual property, indemnification, insurance, and dispute resolution, except as specifically modified herein. Any Manufacturing Services or CRO Services will be set forth in detail in one or more Project Addendums signed by both Parties and incorporated into the MSA. In the event of any conflict between the terms of this Side Agreement and the MSA, the terms of this Side Agreement shall control with respect to the subject matter herein. Capitalized terms not otherwise defined herein shall have the meanings ascribed to them in the MSA or the Project Addendum.</w:t>
      </w:r>
    </w:p>
    <w:p>
      <w:pPr>
        <w:pStyle w:val="TextBody"/>
        <w:bidi w:val="0"/>
        <w:spacing w:before="0" w:after="240"/>
        <w:jc w:val="left"/>
        <w:rPr>
          <w:rFonts w:ascii="Times New Roman" w:hAnsi="Times New Roman"/>
          <w:sz w:val="20"/>
        </w:rPr>
      </w:pPr>
      <w:r>
        <w:rPr>
          <w:rFonts w:ascii="Times New Roman" w:hAnsi="Times New Roman"/>
          <w:color w:val="000000"/>
          <w:sz w:val="24"/>
        </w:rPr>
        <w:t>2.2</w:t>
      </w:r>
      <w:r>
        <w:rPr>
          <w:rFonts w:ascii="Times New Roman" w:hAnsi="Times New Roman"/>
          <w:color w:val="000000"/>
          <w:sz w:val="20"/>
        </w:rPr>
        <w:t xml:space="preserve"> </w:t>
      </w:r>
      <w:r>
        <w:rPr>
          <w:rFonts w:ascii="Times New Roman" w:hAnsi="Times New Roman"/>
          <w:b/>
          <w:color w:val="000000"/>
          <w:sz w:val="24"/>
        </w:rPr>
        <w:t>Concurrent Execution</w:t>
      </w:r>
      <w:r>
        <w:rPr>
          <w:rFonts w:ascii="Times New Roman" w:hAnsi="Times New Roman"/>
          <w:color w:val="000000"/>
          <w:sz w:val="24"/>
        </w:rPr>
        <w:t>. The MSA and this Side Agreement shall be executed concurrently as of the Effective Date. Neither agreement shall be effective without the other.</w:t>
      </w:r>
    </w:p>
    <w:p>
      <w:pPr>
        <w:pStyle w:val="TextBody"/>
        <w:bidi w:val="0"/>
        <w:spacing w:before="0" w:after="240"/>
        <w:jc w:val="left"/>
        <w:rPr>
          <w:rFonts w:ascii="Times New Roman" w:hAnsi="Times New Roman"/>
          <w:sz w:val="20"/>
        </w:rPr>
      </w:pPr>
      <w:r>
        <w:rPr>
          <w:rFonts w:ascii="Times New Roman" w:hAnsi="Times New Roman"/>
          <w:color w:val="000000"/>
          <w:sz w:val="24"/>
        </w:rPr>
        <w:t>2.3</w:t>
      </w:r>
      <w:r>
        <w:rPr>
          <w:rFonts w:ascii="Times New Roman" w:hAnsi="Times New Roman"/>
          <w:color w:val="000000"/>
          <w:sz w:val="20"/>
        </w:rPr>
        <w:t xml:space="preserve"> </w:t>
      </w:r>
      <w:r>
        <w:rPr>
          <w:rFonts w:ascii="Times New Roman" w:hAnsi="Times New Roman"/>
          <w:b/>
          <w:color w:val="000000"/>
          <w:sz w:val="24"/>
        </w:rPr>
        <w:t>Commercial Supply Agreement</w:t>
      </w:r>
      <w:r>
        <w:rPr>
          <w:rFonts w:ascii="Times New Roman" w:hAnsi="Times New Roman"/>
          <w:color w:val="000000"/>
          <w:sz w:val="24"/>
        </w:rPr>
        <w:t>. The Parties acknowledge and agree that a separate commercial supply agreement (the "</w:t>
      </w:r>
      <w:r>
        <w:rPr>
          <w:rFonts w:ascii="Times New Roman" w:hAnsi="Times New Roman"/>
          <w:b/>
          <w:color w:val="000000"/>
          <w:sz w:val="24"/>
        </w:rPr>
        <w:t>Commercial Supply Agreement</w:t>
      </w:r>
      <w:r>
        <w:rPr>
          <w:rFonts w:ascii="Times New Roman" w:hAnsi="Times New Roman"/>
          <w:color w:val="000000"/>
          <w:sz w:val="24"/>
        </w:rPr>
        <w:t>") will be required for the commercial manufacture of the Commercial Product following completion of the Clinical Trial. The Parties acknowledge that Thermo Fisher is undertaking activities under this Side Agreement, the MSA, and the applicable Project Addendum(s) in reliance on Arcturus’ commitment to enter into the Commercial Supply Agreement following completion of the Clinical Trial and Regulatory Approval. The Parties further acknowledge and agree that the commercial supply terms will be included in the Commercial Supply Agreement, along with such other terms and conditions as the Parties may agree. Preliminary commercial pricing for</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Commercial Product is attached hereto as </w:t>
      </w:r>
      <w:r>
        <w:rPr>
          <w:rFonts w:ascii="Times New Roman" w:hAnsi="Times New Roman"/>
          <w:b/>
          <w:color w:val="000000"/>
          <w:sz w:val="24"/>
        </w:rPr>
        <w:t>Exhibit A-2</w:t>
      </w:r>
      <w:r>
        <w:rPr>
          <w:rFonts w:ascii="Times New Roman" w:hAnsi="Times New Roman"/>
          <w:color w:val="000000"/>
          <w:sz w:val="24"/>
        </w:rPr>
        <w:t>including the Commercial Product pricing framework and other commercial terms set forth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2.4</w:t>
      </w:r>
      <w:r>
        <w:rPr>
          <w:rFonts w:ascii="Times New Roman" w:hAnsi="Times New Roman"/>
          <w:color w:val="000000"/>
          <w:sz w:val="20"/>
        </w:rPr>
        <w:t xml:space="preserve"> </w:t>
      </w:r>
      <w:r>
        <w:rPr>
          <w:rFonts w:ascii="Times New Roman" w:hAnsi="Times New Roman"/>
          <w:color w:val="000000"/>
          <w:sz w:val="24"/>
        </w:rPr>
        <w:t xml:space="preserve">The Commercial Product pricing described in Section 2.3 does not include inflationary costs impacting the commercial Product pricing or actual manufacturing requirements known by the Parties as of the Effective Date. Accordingly, the Parties may negotiate in good faith an adjustment to the Product pricing set forth in </w:t>
      </w:r>
      <w:r>
        <w:rPr>
          <w:rFonts w:ascii="Times New Roman" w:hAnsi="Times New Roman"/>
          <w:b/>
          <w:color w:val="000000"/>
          <w:sz w:val="24"/>
        </w:rPr>
        <w:t>Exhibit A-2</w:t>
      </w:r>
      <w:r>
        <w:rPr>
          <w:rFonts w:ascii="Times New Roman" w:hAnsi="Times New Roman"/>
          <w:color w:val="000000"/>
          <w:sz w:val="24"/>
        </w:rPr>
        <w:t>up to [***] to reflect actual manufacturing requirements identified through PPQ. Notwithstanding the foregoing sentence, if the process or manufacturing requirements change significantly, or else the process length of time increases by [***], the price may increase by more than [***].[***]2.5</w:t>
      </w:r>
      <w:r>
        <w:rPr>
          <w:rFonts w:ascii="Times New Roman" w:hAnsi="Times New Roman"/>
          <w:color w:val="000000"/>
          <w:sz w:val="20"/>
        </w:rPr>
        <w:t xml:space="preserve"> </w:t>
      </w:r>
      <w:r>
        <w:rPr>
          <w:rFonts w:ascii="Times New Roman" w:hAnsi="Times New Roman"/>
          <w:b/>
          <w:color w:val="000000"/>
          <w:sz w:val="24"/>
        </w:rPr>
        <w:t>Governance</w:t>
      </w:r>
      <w:r>
        <w:rPr>
          <w:rFonts w:ascii="Times New Roman" w:hAnsi="Times New Roman"/>
          <w:color w:val="000000"/>
          <w:sz w:val="24"/>
        </w:rPr>
        <w:t>. The Parties will establish a steering committee for each applicable Project Addendum, or for the overall relationship between the Parties if so agreed in writing, comprised of four representatives, with two representatives appointed by each Party, including at least one executive-level representative from each Party with sufficient decision-making authority to address material project, operational, commercial, or performance-related matters arising under the applicable Project Addendum, the MSA or this Side Agreement, as applicable (the “</w:t>
      </w:r>
      <w:r>
        <w:rPr>
          <w:rFonts w:ascii="Times New Roman" w:hAnsi="Times New Roman"/>
          <w:b/>
          <w:color w:val="000000"/>
          <w:sz w:val="24"/>
        </w:rPr>
        <w:t>Steering Committee</w:t>
      </w:r>
      <w:r>
        <w:rPr>
          <w:rFonts w:ascii="Times New Roman" w:hAnsi="Times New Roman"/>
          <w:color w:val="000000"/>
          <w:sz w:val="20"/>
        </w:rPr>
        <w:t>”</w:t>
      </w:r>
      <w:r>
        <w:rPr>
          <w:rFonts w:ascii="Times New Roman" w:hAnsi="Times New Roman"/>
          <w:color w:val="000000"/>
          <w:sz w:val="24"/>
        </w:rPr>
        <w:t>). The Steering Committee will meet as mutually agreed by the parties, to review project status, performance, timelines, key risks, dependencies, and any other matters relating to the timely and proper performance of the CRO and/or CDMO Services.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will use the Steering Committee as the agreed escalation forum for issues that cannot be resolved through ordinary project governance or day-to-day operational discussions. Either Party may escalate any material project, operational, commercial, performance-related, or other disputed matter to the Steering Committee by providing written notice to the other party describing the issue, relevant background, proposed resolution, and any requested timing for resolution. The Steering Committee will meet within a mutually agreed period following such escalation and will work in good faith to resolve the matter promptly. If the Steering Committee is unable to resolve the matter within the agreed timeframe, the matter may be further escalated to senior executives of each Party with appropriate authority to resolve the issue.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3 MANUFACTURING AND CLINICAL SERVICES MATCH</w:t>
      </w:r>
    </w:p>
    <w:p>
      <w:pPr>
        <w:pStyle w:val="TextBody"/>
        <w:bidi w:val="0"/>
        <w:spacing w:before="0" w:after="240"/>
        <w:jc w:val="left"/>
        <w:rPr>
          <w:rFonts w:ascii="Times New Roman" w:hAnsi="Times New Roman"/>
          <w:sz w:val="20"/>
        </w:rPr>
      </w:pP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b/>
          <w:color w:val="000000"/>
          <w:sz w:val="24"/>
        </w:rPr>
        <w:t xml:space="preserve">Scope of Manufacturing Services. </w:t>
      </w:r>
      <w:r>
        <w:rPr>
          <w:rFonts w:ascii="Times New Roman" w:hAnsi="Times New Roman"/>
          <w:color w:val="000000"/>
          <w:sz w:val="24"/>
        </w:rPr>
        <w:t>Thermo Fisher agrees to provide Forty Million U.S. Dollars (USD $40,000,000) (the "</w:t>
      </w:r>
      <w:r>
        <w:rPr>
          <w:rFonts w:ascii="Times New Roman" w:hAnsi="Times New Roman"/>
          <w:b/>
          <w:color w:val="000000"/>
          <w:sz w:val="24"/>
        </w:rPr>
        <w:t>Manufacturing Cap</w:t>
      </w:r>
      <w:r>
        <w:rPr>
          <w:rFonts w:ascii="Times New Roman" w:hAnsi="Times New Roman"/>
          <w:color w:val="000000"/>
          <w:sz w:val="24"/>
        </w:rPr>
        <w:t>") of certain Clinical Manufacturing Services to Arcturus to be used in Arcturus’ Clinical Trial. For purposes of clarity, these Manufacturing Services [***] . Thermo Fisher's [***] shall not be deemed [***] of Arcturus, and Arcturus shall have no obligation to reimburse or repay such amounts except as expressly provided in this Side Agreement.</w:t>
      </w:r>
    </w:p>
    <w:p>
      <w:pPr>
        <w:pStyle w:val="TextBody"/>
        <w:bidi w:val="0"/>
        <w:spacing w:before="0" w:after="240"/>
        <w:jc w:val="left"/>
        <w:rPr>
          <w:rFonts w:ascii="Times New Roman" w:hAnsi="Times New Roman"/>
          <w:sz w:val="20"/>
        </w:rPr>
      </w:pPr>
      <w:r>
        <w:rPr>
          <w:rFonts w:ascii="Times New Roman" w:hAnsi="Times New Roman"/>
          <w:color w:val="000000"/>
          <w:sz w:val="24"/>
        </w:rPr>
        <w:t>3.2</w:t>
      </w:r>
      <w:r>
        <w:rPr>
          <w:rFonts w:ascii="Times New Roman" w:hAnsi="Times New Roman"/>
          <w:color w:val="000000"/>
          <w:sz w:val="20"/>
        </w:rPr>
        <w:t xml:space="preserve"> </w:t>
      </w:r>
      <w:r>
        <w:rPr>
          <w:rFonts w:ascii="Times New Roman" w:hAnsi="Times New Roman"/>
          <w:b/>
          <w:color w:val="000000"/>
          <w:sz w:val="24"/>
        </w:rPr>
        <w:t xml:space="preserve">CRO Services Match. </w:t>
      </w:r>
      <w:r>
        <w:rPr>
          <w:rFonts w:ascii="Times New Roman" w:hAnsi="Times New Roman"/>
          <w:color w:val="000000"/>
          <w:sz w:val="24"/>
        </w:rPr>
        <w:t>In consideration of the Manufacturing Services provided by Thermo Fisher [***], Arcturus agrees to engage Thermo Fisher’s affiliated contract research organization (“</w:t>
      </w:r>
      <w:r>
        <w:rPr>
          <w:rFonts w:ascii="Times New Roman" w:hAnsi="Times New Roman"/>
          <w:b/>
          <w:color w:val="000000"/>
          <w:sz w:val="24"/>
        </w:rPr>
        <w:t>PPD</w:t>
      </w:r>
      <w:r>
        <w:rPr>
          <w:rFonts w:ascii="Times New Roman" w:hAnsi="Times New Roman"/>
          <w:color w:val="000000"/>
          <w:sz w:val="20"/>
        </w:rPr>
        <w:t>”</w:t>
      </w:r>
      <w:r>
        <w:rPr>
          <w:rFonts w:ascii="Times New Roman" w:hAnsi="Times New Roman"/>
          <w:color w:val="000000"/>
          <w:sz w:val="24"/>
        </w:rPr>
        <w:t>) to perform certain ARCT-032-03 Study CRO Services. Arcturus shall commit to spending up to Forty Million U.S. Dollars (USD $40,000,000) in Qualifying CRO Services (defined below) direct Fees (the “</w:t>
      </w:r>
      <w:r>
        <w:rPr>
          <w:rFonts w:ascii="Times New Roman" w:hAnsi="Times New Roman"/>
          <w:b/>
          <w:color w:val="000000"/>
          <w:sz w:val="24"/>
        </w:rPr>
        <w:t>CRO Match</w:t>
      </w:r>
      <w:r>
        <w:rPr>
          <w:rFonts w:ascii="Times New Roman" w:hAnsi="Times New Roman"/>
          <w:color w:val="000000"/>
          <w:sz w:val="20"/>
        </w:rPr>
        <w:t>”</w:t>
      </w:r>
      <w:r>
        <w:rPr>
          <w:rFonts w:ascii="Times New Roman" w:hAnsi="Times New Roman"/>
          <w:color w:val="000000"/>
          <w:sz w:val="24"/>
        </w:rPr>
        <w:t>) to match the Manufacturing Cap. The Parties intend that the aggregate value of Qualifying CRO Services paid for by Arcturus under the CRO Match shall match, dollar-for-dollar, the aggregate value of qualifying Manufacturing Services provided by Thermo Fisher[***].</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color w:val="000000"/>
          <w:sz w:val="24"/>
        </w:rPr>
        <w:t>3.3</w:t>
      </w:r>
      <w:r>
        <w:rPr>
          <w:rFonts w:ascii="Times New Roman" w:hAnsi="Times New Roman"/>
          <w:color w:val="000000"/>
          <w:sz w:val="20"/>
        </w:rPr>
        <w:t xml:space="preserve"> </w:t>
      </w:r>
      <w:r>
        <w:rPr>
          <w:rFonts w:ascii="Times New Roman" w:hAnsi="Times New Roman"/>
          <w:b/>
          <w:color w:val="000000"/>
          <w:sz w:val="24"/>
        </w:rPr>
        <w:t xml:space="preserve">Reconciliation.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3.4</w:t>
      </w:r>
      <w:r>
        <w:rPr>
          <w:rFonts w:ascii="Times New Roman" w:hAnsi="Times New Roman"/>
          <w:color w:val="000000"/>
          <w:sz w:val="20"/>
        </w:rPr>
        <w:t xml:space="preserve"> </w:t>
      </w:r>
      <w:r>
        <w:rPr>
          <w:rFonts w:ascii="Times New Roman" w:hAnsi="Times New Roman"/>
          <w:b/>
          <w:color w:val="000000"/>
          <w:sz w:val="24"/>
        </w:rPr>
        <w:t xml:space="preserve">Additional Costs.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4 PRE-GO DECISION SERVICES AND RISK ALLOCATION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left"/>
        <w:rPr/>
      </w:pPr>
      <w:r>
        <w:rPr>
          <w:rFonts w:ascii="Times New Roman" w:hAnsi="Times New Roman"/>
          <w:color w:val="000000"/>
          <w:sz w:val="24"/>
          <w:u w:val="single"/>
        </w:rPr>
        <w:t>No-Go Decision</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 xml:space="preserve">[***];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Go Decision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ARTICLE 5 MANUFACTURING SERVICES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b/>
          <w:color w:val="000000"/>
          <w:sz w:val="24"/>
        </w:rPr>
        <w:t xml:space="preserve">Project Addendum. </w:t>
      </w:r>
      <w:r>
        <w:rPr>
          <w:rFonts w:ascii="Times New Roman" w:hAnsi="Times New Roman"/>
          <w:color w:val="000000"/>
          <w:sz w:val="24"/>
        </w:rPr>
        <w:t>All Manufacturing Services, including Pre-Go Services, will be set forth in detail in one or more Manufacturing Project Addendum under the MSA.</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5.2 </w:t>
      </w:r>
      <w:r>
        <w:rPr>
          <w:rFonts w:ascii="Times New Roman" w:hAnsi="Times New Roman"/>
          <w:b/>
          <w:color w:val="000000"/>
          <w:sz w:val="24"/>
        </w:rPr>
        <w:t xml:space="preserve">Raw Materials. </w:t>
      </w:r>
      <w:r>
        <w:rPr>
          <w:rFonts w:ascii="Times New Roman" w:hAnsi="Times New Roman"/>
          <w:color w:val="000000"/>
          <w:sz w:val="24"/>
        </w:rPr>
        <w:t>. [***]</w:t>
      </w:r>
    </w:p>
    <w:p>
      <w:pPr>
        <w:pStyle w:val="TextBody"/>
        <w:bidi w:val="0"/>
        <w:spacing w:before="0" w:after="240"/>
        <w:jc w:val="left"/>
        <w:rPr>
          <w:rFonts w:ascii="Times New Roman" w:hAnsi="Times New Roman"/>
          <w:sz w:val="20"/>
        </w:rPr>
      </w:pPr>
      <w:r>
        <w:rPr>
          <w:rFonts w:ascii="Times New Roman" w:hAnsi="Times New Roman"/>
          <w:color w:val="000000"/>
          <w:sz w:val="24"/>
        </w:rPr>
        <w:t>5.3</w:t>
      </w:r>
      <w:r>
        <w:rPr>
          <w:rFonts w:ascii="Times New Roman" w:hAnsi="Times New Roman"/>
          <w:color w:val="000000"/>
          <w:sz w:val="20"/>
        </w:rPr>
        <w:t xml:space="preserve"> </w:t>
      </w:r>
      <w:r>
        <w:rPr>
          <w:rFonts w:ascii="Times New Roman" w:hAnsi="Times New Roman"/>
          <w:b/>
          <w:color w:val="000000"/>
          <w:sz w:val="24"/>
        </w:rPr>
        <w:t xml:space="preserve">Arcturus Materials.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5.4</w:t>
      </w:r>
      <w:r>
        <w:rPr>
          <w:rFonts w:ascii="Times New Roman" w:hAnsi="Times New Roman"/>
          <w:color w:val="000000"/>
          <w:sz w:val="20"/>
        </w:rPr>
        <w:t xml:space="preserve"> </w:t>
      </w:r>
      <w:r>
        <w:rPr>
          <w:rFonts w:ascii="Times New Roman" w:hAnsi="Times New Roman"/>
          <w:b/>
          <w:color w:val="000000"/>
          <w:sz w:val="24"/>
        </w:rPr>
        <w:t xml:space="preserve">Manufacturing Cost Exceptions.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5.4.1</w:t>
      </w:r>
      <w:r>
        <w:rPr>
          <w:rFonts w:ascii="Times New Roman" w:hAnsi="Times New Roman"/>
          <w:color w:val="000000"/>
          <w:sz w:val="20"/>
        </w:rPr>
        <w:t xml:space="preserve"> </w:t>
      </w:r>
      <w:r>
        <w:rPr>
          <w:rFonts w:ascii="Times New Roman" w:hAnsi="Times New Roman"/>
          <w:color w:val="000000"/>
          <w:sz w:val="24"/>
          <w:u w:val="single"/>
        </w:rPr>
        <w:t>Engineering Run(s)</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5.4.2</w:t>
      </w:r>
      <w:r>
        <w:rPr>
          <w:rFonts w:ascii="Times New Roman" w:hAnsi="Times New Roman"/>
          <w:color w:val="000000"/>
          <w:sz w:val="20"/>
        </w:rPr>
        <w:t xml:space="preserve"> </w:t>
      </w:r>
      <w:r>
        <w:rPr>
          <w:rFonts w:ascii="Times New Roman" w:hAnsi="Times New Roman"/>
          <w:color w:val="000000"/>
          <w:sz w:val="24"/>
          <w:u w:val="single"/>
        </w:rPr>
        <w:t>Thermo Fisher Manufacturing Success Rate</w:t>
      </w:r>
      <w:r>
        <w:rPr>
          <w:rFonts w:ascii="Times New Roman" w:hAnsi="Times New Roman"/>
          <w:color w:val="000000"/>
          <w:sz w:val="24"/>
        </w:rPr>
        <w:t>.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5.4.3</w:t>
      </w:r>
      <w:r>
        <w:rPr>
          <w:rFonts w:ascii="Times New Roman" w:hAnsi="Times New Roman"/>
          <w:color w:val="000000"/>
          <w:sz w:val="20"/>
        </w:rPr>
        <w:t xml:space="preserve"> </w:t>
      </w:r>
      <w:r>
        <w:rPr>
          <w:rFonts w:ascii="Times New Roman" w:hAnsi="Times New Roman"/>
          <w:color w:val="000000"/>
          <w:sz w:val="24"/>
          <w:u w:val="single"/>
        </w:rPr>
        <w:t>Exclusions</w:t>
      </w:r>
      <w:r>
        <w:rPr>
          <w:rFonts w:ascii="Times New Roman" w:hAnsi="Times New Roman"/>
          <w:color w:val="000000"/>
          <w:sz w:val="24"/>
        </w:rPr>
        <w:t>. [***].</w:t>
      </w:r>
    </w:p>
    <w:p>
      <w:pPr>
        <w:pStyle w:val="TextBody"/>
        <w:bidi w:val="0"/>
        <w:spacing w:before="0" w:after="240"/>
        <w:jc w:val="left"/>
        <w:rPr>
          <w:rFonts w:ascii="Times New Roman" w:hAnsi="Times New Roman"/>
          <w:sz w:val="20"/>
        </w:rPr>
      </w:pPr>
      <w:r>
        <w:rPr>
          <w:rFonts w:ascii="Times New Roman" w:hAnsi="Times New Roman"/>
          <w:color w:val="000000"/>
          <w:sz w:val="24"/>
        </w:rPr>
        <w:t>5.4.3</w:t>
      </w:r>
      <w:r>
        <w:rPr>
          <w:rFonts w:ascii="Times New Roman" w:hAnsi="Times New Roman"/>
          <w:color w:val="000000"/>
          <w:sz w:val="20"/>
        </w:rPr>
        <w:t xml:space="preserve"> </w:t>
      </w:r>
      <w:r>
        <w:rPr>
          <w:rFonts w:ascii="Times New Roman" w:hAnsi="Times New Roman"/>
          <w:color w:val="000000"/>
          <w:sz w:val="24"/>
          <w:u w:val="single"/>
        </w:rPr>
        <w:t>Equipment</w:t>
      </w:r>
      <w:r>
        <w:rPr>
          <w:rFonts w:ascii="Times New Roman" w:hAnsi="Times New Roman"/>
          <w:color w:val="000000"/>
          <w:sz w:val="24"/>
        </w:rPr>
        <w:t>. [***].</w:t>
      </w:r>
    </w:p>
    <w:p>
      <w:pPr>
        <w:pStyle w:val="TextBody"/>
        <w:bidi w:val="0"/>
        <w:spacing w:before="0" w:after="240"/>
        <w:jc w:val="left"/>
        <w:rPr>
          <w:rFonts w:ascii="Times New Roman" w:hAnsi="Times New Roman"/>
          <w:sz w:val="20"/>
        </w:rPr>
      </w:pPr>
      <w:r>
        <w:rPr>
          <w:rFonts w:ascii="Times New Roman" w:hAnsi="Times New Roman"/>
          <w:color w:val="000000"/>
          <w:sz w:val="24"/>
        </w:rPr>
        <w:t>5.5</w:t>
      </w:r>
      <w:r>
        <w:rPr>
          <w:rFonts w:ascii="Times New Roman" w:hAnsi="Times New Roman"/>
          <w:color w:val="000000"/>
          <w:sz w:val="20"/>
        </w:rPr>
        <w:t xml:space="preserve"> </w:t>
      </w:r>
      <w:r>
        <w:rPr>
          <w:rFonts w:ascii="Times New Roman" w:hAnsi="Times New Roman"/>
          <w:b/>
          <w:color w:val="000000"/>
          <w:sz w:val="24"/>
        </w:rPr>
        <w:t>Manufacturing Dependencies</w:t>
      </w:r>
      <w:r>
        <w:rPr>
          <w:rFonts w:ascii="Times New Roman" w:hAnsi="Times New Roman"/>
          <w:color w:val="000000"/>
          <w:sz w:val="24"/>
        </w:rPr>
        <w:t>.</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both"/>
        <w:rPr>
          <w:rFonts w:ascii="Times New Roman" w:hAnsi="Times New Roman"/>
          <w:sz w:val="20"/>
        </w:rPr>
      </w:pPr>
      <w:r>
        <w:rPr>
          <w:rFonts w:ascii="Times New Roman" w:hAnsi="Times New Roman"/>
          <w:color w:val="000000"/>
          <w:sz w:val="24"/>
        </w:rPr>
        <w:t>5.5.1</w:t>
      </w:r>
      <w:r>
        <w:rPr>
          <w:rFonts w:ascii="Times New Roman" w:hAnsi="Times New Roman"/>
          <w:color w:val="000000"/>
          <w:sz w:val="20"/>
        </w:rPr>
        <w:t xml:space="preserve"> </w:t>
      </w:r>
      <w:r>
        <w:rPr>
          <w:rFonts w:ascii="Times New Roman" w:hAnsi="Times New Roman"/>
          <w:color w:val="000000"/>
          <w:sz w:val="24"/>
          <w:u w:val="single"/>
        </w:rPr>
        <w:t>Impact to CRO Services</w:t>
      </w:r>
      <w:r>
        <w:rPr>
          <w:rFonts w:ascii="Times New Roman" w:hAnsi="Times New Roman"/>
          <w:color w:val="000000"/>
          <w:sz w:val="24"/>
        </w:rPr>
        <w:t>. Thermo Fisher acknowledges and agrees that the timely performance of the Manufacturing Services and delivery of Product are critical to Arcturus’ clinical development activities and that Arcturus is relying upon Thermo Fisher’s Manufacturing performance to satisfy obligations of PPD with respect to the CRO Project Addendum.</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5.5.2</w:t>
      </w:r>
      <w:r>
        <w:rPr>
          <w:rFonts w:ascii="Times New Roman" w:hAnsi="Times New Roman"/>
          <w:color w:val="000000"/>
          <w:sz w:val="20"/>
        </w:rPr>
        <w:t xml:space="preserve"> </w:t>
      </w:r>
      <w:r>
        <w:rPr>
          <w:rFonts w:ascii="Times New Roman" w:hAnsi="Times New Roman"/>
          <w:color w:val="000000"/>
          <w:sz w:val="24"/>
          <w:u w:val="single"/>
        </w:rPr>
        <w:t>Thermo Fisher Manufacturing Failures or Delays</w:t>
      </w:r>
      <w:r>
        <w:rPr>
          <w:rFonts w:ascii="Times New Roman" w:hAnsi="Times New Roman"/>
          <w:color w:val="000000"/>
          <w:sz w:val="24"/>
        </w:rPr>
        <w:t>.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5.2.3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5.2.4</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both"/>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6 PHASE 3 CRO SERVICES AND COST ALLOCATION</w:t>
      </w:r>
    </w:p>
    <w:p>
      <w:pPr>
        <w:pStyle w:val="TextBody"/>
        <w:bidi w:val="0"/>
        <w:spacing w:before="0" w:after="240"/>
        <w:jc w:val="left"/>
        <w:rPr>
          <w:rFonts w:ascii="Times New Roman" w:hAnsi="Times New Roman"/>
          <w:sz w:val="20"/>
        </w:rPr>
      </w:pPr>
      <w:r>
        <w:rPr>
          <w:rFonts w:ascii="Times New Roman" w:hAnsi="Times New Roman"/>
          <w:color w:val="000000"/>
          <w:sz w:val="24"/>
        </w:rPr>
        <w:t>6.1</w:t>
      </w:r>
      <w:r>
        <w:rPr>
          <w:rFonts w:ascii="Times New Roman" w:hAnsi="Times New Roman"/>
          <w:color w:val="000000"/>
          <w:sz w:val="20"/>
        </w:rPr>
        <w:t xml:space="preserve"> </w:t>
      </w:r>
      <w:r>
        <w:rPr>
          <w:rFonts w:ascii="Times New Roman" w:hAnsi="Times New Roman"/>
          <w:b/>
          <w:color w:val="000000"/>
          <w:sz w:val="24"/>
        </w:rPr>
        <w:t xml:space="preserve">Clinical Trial Budget And Addendum. </w:t>
      </w:r>
      <w:r>
        <w:rPr>
          <w:rFonts w:ascii="Times New Roman" w:hAnsi="Times New Roman"/>
          <w:color w:val="000000"/>
          <w:sz w:val="24"/>
        </w:rPr>
        <w:t>The Parties acknowledge and agree that the CRO Services contemplated by this Side Agreement shall be subject to the negotiation and execution of a CRO Project Addendum which will include without limitation, the scope of work, responsibilities of both Parties, timelines, Clinical Trial budget, and payment schedule for the CRO Services. The Parties shall negotiate the CRO Project Addendum in good faith and shall endeavor to finalize and execute the CRO Project Addendum within [***] of PPD’s receipt of each final Clinical Trial protocol synopsis provided by Arcturus and the Parties mutual agreement to the scope of services and budget (“</w:t>
      </w:r>
      <w:r>
        <w:rPr>
          <w:rFonts w:ascii="Times New Roman" w:hAnsi="Times New Roman"/>
          <w:b/>
          <w:color w:val="000000"/>
          <w:sz w:val="24"/>
        </w:rPr>
        <w:t>CRO Deadline</w:t>
      </w:r>
      <w:r>
        <w:rPr>
          <w:rFonts w:ascii="Times New Roman" w:hAnsi="Times New Roman"/>
          <w:color w:val="000000"/>
          <w:sz w:val="20"/>
        </w:rPr>
        <w:t>”</w:t>
      </w:r>
      <w:r>
        <w:rPr>
          <w:rFonts w:ascii="Times New Roman" w:hAnsi="Times New Roman"/>
          <w:color w:val="000000"/>
          <w:sz w:val="24"/>
        </w:rPr>
        <w:t>) or such extended period as the Parties may agree in writing.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6.2</w:t>
      </w:r>
      <w:r>
        <w:rPr>
          <w:rFonts w:ascii="Times New Roman" w:hAnsi="Times New Roman"/>
          <w:color w:val="000000"/>
          <w:sz w:val="20"/>
        </w:rPr>
        <w:t xml:space="preserve"> </w:t>
      </w:r>
      <w:r>
        <w:rPr>
          <w:rFonts w:ascii="Times New Roman" w:hAnsi="Times New Roman"/>
          <w:b/>
          <w:color w:val="000000"/>
          <w:sz w:val="24"/>
        </w:rPr>
        <w:t>Failure To Agree To The CRO Project Addendum</w:t>
      </w:r>
      <w:r>
        <w:rPr>
          <w:rFonts w:ascii="Times New Roman" w:hAnsi="Times New Roman"/>
          <w:color w:val="000000"/>
          <w:sz w:val="24"/>
        </w:rPr>
        <w:t>. If the Parties are unable to mutually agree upon and execute the CRO Project Addendums, including agreement to the applicable budget and responsibilities, by the CRO Deadline, either Party may provide written notice to the other Party identifying the open issues in reasonable detail. Promptly following such notice, the Parties’ project-level representatives shall meet and confer in good faith for a period of [***] to resolve the open issues.</w:t>
      </w:r>
    </w:p>
    <w:p>
      <w:pPr>
        <w:pStyle w:val="TextBody"/>
        <w:bidi w:val="0"/>
        <w:jc w:val="left"/>
        <w:rPr>
          <w:rFonts w:ascii="Times New Roman" w:hAnsi="Times New Roman"/>
          <w:color w:val="000000"/>
          <w:sz w:val="24"/>
        </w:rPr>
      </w:pPr>
      <w:r>
        <w:rPr>
          <w:rFonts w:ascii="Times New Roman" w:hAnsi="Times New Roman"/>
          <w:color w:val="000000"/>
          <w:sz w:val="24"/>
        </w:rPr>
        <w:t>If the project-level representatives are unable to resolve the open issues within such period, the matter shall be escalated to senior business and legal representatives of each Party with authority to resolve the dispute. Such senior representatives shall meet, either in person or by video conference, within [***] after escalation and shall negotiate in good faith for a period of at least [***], or such longer period as the Parties may agree in writing, to attempt to resolve the open issues and finalize the CRO Project Addendum(s).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6.3</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6.4</w:t>
      </w:r>
      <w:r>
        <w:rPr>
          <w:rFonts w:ascii="Times New Roman" w:hAnsi="Times New Roman"/>
          <w:color w:val="000000"/>
          <w:sz w:val="20"/>
        </w:rPr>
        <w:t xml:space="preserve"> </w:t>
      </w:r>
      <w:r>
        <w:rPr>
          <w:rFonts w:ascii="Times New Roman" w:hAnsi="Times New Roman"/>
          <w:b/>
          <w:color w:val="000000"/>
          <w:sz w:val="24"/>
        </w:rPr>
        <w:t xml:space="preserve">CRO Excluded Services. </w:t>
      </w:r>
      <w:r>
        <w:rPr>
          <w:rFonts w:ascii="Times New Roman" w:hAnsi="Times New Roman"/>
          <w:color w:val="000000"/>
          <w:sz w:val="24"/>
        </w:rPr>
        <w:t>The following categories of costs shall NOT count toward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color w:val="000000"/>
          <w:sz w:val="24"/>
        </w:rPr>
        <w:t>6.4.1</w:t>
      </w:r>
      <w:r>
        <w:rPr>
          <w:rFonts w:ascii="Times New Roman" w:hAnsi="Times New Roman"/>
          <w:color w:val="000000"/>
          <w:sz w:val="20"/>
        </w:rPr>
        <w:t xml:space="preserve"> </w:t>
      </w:r>
      <w:r>
        <w:rPr>
          <w:rFonts w:ascii="Times New Roman" w:hAnsi="Times New Roman"/>
          <w:color w:val="000000"/>
          <w:sz w:val="24"/>
        </w:rPr>
        <w:t>Investigator fees and site payments (including investigator grants, site initiation fees, and per-patient/per-visit fees);</w:t>
      </w:r>
    </w:p>
    <w:p>
      <w:pPr>
        <w:pStyle w:val="TextBody"/>
        <w:bidi w:val="0"/>
        <w:spacing w:before="0" w:after="240"/>
        <w:jc w:val="left"/>
        <w:rPr>
          <w:rFonts w:ascii="Times New Roman" w:hAnsi="Times New Roman"/>
          <w:sz w:val="20"/>
        </w:rPr>
      </w:pPr>
      <w:r>
        <w:rPr>
          <w:rFonts w:ascii="Times New Roman" w:hAnsi="Times New Roman"/>
          <w:color w:val="000000"/>
          <w:sz w:val="24"/>
        </w:rPr>
        <w:t>6.4.2</w:t>
      </w:r>
      <w:r>
        <w:rPr>
          <w:rFonts w:ascii="Times New Roman" w:hAnsi="Times New Roman"/>
          <w:color w:val="000000"/>
          <w:sz w:val="20"/>
        </w:rPr>
        <w:t xml:space="preserve"> </w:t>
      </w:r>
      <w:r>
        <w:rPr>
          <w:rFonts w:ascii="Times New Roman" w:hAnsi="Times New Roman"/>
          <w:color w:val="000000"/>
          <w:sz w:val="24"/>
        </w:rPr>
        <w:t>Pass-through expenses (including but not limited to travel, lodging, shipping, and expenses included as part of contracted budgets for PPD Affiliates, including but not limited to Affiliates such as [***];</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6.4.3</w:t>
      </w:r>
      <w:r>
        <w:rPr>
          <w:rFonts w:ascii="Times New Roman" w:hAnsi="Times New Roman"/>
          <w:color w:val="000000"/>
          <w:sz w:val="20"/>
        </w:rPr>
        <w:t xml:space="preserve"> </w:t>
      </w:r>
      <w:r>
        <w:rPr>
          <w:rFonts w:ascii="Times New Roman" w:hAnsi="Times New Roman"/>
          <w:color w:val="000000"/>
          <w:sz w:val="24"/>
        </w:rPr>
        <w:t>Third-party vendor costs (including but not limited to independent data monitoring committees, adjudication committees, and specialty testing laboratories other than any Fees charged by PPD specialty labs as these Fees would count toward the CRO Match);</w:t>
      </w:r>
    </w:p>
    <w:p>
      <w:pPr>
        <w:pStyle w:val="TextBody"/>
        <w:bidi w:val="0"/>
        <w:spacing w:before="0" w:after="240"/>
        <w:jc w:val="left"/>
        <w:rPr>
          <w:rFonts w:ascii="Times New Roman" w:hAnsi="Times New Roman"/>
          <w:sz w:val="20"/>
        </w:rPr>
      </w:pPr>
      <w:r>
        <w:rPr>
          <w:rFonts w:ascii="Times New Roman" w:hAnsi="Times New Roman"/>
          <w:color w:val="000000"/>
          <w:sz w:val="24"/>
        </w:rPr>
        <w:t>6.4.4</w:t>
      </w:r>
      <w:r>
        <w:rPr>
          <w:rFonts w:ascii="Times New Roman" w:hAnsi="Times New Roman"/>
          <w:color w:val="000000"/>
          <w:sz w:val="20"/>
        </w:rPr>
        <w:t xml:space="preserve"> </w:t>
      </w:r>
      <w:r>
        <w:rPr>
          <w:rFonts w:ascii="Times New Roman" w:hAnsi="Times New Roman"/>
          <w:color w:val="000000"/>
          <w:sz w:val="24"/>
        </w:rPr>
        <w:t>Services provided by [***] or from any business units acquired by Thermo Fisher after the Effective Date of the Side Agreement;</w:t>
      </w:r>
    </w:p>
    <w:p>
      <w:pPr>
        <w:pStyle w:val="TextBody"/>
        <w:bidi w:val="0"/>
        <w:spacing w:before="0" w:after="240"/>
        <w:jc w:val="left"/>
        <w:rPr>
          <w:rFonts w:ascii="Times New Roman" w:hAnsi="Times New Roman"/>
          <w:sz w:val="20"/>
        </w:rPr>
      </w:pPr>
      <w:r>
        <w:rPr>
          <w:rFonts w:ascii="Times New Roman" w:hAnsi="Times New Roman"/>
          <w:color w:val="000000"/>
          <w:sz w:val="24"/>
        </w:rPr>
        <w:t>6.4.5</w:t>
      </w:r>
      <w:r>
        <w:rPr>
          <w:rFonts w:ascii="Times New Roman" w:hAnsi="Times New Roman"/>
          <w:color w:val="000000"/>
          <w:sz w:val="20"/>
        </w:rPr>
        <w:t xml:space="preserve"> </w:t>
      </w:r>
      <w:r>
        <w:rPr>
          <w:rFonts w:ascii="Times New Roman" w:hAnsi="Times New Roman"/>
          <w:color w:val="000000"/>
          <w:sz w:val="24"/>
        </w:rPr>
        <w:t>Regulatory filing fees and government charges; and</w:t>
      </w:r>
    </w:p>
    <w:p>
      <w:pPr>
        <w:pStyle w:val="TextBody"/>
        <w:bidi w:val="0"/>
        <w:spacing w:before="0" w:after="240"/>
        <w:jc w:val="left"/>
        <w:rPr>
          <w:rFonts w:ascii="Times New Roman" w:hAnsi="Times New Roman"/>
          <w:sz w:val="20"/>
        </w:rPr>
      </w:pPr>
      <w:r>
        <w:rPr>
          <w:rFonts w:ascii="Times New Roman" w:hAnsi="Times New Roman"/>
          <w:color w:val="000000"/>
          <w:sz w:val="24"/>
        </w:rPr>
        <w:t>6.4.6</w:t>
      </w:r>
      <w:r>
        <w:rPr>
          <w:rFonts w:ascii="Times New Roman" w:hAnsi="Times New Roman"/>
          <w:color w:val="000000"/>
          <w:sz w:val="20"/>
        </w:rPr>
        <w:t xml:space="preserve"> </w:t>
      </w:r>
      <w:r>
        <w:rPr>
          <w:rFonts w:ascii="Times New Roman" w:hAnsi="Times New Roman"/>
          <w:color w:val="000000"/>
          <w:sz w:val="24"/>
        </w:rPr>
        <w:t xml:space="preserve">Such other cost categories as the Parties may mutually agree in writing from time to time, as documented in </w:t>
      </w:r>
      <w:r>
        <w:rPr>
          <w:rFonts w:ascii="Times New Roman" w:hAnsi="Times New Roman"/>
          <w:b/>
          <w:color w:val="000000"/>
          <w:sz w:val="24"/>
        </w:rPr>
        <w:t>Exhibit B</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6.5</w:t>
      </w:r>
      <w:r>
        <w:rPr>
          <w:rFonts w:ascii="Times New Roman" w:hAnsi="Times New Roman"/>
          <w:color w:val="000000"/>
          <w:sz w:val="20"/>
        </w:rPr>
        <w:t xml:space="preserve"> </w:t>
      </w:r>
      <w:r>
        <w:rPr>
          <w:rFonts w:ascii="Times New Roman" w:hAnsi="Times New Roman"/>
          <w:b/>
          <w:color w:val="000000"/>
          <w:sz w:val="24"/>
        </w:rPr>
        <w:t xml:space="preserve">CRO Records.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6.6</w:t>
      </w:r>
      <w:r>
        <w:rPr>
          <w:rFonts w:ascii="Times New Roman" w:hAnsi="Times New Roman"/>
          <w:color w:val="000000"/>
          <w:sz w:val="20"/>
        </w:rPr>
        <w:t xml:space="preserve"> </w:t>
      </w:r>
      <w:r>
        <w:rPr>
          <w:rFonts w:ascii="Times New Roman" w:hAnsi="Times New Roman"/>
          <w:b/>
          <w:color w:val="000000"/>
          <w:sz w:val="24"/>
        </w:rPr>
        <w:t xml:space="preserve">Conflict, Qualifying and Excluded Services. </w:t>
      </w:r>
      <w:r>
        <w:rPr>
          <w:rFonts w:ascii="Times New Roman" w:hAnsi="Times New Roman"/>
          <w:color w:val="000000"/>
          <w:sz w:val="24"/>
        </w:rPr>
        <w:t xml:space="preserve">In the event of any inconsistency between this Annex 3, including </w:t>
      </w:r>
      <w:r>
        <w:rPr>
          <w:rFonts w:ascii="Times New Roman" w:hAnsi="Times New Roman"/>
          <w:b/>
          <w:color w:val="000000"/>
          <w:sz w:val="24"/>
        </w:rPr>
        <w:t>Exhibit B</w:t>
      </w:r>
      <w:r>
        <w:rPr>
          <w:rFonts w:ascii="Times New Roman" w:hAnsi="Times New Roman"/>
          <w:color w:val="000000"/>
          <w:sz w:val="24"/>
        </w:rPr>
        <w:t xml:space="preserve">, and the MSA regarding whether a cost category constitutes a Qualifying Service or an Excluded Service, </w:t>
      </w:r>
      <w:r>
        <w:rPr>
          <w:rFonts w:ascii="Times New Roman" w:hAnsi="Times New Roman"/>
          <w:b/>
          <w:color w:val="000000"/>
          <w:sz w:val="24"/>
        </w:rPr>
        <w:t>Exhibit B</w:t>
      </w:r>
      <w:r>
        <w:rPr>
          <w:rFonts w:ascii="Times New Roman" w:hAnsi="Times New Roman"/>
          <w:color w:val="000000"/>
          <w:sz w:val="20"/>
        </w:rPr>
        <w:t xml:space="preserve"> </w:t>
      </w:r>
      <w:r>
        <w:rPr>
          <w:rFonts w:ascii="Times New Roman" w:hAnsi="Times New Roman"/>
          <w:color w:val="000000"/>
          <w:sz w:val="24"/>
        </w:rPr>
        <w:t>of the Side Agreement shall control until the applicable Project Addendum has been fully executed by both Parties.</w:t>
      </w:r>
    </w:p>
    <w:p>
      <w:pPr>
        <w:pStyle w:val="TextBody"/>
        <w:bidi w:val="0"/>
        <w:spacing w:before="0" w:after="240"/>
        <w:jc w:val="left"/>
        <w:rPr>
          <w:rFonts w:ascii="Times New Roman" w:hAnsi="Times New Roman"/>
          <w:sz w:val="20"/>
        </w:rPr>
      </w:pPr>
      <w:r>
        <w:rPr>
          <w:rFonts w:ascii="Times New Roman" w:hAnsi="Times New Roman"/>
          <w:color w:val="000000"/>
          <w:sz w:val="24"/>
        </w:rPr>
        <w:t>6.7</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6.8</w:t>
      </w:r>
      <w:r>
        <w:rPr>
          <w:rFonts w:ascii="Times New Roman" w:hAnsi="Times New Roman"/>
          <w:color w:val="000000"/>
          <w:sz w:val="20"/>
        </w:rPr>
        <w:t xml:space="preserve"> </w:t>
      </w:r>
      <w:r>
        <w:rPr>
          <w:rFonts w:ascii="Times New Roman" w:hAnsi="Times New Roman"/>
          <w:b/>
          <w:color w:val="000000"/>
          <w:sz w:val="24"/>
        </w:rPr>
        <w:t>Change to Phase 3 Program</w:t>
      </w:r>
      <w:r>
        <w:rPr>
          <w:rFonts w:ascii="Times New Roman" w:hAnsi="Times New Roman"/>
          <w:color w:val="000000"/>
          <w:sz w:val="24"/>
        </w:rPr>
        <w:t>. In the event of a material change to the Clinical Trial program design, scope, duration, or regulatory strategy, the Parties agree to revisit the applicable economic and operational assumptions in good faith to ensure continued alignment with the CDMO and CRO Services.</w:t>
      </w:r>
    </w:p>
    <w:p>
      <w:pPr>
        <w:pStyle w:val="TextBody"/>
        <w:bidi w:val="0"/>
        <w:spacing w:before="0" w:after="240"/>
        <w:jc w:val="left"/>
        <w:rPr>
          <w:rFonts w:ascii="Times New Roman" w:hAnsi="Times New Roman"/>
          <w:sz w:val="20"/>
        </w:rPr>
      </w:pPr>
      <w:r>
        <w:rPr>
          <w:rFonts w:ascii="Times New Roman" w:hAnsi="Times New Roman"/>
          <w:color w:val="000000"/>
          <w:sz w:val="24"/>
        </w:rPr>
        <w:t>6.9</w:t>
      </w:r>
      <w:r>
        <w:rPr>
          <w:rFonts w:ascii="Times New Roman" w:hAnsi="Times New Roman"/>
          <w:color w:val="000000"/>
          <w:sz w:val="20"/>
        </w:rPr>
        <w:t xml:space="preserve"> </w:t>
      </w:r>
      <w:r>
        <w:rPr>
          <w:rFonts w:ascii="Times New Roman" w:hAnsi="Times New Roman"/>
          <w:b/>
          <w:color w:val="000000"/>
          <w:sz w:val="24"/>
        </w:rPr>
        <w:t>PPD Obligations</w:t>
      </w:r>
    </w:p>
    <w:p>
      <w:pPr>
        <w:pStyle w:val="TextBody"/>
        <w:bidi w:val="0"/>
        <w:spacing w:before="0" w:after="240"/>
        <w:jc w:val="left"/>
        <w:rPr>
          <w:rFonts w:ascii="Times New Roman" w:hAnsi="Times New Roman"/>
          <w:sz w:val="20"/>
        </w:rPr>
      </w:pPr>
      <w:r>
        <w:rPr>
          <w:rFonts w:ascii="Times New Roman" w:hAnsi="Times New Roman"/>
          <w:color w:val="000000"/>
          <w:sz w:val="24"/>
        </w:rPr>
        <w:t>6.9.1</w:t>
      </w:r>
      <w:r>
        <w:rPr>
          <w:rFonts w:ascii="Times New Roman" w:hAnsi="Times New Roman"/>
          <w:color w:val="000000"/>
          <w:sz w:val="20"/>
        </w:rPr>
        <w:t xml:space="preserve"> </w:t>
      </w:r>
      <w:r>
        <w:rPr>
          <w:rFonts w:ascii="Times New Roman" w:hAnsi="Times New Roman"/>
          <w:color w:val="000000"/>
          <w:sz w:val="24"/>
          <w:u w:val="single"/>
        </w:rPr>
        <w:t>Performance Obligations</w:t>
      </w:r>
    </w:p>
    <w:p>
      <w:pPr>
        <w:pStyle w:val="TextBody"/>
        <w:bidi w:val="0"/>
        <w:spacing w:before="0" w:after="240"/>
        <w:jc w:val="left"/>
        <w:rPr>
          <w:rFonts w:ascii="Times New Roman" w:hAnsi="Times New Roman"/>
          <w:sz w:val="20"/>
        </w:rPr>
      </w:pPr>
      <w:r>
        <w:rPr>
          <w:rFonts w:ascii="Times New Roman" w:hAnsi="Times New Roman"/>
          <w:color w:val="000000"/>
          <w:sz w:val="24"/>
        </w:rPr>
        <w:t>PPD shall use commercially reasonable efforts to perform all CRO Services in accordance with the Performance Standards as set forth in the MSA.</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6.9.2</w:t>
      </w:r>
      <w:r>
        <w:rPr>
          <w:rFonts w:ascii="Times New Roman" w:hAnsi="Times New Roman"/>
          <w:color w:val="000000"/>
          <w:sz w:val="20"/>
        </w:rPr>
        <w:t xml:space="preserve"> </w:t>
      </w:r>
      <w:r>
        <w:rPr>
          <w:rFonts w:ascii="Times New Roman" w:hAnsi="Times New Roman"/>
          <w:color w:val="000000"/>
          <w:sz w:val="24"/>
          <w:u w:val="single"/>
        </w:rPr>
        <w:t>Key Employees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Arcturus and PPD may agree to identify the project manager and/or project oversight contact and/or the clinical trial manager who are considered vital to the successful performance of the CRO Services and who will perform CRO Services under a Project Addendum (“</w:t>
      </w:r>
      <w:r>
        <w:rPr>
          <w:rFonts w:ascii="Times New Roman" w:hAnsi="Times New Roman"/>
          <w:b/>
          <w:color w:val="000000"/>
          <w:sz w:val="24"/>
        </w:rPr>
        <w:t>Key Employees</w:t>
      </w:r>
      <w:r>
        <w:rPr>
          <w:rFonts w:ascii="Times New Roman" w:hAnsi="Times New Roman"/>
          <w:color w:val="000000"/>
          <w:sz w:val="20"/>
        </w:rPr>
        <w:t>”</w:t>
      </w:r>
      <w:r>
        <w:rPr>
          <w:rFonts w:ascii="Times New Roman" w:hAnsi="Times New Roman"/>
          <w:color w:val="000000"/>
          <w:sz w:val="24"/>
        </w:rPr>
        <w:t>), a list of whom shall be attached to the related Project Addendum. The parties may from time to time amend any list of Key Employees by written agreement (email sufficient). PPD agrees that, except for reasons that are not reasonably within PPD’s control (e.g., maternity leave, illness, disability, resignation, promotion,</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termination of employment or illness or death of a Key Employee), PPD shall not reallocate any Key Employee during the term of the applicable Project Addendum without Arcturus’ prior written consent. If a change of a Key Employee becomes necessary, PPD shall inform Arcturus as soon as practically and legally permissible. In the event a change in a Key Employees causes a disruption in the study, the Parties will work together in good faith to achieve a mutually agreeable solution. The Parties will work together in good faith to identify a replacement for the departing Key Employee and Arcturus shall be permitted to review the CV of the replacement personnel and approve such replacement personnel in advance, with such approval not to be delayed, conditioned, or unreasonably withheld. PPD also agrees that if a change of a Key Employee becomes necessary due to a Key Personnel’s unavailability or his or her inability to perform or meet reasonable standards of performance, the replacement personnel will be adequately trained by PPD (at PPD’s sole expense) on all aspects of the applicable Project Addendum and Study or Studies in advance of the reallocation. If Arcturus determines that any Key Personnel is not performing to reasonable standards of performance, Arcturus will notify PPD so that PPD may correct performance. If Arcturus requests to replace a Key Personnel for reasons other than such Key Personnel’s unavailability or his/her inability to perform or to meet reasonable standards of performance of CRO Services, Arcturus shall be responsible for all such reasonable costs and expenses in such change of the identified Key Personnel.</w:t>
      </w:r>
    </w:p>
    <w:p>
      <w:pPr>
        <w:pStyle w:val="TextBody"/>
        <w:bidi w:val="0"/>
        <w:spacing w:before="0" w:after="240"/>
        <w:jc w:val="left"/>
        <w:rPr>
          <w:rFonts w:ascii="Times New Roman" w:hAnsi="Times New Roman"/>
          <w:sz w:val="20"/>
        </w:rPr>
      </w:pPr>
      <w:r>
        <w:rPr>
          <w:rFonts w:ascii="Times New Roman" w:hAnsi="Times New Roman"/>
          <w:color w:val="000000"/>
          <w:sz w:val="24"/>
        </w:rPr>
        <w:t>6.9.3</w:t>
      </w:r>
      <w:r>
        <w:rPr>
          <w:rFonts w:ascii="Times New Roman" w:hAnsi="Times New Roman"/>
          <w:color w:val="000000"/>
          <w:sz w:val="20"/>
        </w:rPr>
        <w:t xml:space="preserve"> </w:t>
      </w:r>
      <w:r>
        <w:rPr>
          <w:rFonts w:ascii="Times New Roman" w:hAnsi="Times New Roman"/>
          <w:color w:val="000000"/>
          <w:sz w:val="24"/>
          <w:u w:val="single"/>
        </w:rPr>
        <w:t>PPD Personnel</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PPD shall allocate a sufficient number of qualified and trained employees to the performance of CRO Services and shall use its best efforts to ensure that all Services are performed in compliance with the Performance Standards, the MSA and each Project Addendum. PPD shall not remove or transfer Key Employees or resources away from the performance of CRO Services under the relevant Project Addendum, except (a) in such cases where such changes are agreed with Arcturus in writing or (b) when necessary due to the death, maternity leave, illness, disability, resignation, termination or promotion of Key Employees or other reason not reasonably within PPD’s control which makes them unable to continue with their current responsibilities. If PPD removes or transfers Key Employees under this section PPD shall promptly replace the individual. In the event new Key Employee personnel are assigned to perform CRO Services under a Project Addendum, where reasonably practicable, they shall be adequately trained prior to assignment to the study, including, but not limited to, reviewing and familiarizing themselves with all study documents, study processes, and all information related to the CRO Services for them to perform their duties at PPD’s sole expense. If applicable, the replacement shall be adequately trained by PPD (at PPD’s sole expense) on all aspects of the applicable Project Addendum and Study or Studies in advance of the reallocation.</w:t>
      </w:r>
    </w:p>
    <w:p>
      <w:pPr>
        <w:pStyle w:val="TextBody"/>
        <w:bidi w:val="0"/>
        <w:spacing w:before="0" w:after="240"/>
        <w:jc w:val="left"/>
        <w:rPr>
          <w:rFonts w:ascii="Times New Roman" w:hAnsi="Times New Roman"/>
          <w:sz w:val="20"/>
        </w:rPr>
      </w:pPr>
      <w:r>
        <w:rPr>
          <w:rFonts w:ascii="Times New Roman" w:hAnsi="Times New Roman"/>
          <w:color w:val="000000"/>
          <w:sz w:val="24"/>
        </w:rPr>
        <w:t>6.9.4</w:t>
      </w:r>
      <w:r>
        <w:rPr>
          <w:rFonts w:ascii="Times New Roman" w:hAnsi="Times New Roman"/>
          <w:color w:val="000000"/>
          <w:sz w:val="20"/>
        </w:rPr>
        <w:t xml:space="preserve"> </w:t>
      </w:r>
      <w:r>
        <w:rPr>
          <w:rFonts w:ascii="Times New Roman" w:hAnsi="Times New Roman"/>
          <w:color w:val="000000"/>
          <w:sz w:val="24"/>
          <w:u w:val="single"/>
        </w:rPr>
        <w:t>Deficient Performance of CRO Services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6.9.5</w:t>
      </w:r>
      <w:r>
        <w:rPr>
          <w:rFonts w:ascii="Times New Roman" w:hAnsi="Times New Roman"/>
          <w:color w:val="000000"/>
          <w:sz w:val="20"/>
        </w:rPr>
        <w:t xml:space="preserve"> </w:t>
      </w:r>
      <w:r>
        <w:rPr>
          <w:rFonts w:ascii="Times New Roman" w:hAnsi="Times New Roman"/>
          <w:color w:val="000000"/>
          <w:sz w:val="24"/>
          <w:u w:val="single"/>
        </w:rPr>
        <w:t>Performance Standards</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color w:val="000000"/>
          <w:sz w:val="24"/>
        </w:rPr>
        <w:t>As part of the CRO Services set forth in the CRO Project Addendum, the Parties will mutually agree to key performance indicator milestones (“</w:t>
      </w:r>
      <w:r>
        <w:rPr>
          <w:rFonts w:ascii="Times New Roman" w:hAnsi="Times New Roman"/>
          <w:b/>
          <w:color w:val="000000"/>
          <w:sz w:val="24"/>
        </w:rPr>
        <w:t>KPIs</w:t>
      </w:r>
      <w:r>
        <w:rPr>
          <w:rFonts w:ascii="Times New Roman" w:hAnsi="Times New Roman"/>
          <w:color w:val="000000"/>
          <w:sz w:val="20"/>
        </w:rPr>
        <w:t>”</w:t>
      </w:r>
      <w:r>
        <w:rPr>
          <w:rFonts w:ascii="Times New Roman" w:hAnsi="Times New Roman"/>
          <w:color w:val="000000"/>
          <w:sz w:val="24"/>
        </w:rPr>
        <w:t>) which Arcturus has determined and PPD has agreed are essential to the achievement of Arcturus’ achievement of its clinical development objectives. PPD will continuously monitor its performance against all KPIs set forth in the applicable CRO Services Project Addendum and promptly notify Arcturus of any actual or anticipated failure to meet any KPI set forth in the applicable Project Addendum. [***];</w:t>
      </w:r>
    </w:p>
    <w:p>
      <w:pPr>
        <w:pStyle w:val="TextBody"/>
        <w:bidi w:val="0"/>
        <w:spacing w:before="0" w:after="24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above will not be considered a material breach by PPD if any such failure or issue is directly caused by: (i) any act, omission or delay attributable to Arcturus or third party directed, selected or contracted by Arcturus’ (ii) a CNF(s) and/or applicable COS approved by Arcturus; or (iii) circumstances beyond PPD’s reasonable control including changes in regulations or laws, changes to standard of care, safety concerns, government rulings, force majeure event pursuant to the MSA.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7 — CLINICAL TRIAL OUTCOMES AND EXCLUSIVITY</w:t>
      </w:r>
    </w:p>
    <w:p>
      <w:pPr>
        <w:pStyle w:val="TextBody"/>
        <w:bidi w:val="0"/>
        <w:spacing w:before="0" w:after="240"/>
        <w:jc w:val="left"/>
        <w:rPr>
          <w:rFonts w:ascii="Times New Roman" w:hAnsi="Times New Roman"/>
          <w:sz w:val="20"/>
        </w:rPr>
      </w:pPr>
      <w:r>
        <w:rPr>
          <w:rFonts w:ascii="Times New Roman" w:hAnsi="Times New Roman"/>
          <w:b/>
          <w:color w:val="000000"/>
          <w:sz w:val="24"/>
        </w:rPr>
        <w:t>7.1 Phase 3 Failure.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7.1.1</w:t>
      </w:r>
      <w:r>
        <w:rPr>
          <w:rFonts w:ascii="Times New Roman" w:hAnsi="Times New Roman"/>
          <w:color w:val="000000"/>
          <w:sz w:val="20"/>
        </w:rPr>
        <w:t xml:space="preserve"> </w:t>
      </w:r>
      <w:r>
        <w:rPr>
          <w:rFonts w:ascii="Times New Roman" w:hAnsi="Times New Roman"/>
          <w:color w:val="000000"/>
          <w:sz w:val="24"/>
        </w:rPr>
        <w:t>If Arcturus concludes that the Clinical Trial fails to meet its primary endpoints or is otherwise deemed unsuccessful, or must be terminated as determined by the applicable Data Safety Monitoring Board (“</w:t>
      </w:r>
      <w:r>
        <w:rPr>
          <w:rFonts w:ascii="Times New Roman" w:hAnsi="Times New Roman"/>
          <w:b/>
          <w:color w:val="000000"/>
          <w:sz w:val="24"/>
        </w:rPr>
        <w:t>Regulatory Stop</w:t>
      </w:r>
      <w:r>
        <w:rPr>
          <w:rFonts w:ascii="Times New Roman" w:hAnsi="Times New Roman"/>
          <w:color w:val="000000"/>
          <w:sz w:val="20"/>
        </w:rPr>
        <w:t>”</w:t>
      </w:r>
      <w:r>
        <w:rPr>
          <w:rFonts w:ascii="Times New Roman" w:hAnsi="Times New Roman"/>
          <w:color w:val="000000"/>
          <w:sz w:val="24"/>
        </w:rPr>
        <w:t>), then Arcturus will notify Thermo Fisher thereof and, notwithstanding anything to the contrary herein: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The Parties will reconcile the actual Manufacturing Services costs and Qualifying CRO Services Fees invoiced through the effective date of the Regulatory Stop.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7.1.2 A Regulatory Stop shall not include a clinical hold that is subsequently lifted and from which the study resumes; in such case, the agreement shall remain in full force and effect.</w:t>
      </w:r>
    </w:p>
    <w:p>
      <w:pPr>
        <w:pStyle w:val="TextBody"/>
        <w:bidi w:val="0"/>
        <w:spacing w:before="0" w:after="240"/>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b/>
          <w:color w:val="000000"/>
          <w:sz w:val="24"/>
        </w:rPr>
        <w:t xml:space="preserve">Regulatory Approval and Exclusivity Grant. </w:t>
      </w:r>
      <w:r>
        <w:rPr>
          <w:rFonts w:ascii="Times New Roman" w:hAnsi="Times New Roman"/>
          <w:color w:val="000000"/>
          <w:sz w:val="24"/>
        </w:rPr>
        <w:t>Upon Regulatory Approval following a successful Clinical Trial, Arcturus hereby grants to Thermo Fisher an exclusive right to manufacture the Product during the Exclusivity Period, on terms to be set forth in the definitive Commercial Supply Agreement to be negotiated in good faith by the Parties.</w:t>
      </w:r>
    </w:p>
    <w:p>
      <w:pPr>
        <w:pStyle w:val="TextBody"/>
        <w:bidi w:val="0"/>
        <w:spacing w:before="0" w:after="240"/>
        <w:jc w:val="left"/>
        <w:rPr>
          <w:rFonts w:ascii="Times New Roman" w:hAnsi="Times New Roman"/>
          <w:sz w:val="20"/>
        </w:rPr>
      </w:pPr>
      <w:r>
        <w:rPr>
          <w:rFonts w:ascii="Times New Roman" w:hAnsi="Times New Roman"/>
          <w:color w:val="000000"/>
          <w:sz w:val="24"/>
        </w:rPr>
        <w:t>7.2.1</w:t>
      </w:r>
      <w:r>
        <w:rPr>
          <w:rFonts w:ascii="Times New Roman" w:hAnsi="Times New Roman"/>
          <w:color w:val="000000"/>
          <w:sz w:val="20"/>
        </w:rPr>
        <w:t xml:space="preserve"> </w:t>
      </w:r>
      <w:r>
        <w:rPr>
          <w:rFonts w:ascii="Times New Roman" w:hAnsi="Times New Roman"/>
          <w:color w:val="000000"/>
          <w:sz w:val="24"/>
          <w:u w:val="single"/>
        </w:rPr>
        <w:t>Conditions to Exclusivity</w:t>
      </w:r>
      <w:r>
        <w:rPr>
          <w:rFonts w:ascii="Times New Roman" w:hAnsi="Times New Roman"/>
          <w:color w:val="000000"/>
          <w:sz w:val="24"/>
        </w:rPr>
        <w:t>.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7.2.2.</w:t>
      </w:r>
    </w:p>
    <w:p>
      <w:pPr>
        <w:pStyle w:val="TextBody"/>
        <w:bidi w:val="0"/>
        <w:spacing w:before="0" w:after="240"/>
        <w:jc w:val="left"/>
        <w:rPr/>
      </w:pPr>
      <w:r>
        <w:rPr>
          <w:rFonts w:ascii="Times New Roman" w:hAnsi="Times New Roman"/>
          <w:color w:val="000000"/>
          <w:sz w:val="24"/>
          <w:u w:val="single"/>
        </w:rPr>
        <w:t>Scope of Exclusivity</w:t>
      </w:r>
      <w:r>
        <w:rPr>
          <w:rFonts w:ascii="Times New Roman" w:hAnsi="Times New Roman"/>
          <w:color w:val="000000"/>
          <w:sz w:val="24"/>
        </w:rPr>
        <w:t>. [***]Notwithstanding the foregoing, Arcturus may qualify and use an additional manufacturer for commercial supply of the Product solely to the extent Thermo Fisher is unable to provide the necessary commercial manufacturing capacity or supply required under the Commercial Supply Agreement. [***].</w:t>
      </w:r>
    </w:p>
    <w:p>
      <w:pPr>
        <w:pStyle w:val="TextBody"/>
        <w:bidi w:val="0"/>
        <w:jc w:val="left"/>
        <w:rPr>
          <w:rFonts w:ascii="Times New Roman" w:hAnsi="Times New Roman"/>
          <w:color w:val="000000"/>
          <w:sz w:val="24"/>
        </w:rPr>
      </w:pPr>
      <w:r>
        <w:rPr>
          <w:rFonts w:ascii="Times New Roman" w:hAnsi="Times New Roman"/>
          <w:color w:val="000000"/>
          <w:sz w:val="24"/>
        </w:rPr>
        <w:t>Arcturus may use an additional manufacturer only if, after completion of the notice and response process described above, Thermo Fisher is unable to provide a commercially reasonable plan to supply the applicable quantities within the required timeframe. Any such use shall be limited solely to the quantities and duration necessary to address Thermo Fisher’s inability to supply and shall not relieve Arcturus of its obligation to purchase all other commercial supply of the Product exclusively from Thermo Fisher. Arcturus shall not use any additional manufacturer for supply security, risk management, capacity expansion, commercial flexibility, cost reduction, convenience, or other business purposes if Thermo Fisher is able to provide the necessary manufacturing.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7.2.3</w:t>
      </w:r>
      <w:r>
        <w:rPr>
          <w:rFonts w:ascii="Times New Roman" w:hAnsi="Times New Roman"/>
          <w:color w:val="000000"/>
          <w:sz w:val="20"/>
        </w:rPr>
        <w:t xml:space="preserve"> </w:t>
      </w:r>
      <w:r>
        <w:rPr>
          <w:rFonts w:ascii="Times New Roman" w:hAnsi="Times New Roman"/>
          <w:color w:val="000000"/>
          <w:sz w:val="24"/>
          <w:u w:val="single"/>
        </w:rPr>
        <w:t>Exclusivity Period</w:t>
      </w:r>
      <w:r>
        <w:rPr>
          <w:rFonts w:ascii="Times New Roman" w:hAnsi="Times New Roman"/>
          <w:color w:val="000000"/>
          <w:sz w:val="24"/>
        </w:rPr>
        <w:t>. The Exclusivity Period shall commence on the later date of the Go Decision or the effective date of the CRO Project Addendum and continue until the end of the Term (“</w:t>
      </w:r>
      <w:r>
        <w:rPr>
          <w:rFonts w:ascii="Times New Roman" w:hAnsi="Times New Roman"/>
          <w:b/>
          <w:color w:val="000000"/>
          <w:sz w:val="24"/>
        </w:rPr>
        <w:t>Exclusive Period</w:t>
      </w:r>
      <w:r>
        <w:rPr>
          <w:rFonts w:ascii="Times New Roman" w:hAnsi="Times New Roman"/>
          <w:color w:val="000000"/>
          <w:sz w:val="20"/>
        </w:rPr>
        <w:t>”</w:t>
      </w:r>
      <w:r>
        <w:rPr>
          <w:rFonts w:ascii="Times New Roman" w:hAnsi="Times New Roman"/>
          <w:color w:val="000000"/>
          <w:sz w:val="24"/>
        </w:rPr>
        <w:t>). For the avoidance of doubt, earlier approval results in a longer exclusivity window, providing Thermo Fisher with enhanced commercial benefit for accelerated execution.</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ARTICLE 8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8.1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jc w:val="left"/>
        <w:rPr>
          <w:rFonts w:ascii="Times New Roman" w:hAnsi="Times New Roman"/>
          <w:sz w:val="20"/>
        </w:rPr>
      </w:pPr>
      <w:r>
        <w:rPr>
          <w:rFonts w:ascii="Times New Roman" w:hAnsi="Times New Roman"/>
          <w:color w:val="000000"/>
          <w:sz w:val="24"/>
        </w:rPr>
        <w:t>8.2</w:t>
      </w:r>
      <w:r>
        <w:rPr>
          <w:rFonts w:ascii="Times New Roman" w:hAnsi="Times New Roman"/>
          <w:color w:val="000000"/>
          <w:sz w:val="20"/>
        </w:rPr>
        <w:t xml:space="preserve"> </w:t>
      </w:r>
      <w:r>
        <w:rPr>
          <w:rFonts w:ascii="Times New Roman" w:hAnsi="Times New Roman"/>
          <w:color w:val="000000"/>
          <w:sz w:val="24"/>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8.3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122"/>
        <w:jc w:val="left"/>
        <w:rPr/>
      </w:pPr>
      <w:r>
        <w:rPr/>
        <w:t> </w:t>
      </w:r>
    </w:p>
    <w:p>
      <w:pPr>
        <w:pStyle w:val="TextBody"/>
        <w:bidi w:val="0"/>
        <w:spacing w:before="0" w:after="122"/>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9 TERM, TERMINATION</w:t>
      </w:r>
    </w:p>
    <w:p>
      <w:pPr>
        <w:pStyle w:val="TextBody"/>
        <w:bidi w:val="0"/>
        <w:spacing w:before="0" w:after="240"/>
        <w:jc w:val="left"/>
        <w:rPr>
          <w:rFonts w:ascii="Times New Roman" w:hAnsi="Times New Roman"/>
          <w:sz w:val="20"/>
        </w:rPr>
      </w:pPr>
      <w:r>
        <w:rPr>
          <w:rFonts w:ascii="Times New Roman" w:hAnsi="Times New Roman"/>
          <w:color w:val="000000"/>
          <w:sz w:val="24"/>
        </w:rPr>
        <w:t>9.1</w:t>
      </w:r>
      <w:r>
        <w:rPr>
          <w:rFonts w:ascii="Times New Roman" w:hAnsi="Times New Roman"/>
          <w:color w:val="000000"/>
          <w:sz w:val="20"/>
        </w:rPr>
        <w:t xml:space="preserve"> </w:t>
      </w:r>
      <w:r>
        <w:rPr>
          <w:rFonts w:ascii="Times New Roman" w:hAnsi="Times New Roman"/>
          <w:b/>
          <w:color w:val="000000"/>
          <w:sz w:val="24"/>
        </w:rPr>
        <w:t>Term</w:t>
      </w:r>
      <w:r>
        <w:rPr>
          <w:rFonts w:ascii="Times New Roman" w:hAnsi="Times New Roman"/>
          <w:color w:val="000000"/>
          <w:sz w:val="24"/>
        </w:rPr>
        <w:t>. This Side Agreement shall commence on the Effective Date and, unless terminated earlier as provided in Section 4.1.1, Section 6.2, or this Article 9, shall expire on the [***] anniversary of the Effective Date. [***]</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9.2 </w:t>
      </w:r>
      <w:r>
        <w:rPr>
          <w:rFonts w:ascii="Times New Roman" w:hAnsi="Times New Roman"/>
          <w:b/>
          <w:color w:val="000000"/>
          <w:sz w:val="24"/>
        </w:rPr>
        <w:t>Termination by Arcturus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9.2.1</w:t>
      </w:r>
      <w:r>
        <w:rPr>
          <w:rFonts w:ascii="Times New Roman" w:hAnsi="Times New Roman"/>
          <w:color w:val="000000"/>
          <w:sz w:val="20"/>
        </w:rPr>
        <w:t xml:space="preserve"> </w:t>
      </w:r>
      <w:r>
        <w:rPr>
          <w:rFonts w:ascii="Times New Roman" w:hAnsi="Times New Roman"/>
          <w:color w:val="000000"/>
          <w:sz w:val="24"/>
        </w:rPr>
        <w:t>Arcturus may terminate this Side Agreement for cause immediately upon written notice to Thermo Fisher if Thermo Fisher: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becomes insolvent, makes an assignment for the benefit of creditors, or becomes subject to bankruptcy or receivership proceedings;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engages in fraud, willful misconduct, or gross negligence that materially and adversely affects Arcturus; or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9.2.2.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Arcturus terminates this Side Agreement pursuant to Section 9.2.1: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Termination by Thermo Fisher.</w:t>
      </w:r>
    </w:p>
    <w:p>
      <w:pPr>
        <w:pStyle w:val="TextBody"/>
        <w:bidi w:val="0"/>
        <w:spacing w:before="0" w:after="240"/>
        <w:jc w:val="left"/>
        <w:rPr>
          <w:rFonts w:ascii="Times New Roman" w:hAnsi="Times New Roman"/>
          <w:sz w:val="20"/>
        </w:rPr>
      </w:pPr>
      <w:r>
        <w:rPr>
          <w:rFonts w:ascii="Times New Roman" w:hAnsi="Times New Roman"/>
          <w:color w:val="000000"/>
          <w:sz w:val="24"/>
        </w:rPr>
        <w:t>9.3.1</w:t>
      </w:r>
      <w:r>
        <w:rPr>
          <w:rFonts w:ascii="Times New Roman" w:hAnsi="Times New Roman"/>
          <w:color w:val="000000"/>
          <w:sz w:val="20"/>
        </w:rPr>
        <w:t xml:space="preserve"> </w:t>
      </w:r>
      <w:r>
        <w:rPr>
          <w:rFonts w:ascii="Times New Roman" w:hAnsi="Times New Roman"/>
          <w:color w:val="000000"/>
          <w:sz w:val="24"/>
        </w:rPr>
        <w:t>Thermo Fisher may terminate this Side Agreement upon written notice to Arcturus if Arcturus: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materially breaches this Side Agreement or the MSA and fails to cure such breach within [***]of written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becomes insolvent, makes a general assignment for the benefit of creditors, or is subject to bankruptcy or receivership proceedings;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engages in fraud or willful misconduct that materially and adversely affects Thermo Fisher.</w:t>
      </w:r>
    </w:p>
    <w:p>
      <w:pPr>
        <w:pStyle w:val="TextBody"/>
        <w:bidi w:val="0"/>
        <w:spacing w:before="0" w:after="240"/>
        <w:jc w:val="left"/>
        <w:rPr>
          <w:rFonts w:ascii="Times New Roman" w:hAnsi="Times New Roman"/>
          <w:sz w:val="20"/>
        </w:rPr>
      </w:pPr>
      <w:r>
        <w:rPr>
          <w:rFonts w:ascii="Times New Roman" w:hAnsi="Times New Roman"/>
          <w:color w:val="000000"/>
          <w:sz w:val="24"/>
        </w:rPr>
        <w:t>9.3.2</w:t>
      </w:r>
      <w:r>
        <w:rPr>
          <w:rFonts w:ascii="Times New Roman" w:hAnsi="Times New Roman"/>
          <w:color w:val="000000"/>
          <w:sz w:val="20"/>
        </w:rPr>
        <w:t xml:space="preserve"> </w:t>
      </w:r>
      <w:r>
        <w:rPr>
          <w:rFonts w:ascii="Times New Roman" w:hAnsi="Times New Roman"/>
          <w:color w:val="000000"/>
          <w:sz w:val="24"/>
        </w:rPr>
        <w:t>Upon termination of this Side Agreement by Thermo Fisher pursuant to Section 9.3.1 and in addition to Arcturus’ payment obligations upon termination pursuant to Section 5.6.2 of the MSA:</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Effect of Termination; Accrued Rights; Survival. </w:t>
      </w:r>
    </w:p>
    <w:p>
      <w:pPr>
        <w:pStyle w:val="TextBody"/>
        <w:bidi w:val="0"/>
        <w:spacing w:before="0" w:after="240"/>
        <w:jc w:val="left"/>
        <w:rPr>
          <w:rFonts w:ascii="Times New Roman" w:hAnsi="Times New Roman"/>
          <w:sz w:val="20"/>
        </w:rPr>
      </w:pPr>
      <w:r>
        <w:rPr>
          <w:rFonts w:ascii="Times New Roman" w:hAnsi="Times New Roman"/>
          <w:color w:val="000000"/>
          <w:sz w:val="24"/>
        </w:rPr>
        <w:t>9.4.1</w:t>
      </w:r>
      <w:r>
        <w:rPr>
          <w:rFonts w:ascii="Times New Roman" w:hAnsi="Times New Roman"/>
          <w:color w:val="000000"/>
          <w:sz w:val="20"/>
        </w:rPr>
        <w:t xml:space="preserve"> </w:t>
      </w:r>
      <w:r>
        <w:rPr>
          <w:rFonts w:ascii="Times New Roman" w:hAnsi="Times New Roman"/>
          <w:color w:val="000000"/>
          <w:sz w:val="24"/>
        </w:rPr>
        <w:t>Termination of this Side Agreement as permitted herein shall not entitle either Party to recover lost profits or anticipated revenues.</w:t>
      </w:r>
    </w:p>
    <w:p>
      <w:pPr>
        <w:pStyle w:val="TextBody"/>
        <w:bidi w:val="0"/>
        <w:spacing w:before="0" w:after="240"/>
        <w:jc w:val="left"/>
        <w:rPr>
          <w:rFonts w:ascii="Times New Roman" w:hAnsi="Times New Roman"/>
          <w:sz w:val="20"/>
        </w:rPr>
      </w:pPr>
      <w:r>
        <w:rPr>
          <w:rFonts w:ascii="Times New Roman" w:hAnsi="Times New Roman"/>
          <w:color w:val="000000"/>
          <w:sz w:val="24"/>
        </w:rPr>
        <w:t>9.4.2</w:t>
      </w:r>
      <w:r>
        <w:rPr>
          <w:rFonts w:ascii="Times New Roman" w:hAnsi="Times New Roman"/>
          <w:color w:val="000000"/>
          <w:sz w:val="20"/>
        </w:rPr>
        <w:t xml:space="preserve"> </w:t>
      </w:r>
      <w:r>
        <w:rPr>
          <w:rFonts w:ascii="Times New Roman" w:hAnsi="Times New Roman"/>
          <w:color w:val="000000"/>
          <w:sz w:val="24"/>
        </w:rPr>
        <w:t>The expiration or termination of this Side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Side Agreement preclude either Party from pursuing all rights and remedies it may have under this Side Agreement, or at law or in equity, with respect to breach of this Side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9.4.3</w:t>
      </w:r>
      <w:r>
        <w:rPr>
          <w:rFonts w:ascii="Times New Roman" w:hAnsi="Times New Roman"/>
          <w:color w:val="000000"/>
          <w:sz w:val="20"/>
        </w:rPr>
        <w:t xml:space="preserve"> </w:t>
      </w:r>
      <w:r>
        <w:rPr>
          <w:rFonts w:ascii="Times New Roman" w:hAnsi="Times New Roman"/>
          <w:color w:val="000000"/>
          <w:sz w:val="24"/>
        </w:rPr>
        <w:t>In the event of expiration or any termination of this Side Agreement, the following provisions of this Side Agreement shall survive such expiration or termination in accordance with their respective terms and conditions: Article 1 (Definitions), Sections 2.3 and 2.4 (Commercial Supply Agreement), Section 3.4 (Additional Costs), Section 6.9 (PPD Obligations), Article 12 (Survival), Article 13 (Dispute Resolution), Article 14 (General Provision) and Exhibit A-2 (Commercial Pricing).</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ARTICLE 10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10.1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10.2</w:t>
      </w:r>
      <w:r>
        <w:rPr>
          <w:rFonts w:ascii="Times New Roman" w:hAnsi="Times New Roman"/>
          <w:color w:val="000000"/>
          <w:sz w:val="20"/>
        </w:rPr>
        <w:t xml:space="preserve"> </w:t>
      </w:r>
      <w:r>
        <w:rPr>
          <w:rFonts w:ascii="Times New Roman" w:hAnsi="Times New Roman"/>
          <w:color w:val="000000"/>
          <w:sz w:val="24"/>
        </w:rPr>
        <w:t>Omitted.</w:t>
      </w:r>
    </w:p>
    <w:p>
      <w:pPr>
        <w:pStyle w:val="TextBody"/>
        <w:bidi w:val="0"/>
        <w:spacing w:before="0" w:after="240"/>
        <w:jc w:val="left"/>
        <w:rPr>
          <w:rFonts w:ascii="Times New Roman" w:hAnsi="Times New Roman"/>
          <w:sz w:val="20"/>
        </w:rPr>
      </w:pPr>
      <w:r>
        <w:rPr>
          <w:rFonts w:ascii="Times New Roman" w:hAnsi="Times New Roman"/>
          <w:color w:val="000000"/>
          <w:sz w:val="24"/>
        </w:rPr>
        <w:t>10.3</w:t>
      </w:r>
      <w:r>
        <w:rPr>
          <w:rFonts w:ascii="Times New Roman" w:hAnsi="Times New Roman"/>
          <w:color w:val="000000"/>
          <w:sz w:val="20"/>
        </w:rPr>
        <w:t xml:space="preserve"> </w:t>
      </w:r>
      <w:r>
        <w:rPr>
          <w:rFonts w:ascii="Times New Roman" w:hAnsi="Times New Roman"/>
          <w:b/>
          <w:color w:val="000000"/>
          <w:sz w:val="24"/>
        </w:rPr>
        <w:t>Pricing Parameters</w:t>
      </w:r>
      <w:r>
        <w:rPr>
          <w:rFonts w:ascii="Times New Roman" w:hAnsi="Times New Roman"/>
          <w:color w:val="000000"/>
          <w:sz w:val="24"/>
        </w:rPr>
        <w:t>. [***]</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10.4</w:t>
      </w:r>
      <w:r>
        <w:rPr>
          <w:rFonts w:ascii="Times New Roman" w:hAnsi="Times New Roman"/>
          <w:color w:val="000000"/>
          <w:sz w:val="20"/>
        </w:rPr>
        <w:t xml:space="preserve"> </w:t>
      </w:r>
      <w:r>
        <w:rPr>
          <w:rFonts w:ascii="Times New Roman" w:hAnsi="Times New Roman"/>
          <w:color w:val="000000"/>
          <w:sz w:val="24"/>
        </w:rPr>
        <w:t>[***]. [***].</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the event Arcturus requests additional Services or materials not included in the scope of </w:t>
      </w:r>
      <w:r>
        <w:rPr>
          <w:rFonts w:ascii="Times New Roman" w:hAnsi="Times New Roman"/>
          <w:b/>
          <w:color w:val="000000"/>
          <w:sz w:val="24"/>
        </w:rPr>
        <w:t>Exhibits A-1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A-2</w:t>
      </w:r>
      <w:r>
        <w:rPr>
          <w:rFonts w:ascii="Times New Roman" w:hAnsi="Times New Roman"/>
          <w:color w:val="000000"/>
          <w:sz w:val="24"/>
        </w:rPr>
        <w:t xml:space="preserve">, Thermo Fisher shall provide Arcturus with pricing for such additional Services or materials that are (i) consistent with and proportionate to the pricing, rates and fee structures reflected in </w:t>
      </w:r>
      <w:r>
        <w:rPr>
          <w:rFonts w:ascii="Times New Roman" w:hAnsi="Times New Roman"/>
          <w:b/>
          <w:color w:val="000000"/>
          <w:sz w:val="24"/>
        </w:rPr>
        <w:t>Exhibits A-1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A-2</w:t>
      </w:r>
      <w:r>
        <w:rPr>
          <w:rFonts w:ascii="Times New Roman" w:hAnsi="Times New Roman"/>
          <w:color w:val="000000"/>
          <w:sz w:val="24"/>
        </w:rPr>
        <w:t xml:space="preserve">, such that the pricing for any additional Services or materials is derived from and aligned with </w:t>
      </w:r>
      <w:r>
        <w:rPr>
          <w:rFonts w:ascii="Times New Roman" w:hAnsi="Times New Roman"/>
          <w:b/>
          <w:color w:val="000000"/>
          <w:sz w:val="24"/>
        </w:rPr>
        <w:t>Exhibits A-1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A-2</w:t>
      </w:r>
      <w:r>
        <w:rPr>
          <w:rFonts w:ascii="Times New Roman" w:hAnsi="Times New Roman"/>
          <w:color w:val="000000"/>
          <w:sz w:val="20"/>
        </w:rPr>
        <w:t xml:space="preserve"> </w:t>
      </w:r>
      <w:r>
        <w:rPr>
          <w:rFonts w:ascii="Times New Roman" w:hAnsi="Times New Roman"/>
          <w:color w:val="000000"/>
          <w:sz w:val="24"/>
        </w:rPr>
        <w:t>pricing to the greatest extent practicable given the nature of the additional scope</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ARTICLE 11 </w:t>
      </w:r>
      <w:r>
        <w:rPr>
          <w:rFonts w:ascii="Times New Roman" w:hAnsi="Times New Roman"/>
          <w:b/>
          <w:caps/>
          <w:color w:val="000000"/>
          <w:sz w:val="24"/>
        </w:rPr>
        <w:t>Asset sale/ change of control</w:t>
      </w:r>
      <w:r>
        <w:rPr>
          <w:rFonts w:ascii="Times New Roman" w:hAnsi="Times New Roman"/>
          <w:caps/>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11.1</w:t>
      </w:r>
      <w:r>
        <w:rPr>
          <w:rFonts w:ascii="Times New Roman" w:hAnsi="Times New Roman"/>
          <w:color w:val="000000"/>
          <w:sz w:val="20"/>
        </w:rPr>
        <w:t xml:space="preserve"> </w:t>
      </w:r>
      <w:r>
        <w:rPr>
          <w:rFonts w:ascii="Times New Roman" w:hAnsi="Times New Roman"/>
          <w:b/>
          <w:color w:val="000000"/>
          <w:sz w:val="24"/>
        </w:rPr>
        <w:t xml:space="preserve">Change of Control; Transfer of Program. </w:t>
      </w:r>
      <w:r>
        <w:rPr>
          <w:rFonts w:ascii="Times New Roman" w:hAnsi="Times New Roman"/>
          <w:color w:val="000000"/>
          <w:sz w:val="24"/>
        </w:rPr>
        <w:t>Arcturus may assign this Side Agreement, the MSA and any related Project Addendum without Thermo Fisher’s consent, in connection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merger, acquisition, consolidation, reorganization, or Change of Control of Arcturus;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Assignee wishes to terminate this Side Agreement and the MSA and any related Project Addendum, Arcturus will pay Thermo Fisher a fee of [***] or such other amount as the Parties may agree in an executed Amendment. The Parties shall endeavor to review and amend the foregoing amount on or before the execution of the Commercial Supply Agreement.</w:t>
      </w:r>
    </w:p>
    <w:p>
      <w:pPr>
        <w:pStyle w:val="TextBody"/>
        <w:bidi w:val="0"/>
        <w:spacing w:before="0" w:after="240"/>
        <w:jc w:val="left"/>
        <w:rPr>
          <w:rFonts w:ascii="Times New Roman" w:hAnsi="Times New Roman"/>
          <w:sz w:val="20"/>
        </w:rPr>
      </w:pPr>
      <w:r>
        <w:rPr>
          <w:rFonts w:ascii="Times New Roman" w:hAnsi="Times New Roman"/>
          <w:color w:val="000000"/>
          <w:sz w:val="24"/>
        </w:rPr>
        <w:t>11.2</w:t>
      </w:r>
      <w:r>
        <w:rPr>
          <w:rFonts w:ascii="Times New Roman" w:hAnsi="Times New Roman"/>
          <w:color w:val="000000"/>
          <w:sz w:val="20"/>
        </w:rPr>
        <w:t xml:space="preserve"> </w:t>
      </w:r>
      <w:r>
        <w:rPr>
          <w:rFonts w:ascii="Times New Roman" w:hAnsi="Times New Roman"/>
          <w:b/>
          <w:color w:val="000000"/>
          <w:sz w:val="24"/>
        </w:rPr>
        <w:t xml:space="preserve">No Further Liability. </w:t>
      </w:r>
      <w:r>
        <w:rPr>
          <w:rFonts w:ascii="Times New Roman" w:hAnsi="Times New Roman"/>
          <w:color w:val="000000"/>
          <w:sz w:val="24"/>
        </w:rPr>
        <w:t>Following such assignment or payment of the fee set forth in 10.1.5, Arcturus shall have no further liability for obligations accruing after the effective date of assignment or payment of the fee, except for obligations accrued prior thereto.</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12 SURVIVAL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provisions shall survive any termination or expiration of this Side Agreement: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13.</w:t>
      </w:r>
      <w:r>
        <w:rPr>
          <w:rFonts w:ascii="Times New Roman" w:hAnsi="Times New Roman"/>
          <w:color w:val="000000"/>
          <w:sz w:val="20"/>
        </w:rPr>
        <w:t xml:space="preserve"> </w:t>
      </w:r>
      <w:r>
        <w:rPr>
          <w:rFonts w:ascii="Times New Roman" w:hAnsi="Times New Roman"/>
          <w:b/>
          <w:color w:val="000000"/>
          <w:sz w:val="24"/>
        </w:rPr>
        <w:t>ARTICLE 13 DISPUTE RESOLUTION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Negotiation</w:t>
      </w:r>
      <w:r>
        <w:rPr>
          <w:rFonts w:ascii="Times New Roman" w:hAnsi="Times New Roman"/>
          <w:color w:val="000000"/>
          <w:sz w:val="24"/>
        </w:rPr>
        <w:t>. Upon receipt of written notice of a dispute arising out of this Side Agreement, the Parties agree to use good faith efforts, including engagement of executive management as necessary, to resolve the dispute within thirty (30) days of a Party’s receipt of notice.</w:t>
      </w:r>
    </w:p>
    <w:p>
      <w:pPr>
        <w:pStyle w:val="TextBody"/>
        <w:bidi w:val="0"/>
        <w:spacing w:before="0" w:after="240"/>
        <w:jc w:val="left"/>
        <w:rPr>
          <w:rFonts w:ascii="Times New Roman" w:hAnsi="Times New Roman"/>
          <w:sz w:val="20"/>
        </w:rPr>
      </w:pPr>
      <w:r>
        <w:rPr>
          <w:rFonts w:ascii="Times New Roman" w:hAnsi="Times New Roman"/>
          <w:color w:val="000000"/>
          <w:sz w:val="24"/>
        </w:rPr>
        <w:t>13.2</w:t>
      </w:r>
      <w:r>
        <w:rPr>
          <w:rFonts w:ascii="Times New Roman" w:hAnsi="Times New Roman"/>
          <w:color w:val="000000"/>
          <w:sz w:val="20"/>
        </w:rPr>
        <w:t xml:space="preserve"> </w:t>
      </w:r>
      <w:r>
        <w:rPr>
          <w:rFonts w:ascii="Times New Roman" w:hAnsi="Times New Roman"/>
          <w:b/>
          <w:color w:val="000000"/>
          <w:sz w:val="24"/>
        </w:rPr>
        <w:t>Arbitration</w:t>
      </w:r>
      <w:r>
        <w:rPr>
          <w:rFonts w:ascii="Times New Roman" w:hAnsi="Times New Roman"/>
          <w:color w:val="000000"/>
          <w:sz w:val="24"/>
        </w:rPr>
        <w:t>. Any dispute under this Side Agreement may be submitted to binding arbitration pursuant to the Commercial Arbitration Rules of the American Arbitration Association and conducted in the state of Delaware before an independent single arbitrator. The arbitrator’s decision shall be final and binding and shall be enforceable by any court of competent jurisdiction. Arbitration expenses shall be borne by the Parties to the dispute in proportion as to which each such party prevails or is defeated in arbitration. Each such Party shall bear the expenses of its counsel and other experts.</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ARTICLE 14 GENERAL PROVISIONS</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sz w:val="20"/>
        </w:rPr>
      </w:pPr>
      <w:r>
        <w:rPr>
          <w:rFonts w:ascii="Times New Roman" w:hAnsi="Times New Roman"/>
          <w:color w:val="000000"/>
          <w:sz w:val="24"/>
        </w:rPr>
        <w:t>14.1</w:t>
      </w:r>
      <w:r>
        <w:rPr>
          <w:rFonts w:ascii="Times New Roman" w:hAnsi="Times New Roman"/>
          <w:color w:val="000000"/>
          <w:sz w:val="20"/>
        </w:rPr>
        <w:t xml:space="preserve"> </w:t>
      </w:r>
      <w:r>
        <w:rPr>
          <w:rFonts w:ascii="Times New Roman" w:hAnsi="Times New Roman"/>
          <w:b/>
          <w:color w:val="000000"/>
          <w:sz w:val="24"/>
        </w:rPr>
        <w:t>Entire Agreement</w:t>
      </w:r>
      <w:r>
        <w:rPr>
          <w:rFonts w:ascii="Times New Roman" w:hAnsi="Times New Roman"/>
          <w:color w:val="000000"/>
          <w:sz w:val="24"/>
        </w:rPr>
        <w:t>. This Side Agreement, together with the MSA and all applicable Project Addendum, constitutes an entire agreement between the parties with respect to its subject matter and supersedes all prior negotiations, representations, or agreements.</w:t>
      </w:r>
    </w:p>
    <w:p>
      <w:pPr>
        <w:pStyle w:val="TextBody"/>
        <w:bidi w:val="0"/>
        <w:spacing w:before="0" w:after="240"/>
        <w:jc w:val="left"/>
        <w:rPr>
          <w:rFonts w:ascii="Times New Roman" w:hAnsi="Times New Roman"/>
          <w:sz w:val="20"/>
        </w:rPr>
      </w:pPr>
      <w:r>
        <w:rPr>
          <w:rFonts w:ascii="Times New Roman" w:hAnsi="Times New Roman"/>
          <w:color w:val="000000"/>
          <w:sz w:val="24"/>
        </w:rPr>
        <w:t>14.2</w:t>
      </w:r>
      <w:r>
        <w:rPr>
          <w:rFonts w:ascii="Times New Roman" w:hAnsi="Times New Roman"/>
          <w:color w:val="000000"/>
          <w:sz w:val="20"/>
        </w:rPr>
        <w:t xml:space="preserve"> </w:t>
      </w:r>
      <w:r>
        <w:rPr>
          <w:rFonts w:ascii="Times New Roman" w:hAnsi="Times New Roman"/>
          <w:b/>
          <w:color w:val="000000"/>
          <w:sz w:val="24"/>
        </w:rPr>
        <w:t>Amendments</w:t>
      </w:r>
      <w:r>
        <w:rPr>
          <w:rFonts w:ascii="Times New Roman" w:hAnsi="Times New Roman"/>
          <w:color w:val="000000"/>
          <w:sz w:val="24"/>
        </w:rPr>
        <w:t>. No amendment to this Side Agreement shall be effective unless in writing and signed by authorized representatives of both Parties.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14.3</w:t>
      </w:r>
      <w:r>
        <w:rPr>
          <w:rFonts w:ascii="Times New Roman" w:hAnsi="Times New Roman"/>
          <w:color w:val="000000"/>
          <w:sz w:val="20"/>
        </w:rPr>
        <w:t xml:space="preserve"> </w:t>
      </w:r>
      <w:r>
        <w:rPr>
          <w:rFonts w:ascii="Times New Roman" w:hAnsi="Times New Roman"/>
          <w:b/>
          <w:color w:val="000000"/>
          <w:sz w:val="24"/>
        </w:rPr>
        <w:t>Governing Law</w:t>
      </w:r>
      <w:r>
        <w:rPr>
          <w:rFonts w:ascii="Times New Roman" w:hAnsi="Times New Roman"/>
          <w:color w:val="000000"/>
          <w:sz w:val="24"/>
        </w:rPr>
        <w:t>. This Side Agreement and the rights and obligations of the Parties hereunder and their respective Affiliates shall be governed by and construed in accordance with the laws of the state of Delaware without reference to its conflicts-of-laws provisions. The UN Convention on Contracts for the International Sale of Goods shall not apply to this Side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14.4</w:t>
      </w:r>
      <w:r>
        <w:rPr>
          <w:rFonts w:ascii="Times New Roman" w:hAnsi="Times New Roman"/>
          <w:color w:val="000000"/>
          <w:sz w:val="20"/>
        </w:rPr>
        <w:t xml:space="preserve"> </w:t>
      </w:r>
      <w:r>
        <w:rPr>
          <w:rFonts w:ascii="Times New Roman" w:hAnsi="Times New Roman"/>
          <w:b/>
          <w:color w:val="000000"/>
          <w:sz w:val="24"/>
        </w:rPr>
        <w:t>Notices</w:t>
      </w:r>
      <w:r>
        <w:rPr>
          <w:rFonts w:ascii="Times New Roman" w:hAnsi="Times New Roman"/>
          <w:color w:val="000000"/>
          <w:sz w:val="24"/>
        </w:rPr>
        <w:t>. All notices shall be in writing and delivered by overnight courier or email with confirmation of receipt to the addresses set forth in the MSA.</w:t>
      </w:r>
    </w:p>
    <w:p>
      <w:pPr>
        <w:pStyle w:val="TextBody"/>
        <w:bidi w:val="0"/>
        <w:spacing w:before="0" w:after="240"/>
        <w:jc w:val="left"/>
        <w:rPr>
          <w:rFonts w:ascii="Times New Roman" w:hAnsi="Times New Roman"/>
          <w:sz w:val="20"/>
        </w:rPr>
      </w:pPr>
      <w:r>
        <w:rPr>
          <w:rFonts w:ascii="Times New Roman" w:hAnsi="Times New Roman"/>
          <w:color w:val="000000"/>
          <w:sz w:val="24"/>
        </w:rPr>
        <w:t>14.5</w:t>
      </w:r>
      <w:r>
        <w:rPr>
          <w:rFonts w:ascii="Times New Roman" w:hAnsi="Times New Roman"/>
          <w:color w:val="000000"/>
          <w:sz w:val="20"/>
        </w:rPr>
        <w:t xml:space="preserve"> </w:t>
      </w:r>
      <w:r>
        <w:rPr>
          <w:rFonts w:ascii="Times New Roman" w:hAnsi="Times New Roman"/>
          <w:b/>
          <w:color w:val="000000"/>
          <w:sz w:val="24"/>
        </w:rPr>
        <w:t>Counterparts</w:t>
      </w:r>
      <w:r>
        <w:rPr>
          <w:rFonts w:ascii="Times New Roman" w:hAnsi="Times New Roman"/>
          <w:color w:val="000000"/>
          <w:sz w:val="24"/>
        </w:rPr>
        <w:t xml:space="preserve">. This Side Agreement may be executed in counterparts, including by </w:t>
        <w:br/>
        <w:t>electronic signature, each of which shall be deemed an original.</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r>
    </w:p>
    <w:p>
      <w:pPr>
        <w:pStyle w:val="TextBody"/>
        <w:bidi w:val="0"/>
        <w:spacing w:before="0" w:after="48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by duly authorized persons, executed this Side Agreement as of the Effective Date.</w:t>
      </w:r>
    </w:p>
    <w:tbl>
      <w:tblPr>
        <w:tblW w:w="7862" w:type="dxa"/>
        <w:jc w:val="left"/>
        <w:tblInd w:w="0" w:type="dxa"/>
        <w:tblLayout w:type="fixed"/>
        <w:tblCellMar>
          <w:top w:w="28" w:type="dxa"/>
          <w:left w:w="28" w:type="dxa"/>
          <w:bottom w:w="28" w:type="dxa"/>
          <w:right w:w="28" w:type="dxa"/>
        </w:tblCellMar>
      </w:tblPr>
      <w:tblGrid>
        <w:gridCol w:w="4336"/>
        <w:gridCol w:w="3526"/>
      </w:tblGrid>
      <w:tr>
        <w:trPr/>
        <w:tc>
          <w:tcPr>
            <w:tcW w:w="433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4336" w:type="dxa"/>
            <w:tcBorders/>
            <w:tcMar>
              <w:top w:w="0" w:type="dxa"/>
              <w:left w:w="0" w:type="dxa"/>
              <w:bottom w:w="0" w:type="dxa"/>
              <w:right w:w="0" w:type="dxa"/>
            </w:tcMar>
            <w:vAlign w:val="center"/>
          </w:tcPr>
          <w:p>
            <w:pPr>
              <w:pStyle w:val="TableContents"/>
              <w:bidi w:val="0"/>
              <w:jc w:val="left"/>
              <w:rPr>
                <w:rFonts w:ascii="Times New Roman" w:hAnsi="Times New Roman"/>
                <w:b/>
                <w:smallCaps/>
                <w:color w:val="000000"/>
                <w:sz w:val="24"/>
              </w:rPr>
            </w:pPr>
            <w:r>
              <w:rPr>
                <w:rFonts w:ascii="Times New Roman" w:hAnsi="Times New Roman"/>
                <w:b/>
                <w:smallCaps/>
                <w:color w:val="000000"/>
                <w:sz w:val="24"/>
              </w:rPr>
              <w:t>Arcturus Therapeutics, Inc.</w:t>
            </w:r>
          </w:p>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720"/>
              <w:jc w:val="left"/>
              <w:rPr>
                <w:rFonts w:ascii="Times New Roman" w:hAnsi="Times New Roman"/>
                <w:b/>
                <w:smallCaps/>
                <w:color w:val="000000"/>
                <w:sz w:val="24"/>
              </w:rPr>
            </w:pPr>
            <w:r>
              <w:rPr>
                <w:rFonts w:ascii="Times New Roman" w:hAnsi="Times New Roman"/>
                <w:b/>
                <w:smallCaps/>
                <w:color w:val="000000"/>
                <w:sz w:val="24"/>
              </w:rPr>
              <w:t>thermo fisher scientific, inc.</w:t>
            </w:r>
          </w:p>
        </w:tc>
      </w:tr>
      <w:tr>
        <w:trPr/>
        <w:tc>
          <w:tcPr>
            <w:tcW w:w="4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___________________________</w:t>
            </w:r>
          </w:p>
          <w:p>
            <w:pPr>
              <w:pStyle w:val="TableContents"/>
              <w:bidi w:val="0"/>
              <w:spacing w:before="0" w:after="24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Joe Payne</w:t>
            </w:r>
          </w:p>
          <w:p>
            <w:pPr>
              <w:pStyle w:val="TableContents"/>
              <w:bidi w:val="0"/>
              <w:spacing w:before="0" w:after="24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President and Chief Executive Officer</w:t>
            </w:r>
          </w:p>
          <w:p>
            <w:pPr>
              <w:pStyle w:val="TableContents"/>
              <w:bidi w:val="0"/>
              <w:spacing w:before="0" w:after="24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June 26, 2026</w:t>
            </w:r>
          </w:p>
          <w:p>
            <w:pPr>
              <w:pStyle w:val="TableContents"/>
              <w:bidi w:val="0"/>
              <w:spacing w:before="0" w:after="240"/>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35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By: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Name: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Date: </w:t>
            </w:r>
          </w:p>
          <w:p>
            <w:pPr>
              <w:pStyle w:val="TableContents"/>
              <w:bidi w:val="0"/>
              <w:spacing w:before="0" w:after="240"/>
              <w:jc w:val="left"/>
              <w:rPr/>
            </w:pPr>
            <w:r>
              <w:rPr/>
              <w:t> </w:t>
            </w:r>
          </w:p>
        </w:tc>
      </w:tr>
      <w:tr>
        <w:trPr/>
        <w:tc>
          <w:tcPr>
            <w:tcW w:w="43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Address:</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Arcturus Therapeutics, Inc.</w:t>
            </w:r>
          </w:p>
          <w:p>
            <w:pPr>
              <w:pStyle w:val="TableContents"/>
              <w:bidi w:val="0"/>
              <w:jc w:val="left"/>
              <w:rPr>
                <w:rFonts w:ascii="Times New Roman" w:hAnsi="Times New Roman"/>
                <w:color w:val="000000"/>
                <w:sz w:val="24"/>
              </w:rPr>
            </w:pPr>
            <w:r>
              <w:rPr>
                <w:rFonts w:ascii="Times New Roman" w:hAnsi="Times New Roman"/>
                <w:color w:val="000000"/>
                <w:sz w:val="24"/>
              </w:rPr>
              <w:t>10285 Science Center Drive</w:t>
            </w:r>
          </w:p>
          <w:p>
            <w:pPr>
              <w:pStyle w:val="TableContents"/>
              <w:bidi w:val="0"/>
              <w:jc w:val="left"/>
              <w:rPr>
                <w:rFonts w:ascii="Times New Roman" w:hAnsi="Times New Roman"/>
                <w:color w:val="000000"/>
                <w:sz w:val="24"/>
              </w:rPr>
            </w:pPr>
            <w:r>
              <w:rPr>
                <w:rFonts w:ascii="Times New Roman" w:hAnsi="Times New Roman"/>
                <w:color w:val="000000"/>
                <w:sz w:val="24"/>
              </w:rPr>
              <w:t>San Diego, CA 92121</w:t>
            </w:r>
          </w:p>
          <w:p>
            <w:pPr>
              <w:pStyle w:val="TableContents"/>
              <w:bidi w:val="0"/>
              <w:jc w:val="left"/>
              <w:rPr>
                <w:rFonts w:ascii="Times New Roman" w:hAnsi="Times New Roman"/>
                <w:color w:val="000000"/>
                <w:sz w:val="24"/>
              </w:rPr>
            </w:pPr>
            <w:r>
              <w:rPr>
                <w:rFonts w:ascii="Times New Roman" w:hAnsi="Times New Roman"/>
                <w:color w:val="000000"/>
                <w:sz w:val="24"/>
              </w:rPr>
              <w:t>Attention: [***]</w:t>
            </w:r>
          </w:p>
          <w:p>
            <w:pPr>
              <w:pStyle w:val="TableContents"/>
              <w:bidi w:val="0"/>
              <w:spacing w:before="0" w:after="283"/>
              <w:ind w:left="0" w:right="0" w:hanging="108"/>
              <w:jc w:val="left"/>
              <w:rPr>
                <w:rFonts w:ascii="Times New Roman" w:hAnsi="Times New Roman"/>
                <w:sz w:val="24"/>
              </w:rPr>
            </w:pPr>
            <w:r>
              <w:rPr>
                <w:rFonts w:ascii="Times New Roman" w:hAnsi="Times New Roman"/>
                <w:color w:val="000000"/>
                <w:sz w:val="24"/>
              </w:rPr>
              <w:t xml:space="preserve">Email: </w:t>
            </w:r>
            <w:r>
              <w:rPr>
                <w:rFonts w:ascii="Times New Roman" w:hAnsi="Times New Roman"/>
                <w:color w:val="0563C1"/>
                <w:sz w:val="24"/>
                <w:u w:val="single"/>
              </w:rPr>
              <w:t>[***]</w:t>
            </w:r>
          </w:p>
        </w:tc>
        <w:tc>
          <w:tcPr>
            <w:tcW w:w="3526" w:type="dxa"/>
            <w:tcBorders/>
            <w:tcMar>
              <w:top w:w="0" w:type="dxa"/>
              <w:left w:w="0" w:type="dxa"/>
              <w:bottom w:w="0" w:type="dxa"/>
              <w:right w:w="0" w:type="dxa"/>
            </w:tcMar>
            <w:vAlign w:val="center"/>
          </w:tcPr>
          <w:p>
            <w:pPr>
              <w:pStyle w:val="TableContents"/>
              <w:bidi w:val="0"/>
              <w:ind w:left="0" w:right="0" w:hanging="108"/>
              <w:jc w:val="left"/>
              <w:rPr>
                <w:rFonts w:ascii="Times New Roman" w:hAnsi="Times New Roman"/>
                <w:color w:val="000000"/>
                <w:sz w:val="24"/>
              </w:rPr>
            </w:pPr>
            <w:r>
              <w:rPr>
                <w:rFonts w:ascii="Times New Roman" w:hAnsi="Times New Roman"/>
                <w:color w:val="000000"/>
                <w:sz w:val="24"/>
              </w:rPr>
              <w:t xml:space="preserve">Address: </w:t>
            </w:r>
          </w:p>
          <w:p>
            <w:pPr>
              <w:pStyle w:val="TableContents"/>
              <w:bidi w:val="0"/>
              <w:ind w:left="0" w:right="0" w:hanging="108"/>
              <w:jc w:val="left"/>
              <w:rPr/>
            </w:pPr>
            <w:r>
              <w:rPr/>
              <w:t> </w:t>
            </w:r>
          </w:p>
          <w:p>
            <w:pPr>
              <w:pStyle w:val="TableContents"/>
              <w:bidi w:val="0"/>
              <w:ind w:left="0" w:right="0" w:hanging="108"/>
              <w:jc w:val="left"/>
              <w:rPr>
                <w:rFonts w:ascii="Times New Roman" w:hAnsi="Times New Roman"/>
                <w:color w:val="000000"/>
                <w:sz w:val="24"/>
              </w:rPr>
            </w:pPr>
            <w:r>
              <w:rPr>
                <w:rFonts w:ascii="Times New Roman" w:hAnsi="Times New Roman"/>
                <w:color w:val="000000"/>
                <w:sz w:val="24"/>
              </w:rPr>
              <w:t>Thermo Fisher Scientific, Inc.</w:t>
            </w:r>
          </w:p>
          <w:p>
            <w:pPr>
              <w:pStyle w:val="TableContents"/>
              <w:bidi w:val="0"/>
              <w:ind w:left="0" w:right="0" w:hanging="108"/>
              <w:jc w:val="left"/>
              <w:rPr>
                <w:rFonts w:ascii="Times New Roman" w:hAnsi="Times New Roman"/>
                <w:color w:val="000000"/>
                <w:sz w:val="24"/>
              </w:rPr>
            </w:pPr>
            <w:r>
              <w:rPr>
                <w:rFonts w:ascii="Times New Roman" w:hAnsi="Times New Roman"/>
                <w:color w:val="000000"/>
                <w:sz w:val="24"/>
              </w:rPr>
              <w:t>168 Third Avenue</w:t>
            </w:r>
          </w:p>
          <w:p>
            <w:pPr>
              <w:pStyle w:val="TableContents"/>
              <w:bidi w:val="0"/>
              <w:ind w:left="0" w:right="0" w:hanging="108"/>
              <w:jc w:val="left"/>
              <w:rPr>
                <w:rFonts w:ascii="Times New Roman" w:hAnsi="Times New Roman"/>
                <w:color w:val="000000"/>
                <w:sz w:val="24"/>
              </w:rPr>
            </w:pPr>
            <w:r>
              <w:rPr>
                <w:rFonts w:ascii="Times New Roman" w:hAnsi="Times New Roman"/>
                <w:color w:val="000000"/>
                <w:sz w:val="24"/>
              </w:rPr>
              <w:t>Waltham, Massachusetts 02451</w:t>
            </w:r>
          </w:p>
          <w:p>
            <w:pPr>
              <w:pStyle w:val="TableContents"/>
              <w:bidi w:val="0"/>
              <w:ind w:left="0" w:right="0" w:hanging="108"/>
              <w:jc w:val="left"/>
              <w:rPr>
                <w:rFonts w:ascii="Times New Roman" w:hAnsi="Times New Roman"/>
                <w:color w:val="000000"/>
                <w:sz w:val="24"/>
              </w:rPr>
            </w:pPr>
            <w:r>
              <w:rPr>
                <w:rFonts w:ascii="Times New Roman" w:hAnsi="Times New Roman"/>
                <w:color w:val="000000"/>
                <w:sz w:val="24"/>
              </w:rPr>
              <w:t>Attention: [***]</w:t>
            </w:r>
          </w:p>
          <w:p>
            <w:pPr>
              <w:pStyle w:val="TableContents"/>
              <w:bidi w:val="0"/>
              <w:spacing w:before="0" w:after="283"/>
              <w:ind w:left="0" w:right="0" w:hanging="108"/>
              <w:jc w:val="left"/>
              <w:rPr>
                <w:rFonts w:ascii="Times New Roman" w:hAnsi="Times New Roman"/>
                <w:sz w:val="24"/>
              </w:rPr>
            </w:pPr>
            <w:r>
              <w:rPr>
                <w:rFonts w:ascii="Times New Roman" w:hAnsi="Times New Roman"/>
                <w:color w:val="000000"/>
                <w:sz w:val="24"/>
              </w:rPr>
              <w:t xml:space="preserve">Email: </w:t>
            </w:r>
            <w:r>
              <w:rPr>
                <w:rFonts w:ascii="Arial" w:hAnsi="Arial"/>
                <w:color w:val="0563C1"/>
                <w:sz w:val="20"/>
                <w:u w:val="single"/>
              </w:rPr>
              <w:t>[</w:t>
            </w:r>
            <w:r>
              <w:rPr>
                <w:rFonts w:ascii="Arial" w:hAnsi="Arial"/>
                <w:color w:val="0563C1"/>
                <w:sz w:val="24"/>
                <w:u w:val="single"/>
              </w:rPr>
              <w:t>***]</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A-1</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Arcturus Materials</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Clinical Manufacturing Pricing</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463"/>
        <w:gridCol w:w="871"/>
        <w:gridCol w:w="5374"/>
        <w:gridCol w:w="1497"/>
      </w:tblGrid>
      <w:tr>
        <w:trPr/>
        <w:tc>
          <w:tcPr>
            <w:tcW w:w="2463"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5374" w:type="dxa"/>
            <w:tcBorders/>
            <w:shd w:fill="FFFFFF" w:val="clear"/>
            <w:vAlign w:val="center"/>
          </w:tcPr>
          <w:p>
            <w:pPr>
              <w:pStyle w:val="TableContents"/>
              <w:bidi w:val="0"/>
              <w:spacing w:before="0" w:after="283"/>
              <w:jc w:val="left"/>
              <w:rPr>
                <w:sz w:val="4"/>
                <w:szCs w:val="4"/>
              </w:rPr>
            </w:pPr>
            <w:r>
              <w:rPr>
                <w:sz w:val="4"/>
                <w:szCs w:val="4"/>
              </w:rPr>
            </w:r>
          </w:p>
        </w:tc>
        <w:tc>
          <w:tcPr>
            <w:tcW w:w="1497"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4"/>
            <w:tcBorders>
              <w:top w:val="single" w:sz="8" w:space="0" w:color="000000"/>
              <w:left w:val="single" w:sz="8" w:space="0" w:color="000000"/>
              <w:bottom w:val="single" w:sz="8" w:space="0" w:color="000000"/>
              <w:right w:val="single" w:sz="8" w:space="0" w:color="000000"/>
            </w:tcBorders>
            <w:shd w:fill="D9D9D9" w:val="clear"/>
            <w:tcMar>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CMC BLA Readiness Package Pricing (Tech Transfer, CTM and OLE)</w:t>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Service</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Scope</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Estimate total cost, including Pass-Through Cost and applicable Handing Fee</w:t>
            </w:r>
          </w:p>
        </w:tc>
        <w:tc>
          <w:tcPr>
            <w:tcW w:w="149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Notes/Options</w:t>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Technology Transfer</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7" w:type="dxa"/>
            <w:tcBorders>
              <w:bottom w:val="single" w:sz="8" w:space="0" w:color="000000"/>
              <w:right w:val="single" w:sz="8" w:space="0" w:color="000000"/>
            </w:tcBorders>
            <w:tcMar>
              <w:top w:w="0" w:type="dxa"/>
              <w:left w:w="0" w:type="dxa"/>
              <w:right w:w="115" w:type="dxa"/>
            </w:tcMar>
            <w:vAlign w:val="center"/>
          </w:tcPr>
          <w:p>
            <w:pPr>
              <w:pStyle w:val="TableContents"/>
              <w:bidi w:val="0"/>
              <w:jc w:val="left"/>
              <w:rPr>
                <w:rFonts w:ascii="sans-serif" w:hAnsi="sans-serif"/>
                <w:b/>
                <w:color w:val="000000"/>
                <w:sz w:val="22"/>
              </w:rPr>
            </w:pPr>
            <w:r>
              <w:rPr>
                <w:rFonts w:ascii="sans-serif" w:hAnsi="sans-serif"/>
                <w:b/>
                <w:color w:val="000000"/>
                <w:sz w:val="22"/>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Placebo Manufacturing</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7" w:type="dxa"/>
            <w:tcBorders>
              <w:bottom w:val="single" w:sz="8" w:space="0" w:color="000000"/>
              <w:right w:val="single" w:sz="8" w:space="0" w:color="000000"/>
            </w:tcBorders>
            <w:shd w:fill="D9D9D9"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Clinical Manufacturing</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7" w:type="dxa"/>
            <w:tcBorders>
              <w:bottom w:val="single" w:sz="8" w:space="0" w:color="000000"/>
              <w:right w:val="single" w:sz="8" w:space="0" w:color="000000"/>
            </w:tcBorders>
            <w:shd w:fill="D9D9D9"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PC/PPQ</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r>
      <w:tr>
        <w:trPr/>
        <w:tc>
          <w:tcPr>
            <w:tcW w:w="246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OLE Manufacturing</w:t>
            </w:r>
          </w:p>
        </w:tc>
        <w:tc>
          <w:tcPr>
            <w:tcW w:w="87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7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7" w:type="dxa"/>
            <w:tcBorders>
              <w:bottom w:val="single" w:sz="8" w:space="0" w:color="000000"/>
              <w:right w:val="single" w:sz="8" w:space="0" w:color="000000"/>
            </w:tcBorders>
            <w:shd w:fill="D9D9D9"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3334" w:type="dxa"/>
            <w:gridSpan w:val="2"/>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Grand Total</w:t>
            </w:r>
          </w:p>
        </w:tc>
        <w:tc>
          <w:tcPr>
            <w:tcW w:w="6871" w:type="dxa"/>
            <w:gridSpan w:val="2"/>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A-2 Commercial Pricing and Terms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terms set out in this </w:t>
      </w:r>
      <w:r>
        <w:rPr>
          <w:rFonts w:ascii="Times New Roman" w:hAnsi="Times New Roman"/>
          <w:b/>
          <w:color w:val="000000"/>
          <w:sz w:val="24"/>
        </w:rPr>
        <w:t>Exhibit A-2</w:t>
      </w:r>
      <w:r>
        <w:rPr>
          <w:rFonts w:ascii="Times New Roman" w:hAnsi="Times New Roman"/>
          <w:color w:val="000000"/>
          <w:sz w:val="20"/>
        </w:rPr>
        <w:t xml:space="preserve"> </w:t>
      </w:r>
      <w:r>
        <w:rPr>
          <w:rFonts w:ascii="Times New Roman" w:hAnsi="Times New Roman"/>
          <w:color w:val="000000"/>
          <w:sz w:val="24"/>
        </w:rPr>
        <w:t xml:space="preserve">apply to the Manufacture and supply to Arcturus of the Product and are binding upon the Parties. The pricing parameters and methodologies set forth in this Exhibit A-2 shall survive and remain in full force and effect notwithstanding execution of the Commercial Supply Agreement and Commercial Supply Quality Agreement, and shall not be superseded, amended, or modified thereby. In the event of any inconsistency between this </w:t>
      </w:r>
      <w:r>
        <w:rPr>
          <w:rFonts w:ascii="Times New Roman" w:hAnsi="Times New Roman"/>
          <w:b/>
          <w:color w:val="000000"/>
          <w:sz w:val="24"/>
        </w:rPr>
        <w:t>Exhibit A-2</w:t>
      </w:r>
      <w:r>
        <w:rPr>
          <w:rFonts w:ascii="Times New Roman" w:hAnsi="Times New Roman"/>
          <w:color w:val="000000"/>
          <w:sz w:val="20"/>
        </w:rPr>
        <w:t xml:space="preserve"> </w:t>
      </w:r>
      <w:r>
        <w:rPr>
          <w:rFonts w:ascii="Times New Roman" w:hAnsi="Times New Roman"/>
          <w:color w:val="000000"/>
          <w:sz w:val="24"/>
        </w:rPr>
        <w:t xml:space="preserve">and the Commercial Supply Agreement with respect to pricing, the terms of this </w:t>
      </w:r>
      <w:r>
        <w:rPr>
          <w:rFonts w:ascii="Times New Roman" w:hAnsi="Times New Roman"/>
          <w:b/>
          <w:color w:val="000000"/>
          <w:sz w:val="24"/>
        </w:rPr>
        <w:t>Exhibit A-2</w:t>
      </w:r>
      <w:r>
        <w:rPr>
          <w:rFonts w:ascii="Times New Roman" w:hAnsi="Times New Roman"/>
          <w:color w:val="000000"/>
          <w:sz w:val="20"/>
        </w:rPr>
        <w:t xml:space="preserve"> </w:t>
      </w:r>
      <w:r>
        <w:rPr>
          <w:rFonts w:ascii="Times New Roman" w:hAnsi="Times New Roman"/>
          <w:color w:val="000000"/>
          <w:sz w:val="24"/>
        </w:rPr>
        <w:t>shall prevail.</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Post-Validation Runs. [***]</w:t>
      </w:r>
      <w:r>
        <w:rPr>
          <w:rFonts w:ascii="Times New Roman" w:hAnsi="Times New Roman"/>
          <w:color w:val="000000"/>
          <w:sz w:val="20"/>
        </w:rPr>
        <w:t xml:space="preserve"> </w:t>
      </w:r>
    </w:p>
    <w:tbl>
      <w:tblPr>
        <w:tblW w:w="5205" w:type="dxa"/>
        <w:jc w:val="left"/>
        <w:tblInd w:w="0" w:type="dxa"/>
        <w:tblLayout w:type="fixed"/>
        <w:tblCellMar>
          <w:top w:w="28" w:type="dxa"/>
          <w:left w:w="28" w:type="dxa"/>
          <w:bottom w:w="28" w:type="dxa"/>
          <w:right w:w="28" w:type="dxa"/>
        </w:tblCellMar>
      </w:tblPr>
      <w:tblGrid>
        <w:gridCol w:w="3047"/>
        <w:gridCol w:w="2158"/>
      </w:tblGrid>
      <w:tr>
        <w:trPr/>
        <w:tc>
          <w:tcPr>
            <w:tcW w:w="3047"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5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Estimated Commercial Batch Pricing</w:t>
            </w:r>
          </w:p>
        </w:tc>
      </w:tr>
      <w:tr>
        <w:trPr/>
        <w:tc>
          <w:tcPr>
            <w:tcW w:w="3047"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7" w:type="dxa"/>
            <w:tcBorders>
              <w:top w:val="single" w:sz="8" w:space="0" w:color="000000"/>
              <w:bottom w:val="single" w:sz="8" w:space="0" w:color="000000"/>
              <w:right w:val="single" w:sz="8" w:space="0" w:color="000000"/>
            </w:tcBorders>
            <w:shd w:fill="595959" w:val="clear"/>
            <w:tcMar>
              <w:left w:w="0" w:type="dxa"/>
              <w:right w:w="115" w:type="dxa"/>
            </w:tcMar>
            <w:vAlign w:val="center"/>
          </w:tcPr>
          <w:p>
            <w:pPr>
              <w:pStyle w:val="TableContents"/>
              <w:bidi w:val="0"/>
              <w:spacing w:before="0" w:after="283"/>
              <w:jc w:val="left"/>
              <w:rPr>
                <w:rFonts w:ascii="Arial" w:hAnsi="Arial"/>
                <w:b/>
                <w:color w:val="FFFFFF"/>
                <w:sz w:val="24"/>
              </w:rPr>
            </w:pPr>
            <w:r>
              <w:rPr>
                <w:rFonts w:ascii="Arial" w:hAnsi="Arial"/>
                <w:b/>
                <w:color w:val="FFFFFF"/>
                <w:sz w:val="24"/>
              </w:rPr>
              <w:t>Service</w:t>
            </w:r>
          </w:p>
        </w:tc>
        <w:tc>
          <w:tcPr>
            <w:tcW w:w="2158" w:type="dxa"/>
            <w:tcBorders>
              <w:top w:val="single" w:sz="8" w:space="0" w:color="000000"/>
              <w:bottom w:val="single" w:sz="8" w:space="0" w:color="000000"/>
              <w:right w:val="single" w:sz="8" w:space="0" w:color="000000"/>
            </w:tcBorders>
            <w:shd w:fill="595959" w:val="clear"/>
            <w:tcMar>
              <w:left w:w="0" w:type="dxa"/>
              <w:right w:w="115"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Cost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215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47"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215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Qualifying CRO Services and Excluded CRO Services</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Qualifying/Excluded CRO Services</w:t>
      </w:r>
    </w:p>
    <w:p>
      <w:pPr>
        <w:pStyle w:val="TextBody"/>
        <w:bidi w:val="0"/>
        <w:jc w:val="left"/>
        <w:rPr>
          <w:rFonts w:ascii="Times New Roman" w:hAnsi="Times New Roman"/>
          <w:color w:val="000000"/>
          <w:sz w:val="22"/>
        </w:rPr>
      </w:pPr>
      <w:r>
        <w:rPr>
          <w:rFonts w:ascii="Times New Roman" w:hAnsi="Times New Roman"/>
          <w:color w:val="000000"/>
          <w:sz w:val="22"/>
        </w:rPr>
        <w:t>Services (labor fees) for the following are considered Qualifying Services. However, for the [***] Services or [***] Products, [***] are considered Qualifying Services and any [***] are considered Excluded Services.</w:t>
      </w:r>
    </w:p>
    <w:p>
      <w:pPr>
        <w:pStyle w:val="TextBody"/>
        <w:bidi w:val="0"/>
        <w:jc w:val="left"/>
        <w:rPr/>
      </w:pPr>
      <w:r>
        <w:rPr/>
        <w:t> </w:t>
      </w:r>
    </w:p>
    <w:tbl>
      <w:tblPr>
        <w:tblW w:w="1352" w:type="dxa"/>
        <w:jc w:val="left"/>
        <w:tblInd w:w="0" w:type="dxa"/>
        <w:tblLayout w:type="fixed"/>
        <w:tblCellMar>
          <w:top w:w="28" w:type="dxa"/>
          <w:left w:w="28" w:type="dxa"/>
          <w:bottom w:w="28" w:type="dxa"/>
          <w:right w:w="28" w:type="dxa"/>
        </w:tblCellMar>
      </w:tblPr>
      <w:tblGrid>
        <w:gridCol w:w="661"/>
        <w:gridCol w:w="691"/>
      </w:tblGrid>
      <w:tr>
        <w:trPr/>
        <w:tc>
          <w:tcPr>
            <w:tcW w:w="6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8" w:space="0" w:color="222222"/>
              <w:left w:val="single" w:sz="8" w:space="0" w:color="222222"/>
              <w:bottom w:val="single" w:sz="8" w:space="0" w:color="222222"/>
              <w:right w:val="single" w:sz="8" w:space="0" w:color="222222"/>
            </w:tcBorders>
            <w:tcMar>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top w:val="single" w:sz="8" w:space="0" w:color="222222"/>
              <w:bottom w:val="single" w:sz="8" w:space="0" w:color="222222"/>
              <w:right w:val="single" w:sz="8" w:space="0" w:color="222222"/>
            </w:tcBorders>
            <w:tcMar>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222222"/>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222222"/>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222222"/>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222222"/>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222222"/>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222222"/>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222222"/>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222222"/>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bl>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r>
        <w:rPr>
          <w:rFonts w:ascii="sans-serif" w:hAnsi="sans-serif"/>
          <w:color w:val="000000"/>
          <w:sz w:val="24"/>
        </w:rPr>
        <w:t>Exhibit 10.39</w:t>
      </w:r>
    </w:p>
    <w:tbl>
      <w:tblPr>
        <w:tblW w:w="1352" w:type="dxa"/>
        <w:jc w:val="left"/>
        <w:tblInd w:w="0" w:type="dxa"/>
        <w:tblLayout w:type="fixed"/>
        <w:tblCellMar>
          <w:top w:w="28" w:type="dxa"/>
          <w:left w:w="28" w:type="dxa"/>
          <w:bottom w:w="28" w:type="dxa"/>
          <w:right w:w="28" w:type="dxa"/>
        </w:tblCellMar>
      </w:tblPr>
      <w:tblGrid>
        <w:gridCol w:w="661"/>
        <w:gridCol w:w="691"/>
      </w:tblGrid>
      <w:tr>
        <w:trPr/>
        <w:tc>
          <w:tcPr>
            <w:tcW w:w="6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8" w:space="0" w:color="222222"/>
              <w:left w:val="single" w:sz="8" w:space="0" w:color="222222"/>
              <w:bottom w:val="single" w:sz="8" w:space="0" w:color="222222"/>
              <w:right w:val="single" w:sz="8" w:space="0" w:color="222222"/>
            </w:tcBorders>
            <w:tcMar>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top w:val="single" w:sz="8" w:space="0" w:color="222222"/>
              <w:bottom w:val="single" w:sz="8" w:space="0" w:color="222222"/>
              <w:right w:val="single" w:sz="8" w:space="0" w:color="222222"/>
            </w:tcBorders>
            <w:tcMar>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222222"/>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222222"/>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222222"/>
              <w:bottom w:val="single" w:sz="8" w:space="0" w:color="000000"/>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000000"/>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r>
      <w:tr>
        <w:trPr/>
        <w:tc>
          <w:tcPr>
            <w:tcW w:w="661"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160"/>
              <w:jc w:val="center"/>
              <w:rPr>
                <w:rFonts w:ascii="Aptos;sans-serif" w:hAnsi="Aptos;sans-serif"/>
                <w:color w:val="000000"/>
                <w:sz w:val="24"/>
              </w:rPr>
            </w:pPr>
            <w:r>
              <w:rPr>
                <w:rFonts w:ascii="Aptos;sans-serif" w:hAnsi="Aptos;sans-serif"/>
                <w:color w:val="000000"/>
                <w:sz w:val="24"/>
              </w:rPr>
              <w:t>[***]</w:t>
            </w:r>
          </w:p>
        </w:tc>
        <w:tc>
          <w:tcPr>
            <w:tcW w:w="69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160"/>
              <w:jc w:val="center"/>
              <w:rPr>
                <w:rFonts w:ascii="Aptos;sans-serif" w:hAnsi="Aptos;sans-serif"/>
                <w:color w:val="00B050"/>
                <w:sz w:val="24"/>
              </w:rPr>
            </w:pPr>
            <w:r>
              <w:rPr>
                <w:rFonts w:ascii="Aptos;sans-serif" w:hAnsi="Aptos;sans-serif"/>
                <w:color w:val="00B050"/>
                <w:sz w:val="24"/>
              </w:rPr>
              <w:t>[***]</w:t>
            </w:r>
          </w:p>
        </w:tc>
      </w:tr>
      <w:tr>
        <w:trPr/>
        <w:tc>
          <w:tcPr>
            <w:tcW w:w="661" w:type="dxa"/>
            <w:tcBorders>
              <w:left w:val="single" w:sz="8" w:space="0" w:color="222222"/>
              <w:bottom w:val="single" w:sz="8" w:space="0" w:color="000000"/>
              <w:right w:val="single" w:sz="8" w:space="0" w:color="222222"/>
            </w:tcBorders>
            <w:tcMar>
              <w:top w:w="0" w:type="dxa"/>
              <w:left w:w="115" w:type="dxa"/>
              <w:right w:w="115" w:type="dxa"/>
            </w:tcMar>
            <w:vAlign w:val="center"/>
          </w:tcPr>
          <w:p>
            <w:pPr>
              <w:pStyle w:val="TableContents"/>
              <w:bidi w:val="0"/>
              <w:spacing w:before="0" w:after="160"/>
              <w:jc w:val="center"/>
              <w:rPr>
                <w:rFonts w:ascii="Aptos;sans-serif" w:hAnsi="Aptos;sans-serif"/>
                <w:color w:val="00B050"/>
                <w:sz w:val="24"/>
              </w:rPr>
            </w:pPr>
            <w:r>
              <w:rPr>
                <w:rFonts w:ascii="Aptos;sans-serif" w:hAnsi="Aptos;sans-serif"/>
                <w:color w:val="00B050"/>
                <w:sz w:val="24"/>
              </w:rPr>
              <w:t>[***]</w:t>
            </w:r>
          </w:p>
        </w:tc>
        <w:tc>
          <w:tcPr>
            <w:tcW w:w="691" w:type="dxa"/>
            <w:tcBorders>
              <w:bottom w:val="single" w:sz="8" w:space="0" w:color="000000"/>
              <w:right w:val="single" w:sz="8" w:space="0" w:color="222222"/>
            </w:tcBorders>
            <w:tcMar>
              <w:top w:w="0" w:type="dxa"/>
              <w:left w:w="0" w:type="dxa"/>
              <w:right w:w="115" w:type="dxa"/>
            </w:tcMar>
            <w:vAlign w:val="center"/>
          </w:tcPr>
          <w:p>
            <w:pPr>
              <w:pStyle w:val="TableContents"/>
              <w:bidi w:val="0"/>
              <w:spacing w:before="0" w:after="160"/>
              <w:jc w:val="center"/>
              <w:rPr>
                <w:rFonts w:ascii="Aptos;sans-serif" w:hAnsi="Aptos;sans-serif"/>
                <w:color w:val="00B050"/>
                <w:sz w:val="24"/>
              </w:rPr>
            </w:pPr>
            <w:r>
              <w:rPr>
                <w:rFonts w:ascii="Aptos;sans-serif" w:hAnsi="Aptos;sans-serif"/>
                <w:color w:val="00B050"/>
                <w:sz w:val="24"/>
              </w:rPr>
              <w:t>[***]</w:t>
            </w:r>
          </w:p>
        </w:tc>
      </w:tr>
    </w:tbl>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Examples: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ANNEX 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FUTURE COMMITMENTS</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160"/>
        <w:jc w:val="center"/>
        <w:rPr/>
      </w:pPr>
      <w:r>
        <w:rPr/>
        <w:t> </w:t>
      </w:r>
    </w:p>
    <w:p>
      <w:pPr>
        <w:pStyle w:val="TextBody"/>
        <w:bidi w:val="0"/>
        <w:jc w:val="left"/>
        <w:rPr>
          <w:rFonts w:ascii="Arial" w:hAnsi="Arial"/>
          <w:color w:val="000000"/>
          <w:sz w:val="16"/>
        </w:rPr>
      </w:pPr>
      <w:r>
        <w:rPr>
          <w:rFonts w:ascii="Arial" w:hAnsi="Arial"/>
          <w:color w:val="000000"/>
          <w:sz w:val="16"/>
        </w:rPr>
        <w:t>DOCPROPERTY "CUS_DocIDChunk0" US_ACTIVE\138156139\V-3</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bookmarkStart w:id="25" w:name="arct-ex10_40.htm"/>
      <w:bookmarkStart w:id="26" w:name="ksarctex10_40"/>
      <w:bookmarkEnd w:id="25"/>
      <w:bookmarkEnd w:id="26"/>
      <w:r>
        <w:rPr>
          <w:rFonts w:ascii="Times New Roman" w:hAnsi="Times New Roman"/>
          <w:color w:val="000000"/>
          <w:sz w:val="22"/>
        </w:rPr>
        <w:t>Exhibit 10.40</w:t>
      </w:r>
      <w:r>
        <w:br w:type="page"/>
      </w:r>
    </w:p>
    <w:p>
      <w:pPr>
        <w:pStyle w:val="TextBody"/>
        <w:bidi w:val="0"/>
        <w:spacing w:before="16" w:after="423"/>
        <w:ind w:left="7469" w:right="61" w:hanging="0"/>
        <w:jc w:val="left"/>
        <w:rPr/>
      </w:pPr>
      <w:r>
        <w:rPr/>
        <w:drawing>
          <wp:inline distT="0" distB="0" distL="0" distR="0">
            <wp:extent cx="1743075" cy="371475"/>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56"/>
                    <a:stretch>
                      <a:fillRect/>
                    </a:stretch>
                  </pic:blipFill>
                  <pic:spPr bwMode="auto">
                    <a:xfrm>
                      <a:off x="0" y="0"/>
                      <a:ext cx="1743075" cy="371475"/>
                    </a:xfrm>
                    <a:prstGeom prst="rect">
                      <a:avLst/>
                    </a:prstGeom>
                  </pic:spPr>
                </pic:pic>
              </a:graphicData>
            </a:graphic>
          </wp:inline>
        </w:drawing>
      </w:r>
    </w:p>
    <w:p>
      <w:pPr>
        <w:pStyle w:val="TextBody"/>
        <w:bidi w:val="0"/>
        <w:spacing w:before="0" w:after="423"/>
        <w:ind w:left="7469" w:right="61" w:hanging="0"/>
        <w:jc w:val="left"/>
        <w:rPr>
          <w:rFonts w:ascii="Times New Roman" w:hAnsi="Times New Roman"/>
          <w:b/>
          <w:color w:val="000000"/>
          <w:sz w:val="22"/>
        </w:rPr>
      </w:pPr>
      <w:r>
        <w:rPr>
          <w:rFonts w:ascii="Times New Roman" w:hAnsi="Times New Roman"/>
          <w:b/>
          <w:color w:val="000000"/>
          <w:sz w:val="22"/>
        </w:rPr>
        <w:t>CERTAIN CONFIDENTIAL INFORMATION CONTAINED IN THIS DOCUMENT, MARKED BY [***], HAS BEEN OMITTED BECAUSE IT IS BOTH (I) NOT MATERIAL AND (II) IS THE TYPE THAT THE REGISTRANT TREATS AS PRIVATE OR CONFIDENTIAL</w:t>
      </w:r>
    </w:p>
    <w:p>
      <w:pPr>
        <w:pStyle w:val="TextBody"/>
        <w:bidi w:val="0"/>
        <w:jc w:val="center"/>
        <w:rPr>
          <w:rFonts w:ascii="Arial" w:hAnsi="Arial"/>
          <w:b/>
          <w:color w:val="000000"/>
          <w:sz w:val="20"/>
        </w:rPr>
      </w:pPr>
      <w:r>
        <w:rPr>
          <w:rFonts w:ascii="Arial" w:hAnsi="Arial"/>
          <w:b/>
          <w:color w:val="000000"/>
          <w:sz w:val="20"/>
        </w:rPr>
        <w:t>PROJECT AGREEMENT</w:t>
      </w:r>
    </w:p>
    <w:p>
      <w:pPr>
        <w:pStyle w:val="TextBody"/>
        <w:bidi w:val="0"/>
        <w:spacing w:before="185" w:after="283"/>
        <w:jc w:val="center"/>
        <w:rPr>
          <w:rFonts w:ascii="Arial" w:hAnsi="Arial"/>
          <w:b/>
          <w:color w:val="000000"/>
          <w:sz w:val="20"/>
        </w:rPr>
      </w:pPr>
      <w:r>
        <w:rPr>
          <w:rFonts w:ascii="Arial" w:hAnsi="Arial"/>
          <w:b/>
          <w:color w:val="000000"/>
          <w:sz w:val="20"/>
        </w:rPr>
        <w:t>PROJECT AGREEMENT FOR DEVELOPMENT SERVICES UNDER</w:t>
      </w:r>
    </w:p>
    <w:p>
      <w:pPr>
        <w:pStyle w:val="TextBody"/>
        <w:bidi w:val="0"/>
        <w:spacing w:before="250" w:after="283"/>
        <w:jc w:val="center"/>
        <w:rPr>
          <w:rFonts w:ascii="Arial" w:hAnsi="Arial"/>
          <w:b/>
          <w:color w:val="000000"/>
          <w:sz w:val="20"/>
        </w:rPr>
      </w:pPr>
      <w:r>
        <w:rPr>
          <w:rFonts w:ascii="Arial" w:hAnsi="Arial"/>
          <w:b/>
          <w:color w:val="000000"/>
          <w:sz w:val="20"/>
        </w:rPr>
        <w:t>MASTER SERVICES AGREEMENT DATED JUNE 26, 2026 BETWEEN PATHEON UK LIMITED AND</w:t>
        <w:br/>
        <w:br/>
        <w:t>ARCTURUS THERAPEUTICS (the “Master Agreement”)</w:t>
      </w:r>
    </w:p>
    <w:p>
      <w:pPr>
        <w:pStyle w:val="TextBody"/>
        <w:bidi w:val="0"/>
        <w:spacing w:before="315" w:after="23"/>
        <w:jc w:val="center"/>
        <w:rPr>
          <w:rFonts w:ascii="Arial" w:hAnsi="Arial"/>
          <w:b/>
          <w:color w:val="000000"/>
          <w:sz w:val="20"/>
        </w:rPr>
      </w:pPr>
      <w:r>
        <w:rPr>
          <w:rFonts w:ascii="Arial" w:hAnsi="Arial"/>
          <w:b/>
          <w:color w:val="000000"/>
          <w:sz w:val="20"/>
        </w:rPr>
        <w:t>PROJECT AGREEMENT #[***]</w:t>
      </w:r>
    </w:p>
    <w:p>
      <w:pPr>
        <w:pStyle w:val="TextBody"/>
        <w:bidi w:val="0"/>
        <w:spacing w:before="129" w:after="283"/>
        <w:ind w:left="0" w:right="72" w:hanging="0"/>
        <w:jc w:val="both"/>
        <w:rPr>
          <w:rFonts w:ascii="Arial" w:hAnsi="Arial"/>
          <w:color w:val="000000"/>
          <w:sz w:val="21"/>
        </w:rPr>
      </w:pPr>
      <w:r>
        <w:rPr>
          <w:rFonts w:ascii="Arial" w:hAnsi="Arial"/>
          <w:color w:val="000000"/>
          <w:sz w:val="21"/>
        </w:rPr>
        <w:t>The Services covered by this Product Agreement are subject to the specific terms described in the Development Schedule of the Master Agreement.</w:t>
      </w:r>
    </w:p>
    <w:p>
      <w:pPr>
        <w:pStyle w:val="TextBody"/>
        <w:bidi w:val="0"/>
        <w:spacing w:before="311" w:after="146"/>
        <w:jc w:val="left"/>
        <w:rPr>
          <w:rFonts w:ascii="Arial" w:hAnsi="Arial"/>
          <w:color w:val="000000"/>
          <w:sz w:val="21"/>
        </w:rPr>
      </w:pPr>
      <w:r>
        <w:rPr>
          <w:rFonts w:ascii="Arial" w:hAnsi="Arial"/>
          <w:color w:val="000000"/>
          <w:sz w:val="21"/>
        </w:rPr>
        <w:t>The Services covered by this Project Agreement, and the applicable Price, are described in Appendix A.</w:t>
      </w:r>
    </w:p>
    <w:tbl>
      <w:tblPr>
        <w:tblW w:w="10193" w:type="dxa"/>
        <w:jc w:val="left"/>
        <w:tblInd w:w="0" w:type="dxa"/>
        <w:tblLayout w:type="fixed"/>
        <w:tblCellMar>
          <w:top w:w="28" w:type="dxa"/>
          <w:left w:w="28" w:type="dxa"/>
          <w:bottom w:w="28" w:type="dxa"/>
          <w:right w:w="28" w:type="dxa"/>
        </w:tblCellMar>
      </w:tblPr>
      <w:tblGrid>
        <w:gridCol w:w="266"/>
        <w:gridCol w:w="3746"/>
        <w:gridCol w:w="6181"/>
      </w:tblGrid>
      <w:tr>
        <w:trPr/>
        <w:tc>
          <w:tcPr>
            <w:tcW w:w="266"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266" w:type="dxa"/>
            <w:tcBorders/>
            <w:tcMar>
              <w:top w:w="0" w:type="dxa"/>
              <w:left w:w="0" w:type="dxa"/>
              <w:bottom w:w="0" w:type="dxa"/>
              <w:right w:w="0" w:type="dxa"/>
            </w:tcMar>
            <w:vAlign w:val="center"/>
          </w:tcPr>
          <w:p>
            <w:pPr>
              <w:pStyle w:val="TableContents"/>
              <w:bidi w:val="0"/>
              <w:spacing w:before="139" w:after="283"/>
              <w:ind w:left="0" w:right="0" w:firstLine="10"/>
              <w:jc w:val="left"/>
              <w:rPr>
                <w:rFonts w:ascii="Arial" w:hAnsi="Arial"/>
                <w:color w:val="000000"/>
                <w:sz w:val="16"/>
              </w:rPr>
            </w:pPr>
            <w:r>
              <w:rPr>
                <w:rFonts w:ascii="Arial" w:hAnsi="Arial"/>
                <w:color w:val="000000"/>
                <w:sz w:val="16"/>
              </w:rPr>
              <w:t>1.</w:t>
            </w:r>
          </w:p>
        </w:tc>
        <w:tc>
          <w:tcPr>
            <w:tcW w:w="3746" w:type="dxa"/>
            <w:tcBorders>
              <w:bottom w:val="single" w:sz="5" w:space="0" w:color="000000"/>
            </w:tcBorders>
            <w:tcMar>
              <w:top w:w="0" w:type="dxa"/>
              <w:left w:w="0" w:type="dxa"/>
              <w:right w:w="0" w:type="dxa"/>
            </w:tcMar>
            <w:vAlign w:val="center"/>
          </w:tcPr>
          <w:p>
            <w:pPr>
              <w:pStyle w:val="TableContents"/>
              <w:bidi w:val="0"/>
              <w:spacing w:before="139" w:after="283"/>
              <w:ind w:left="0" w:right="0" w:firstLine="730"/>
              <w:jc w:val="left"/>
              <w:rPr>
                <w:rFonts w:ascii="Arial" w:hAnsi="Arial"/>
                <w:color w:val="000000"/>
                <w:sz w:val="16"/>
              </w:rPr>
            </w:pPr>
            <w:r>
              <w:rPr>
                <w:rFonts w:ascii="Arial" w:hAnsi="Arial"/>
                <w:color w:val="000000"/>
                <w:sz w:val="16"/>
              </w:rPr>
              <w:t>Project Agreement Effective Date:</w:t>
            </w:r>
          </w:p>
        </w:tc>
        <w:tc>
          <w:tcPr>
            <w:tcW w:w="6181" w:type="dxa"/>
            <w:tcBorders>
              <w:bottom w:val="single" w:sz="5" w:space="0" w:color="000000"/>
            </w:tcBorders>
            <w:tcMar>
              <w:top w:w="0" w:type="dxa"/>
              <w:left w:w="0" w:type="dxa"/>
              <w:right w:w="0" w:type="dxa"/>
            </w:tcMar>
            <w:vAlign w:val="center"/>
          </w:tcPr>
          <w:p>
            <w:pPr>
              <w:pStyle w:val="TableContents"/>
              <w:bidi w:val="0"/>
              <w:spacing w:before="139" w:after="283"/>
              <w:ind w:left="730" w:right="0" w:firstLine="730"/>
              <w:jc w:val="left"/>
              <w:rPr>
                <w:rFonts w:ascii="Arial" w:hAnsi="Arial"/>
                <w:color w:val="000000"/>
                <w:sz w:val="16"/>
              </w:rPr>
            </w:pPr>
            <w:r>
              <w:rPr>
                <w:rFonts w:ascii="Arial" w:hAnsi="Arial"/>
                <w:color w:val="000000"/>
                <w:sz w:val="16"/>
              </w:rPr>
              <w:t>Effective as of the date of final signature</w:t>
            </w:r>
          </w:p>
        </w:tc>
      </w:tr>
      <w:tr>
        <w:trPr/>
        <w:tc>
          <w:tcPr>
            <w:tcW w:w="266" w:type="dxa"/>
            <w:vMerge w:val="restart"/>
            <w:tcBorders/>
            <w:tcMar>
              <w:top w:w="0" w:type="dxa"/>
              <w:left w:w="0" w:type="dxa"/>
              <w:bottom w:w="0" w:type="dxa"/>
              <w:right w:w="0" w:type="dxa"/>
            </w:tcMar>
            <w:vAlign w:val="center"/>
          </w:tcPr>
          <w:p>
            <w:pPr>
              <w:pStyle w:val="TableContents"/>
              <w:bidi w:val="0"/>
              <w:spacing w:before="278" w:after="345"/>
              <w:ind w:left="0" w:right="0" w:firstLine="10"/>
              <w:jc w:val="left"/>
              <w:rPr>
                <w:rFonts w:ascii="Arial" w:hAnsi="Arial"/>
                <w:color w:val="000000"/>
                <w:sz w:val="16"/>
              </w:rPr>
            </w:pPr>
            <w:r>
              <w:rPr>
                <w:rFonts w:ascii="Arial" w:hAnsi="Arial"/>
                <w:color w:val="000000"/>
                <w:sz w:val="16"/>
              </w:rPr>
              <w:t>2.</w:t>
            </w:r>
          </w:p>
        </w:tc>
        <w:tc>
          <w:tcPr>
            <w:tcW w:w="3746" w:type="dxa"/>
            <w:tcBorders>
              <w:bottom w:val="single" w:sz="5" w:space="0" w:color="000000"/>
            </w:tcBorders>
            <w:tcMar>
              <w:top w:w="0" w:type="dxa"/>
              <w:left w:w="0" w:type="dxa"/>
              <w:right w:w="0" w:type="dxa"/>
            </w:tcMar>
            <w:vAlign w:val="center"/>
          </w:tcPr>
          <w:p>
            <w:pPr>
              <w:pStyle w:val="TableContents"/>
              <w:bidi w:val="0"/>
              <w:spacing w:before="278" w:after="283"/>
              <w:ind w:left="0" w:right="0" w:firstLine="720"/>
              <w:jc w:val="left"/>
              <w:rPr>
                <w:rFonts w:ascii="Arial" w:hAnsi="Arial"/>
                <w:color w:val="000000"/>
                <w:sz w:val="16"/>
              </w:rPr>
            </w:pPr>
            <w:r>
              <w:rPr>
                <w:rFonts w:ascii="Arial" w:hAnsi="Arial"/>
                <w:color w:val="000000"/>
                <w:sz w:val="16"/>
              </w:rPr>
              <w:t>Term:</w:t>
            </w:r>
          </w:p>
        </w:tc>
        <w:tc>
          <w:tcPr>
            <w:tcW w:w="6181" w:type="dxa"/>
            <w:vMerge w:val="restart"/>
            <w:tcBorders>
              <w:bottom w:val="single" w:sz="5" w:space="0" w:color="000000"/>
            </w:tcBorders>
            <w:tcMar>
              <w:top w:w="0" w:type="dxa"/>
              <w:left w:w="0" w:type="dxa"/>
              <w:right w:w="0" w:type="dxa"/>
            </w:tcMar>
            <w:vAlign w:val="center"/>
          </w:tcPr>
          <w:p>
            <w:pPr>
              <w:pStyle w:val="TableContents"/>
              <w:bidi w:val="0"/>
              <w:spacing w:before="278" w:after="283"/>
              <w:ind w:left="720" w:right="0" w:firstLine="720"/>
              <w:jc w:val="left"/>
              <w:rPr>
                <w:rFonts w:ascii="Arial" w:hAnsi="Arial"/>
                <w:color w:val="000000"/>
                <w:sz w:val="16"/>
              </w:rPr>
            </w:pPr>
            <w:r>
              <w:rPr>
                <w:rFonts w:ascii="Arial" w:hAnsi="Arial"/>
                <w:color w:val="000000"/>
                <w:sz w:val="16"/>
              </w:rPr>
              <w:t>From the Project Agreement Effective Date until completion of the</w:t>
            </w:r>
          </w:p>
          <w:p>
            <w:pPr>
              <w:pStyle w:val="TableContents"/>
              <w:bidi w:val="0"/>
              <w:spacing w:before="43" w:after="120"/>
              <w:ind w:left="720" w:right="0" w:firstLine="720"/>
              <w:jc w:val="left"/>
              <w:rPr>
                <w:rFonts w:ascii="Arial" w:hAnsi="Arial"/>
                <w:color w:val="000000"/>
                <w:sz w:val="16"/>
              </w:rPr>
            </w:pPr>
            <w:r>
              <w:rPr>
                <w:rFonts w:ascii="Arial" w:hAnsi="Arial"/>
                <w:color w:val="000000"/>
                <w:sz w:val="16"/>
              </w:rPr>
              <w:t>Services or Termination according to the terms of the Master Agreement.</w:t>
            </w:r>
          </w:p>
        </w:tc>
      </w:tr>
      <w:tr>
        <w:trPr/>
        <w:tc>
          <w:tcPr>
            <w:tcW w:w="266" w:type="dxa"/>
            <w:vMerge w:val="continue"/>
            <w:tcBorders/>
            <w:tcMar>
              <w:top w:w="0" w:type="dxa"/>
              <w:left w:w="0" w:type="dxa"/>
              <w:bottom w:w="0" w:type="dxa"/>
              <w:right w:w="0" w:type="dxa"/>
            </w:tcMar>
            <w:vAlign w:val="center"/>
          </w:tcPr>
          <w:p>
            <w:pPr>
              <w:pStyle w:val="Normal"/>
              <w:bidi w:val="0"/>
              <w:jc w:val="left"/>
              <w:rPr/>
            </w:pPr>
            <w:r>
              <w:rPr/>
            </w:r>
          </w:p>
        </w:tc>
        <w:tc>
          <w:tcPr>
            <w:tcW w:w="3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1" w:type="dxa"/>
            <w:vMerge w:val="continue"/>
            <w:tcBorders>
              <w:bottom w:val="single" w:sz="5" w:space="0" w:color="000000"/>
            </w:tcBorders>
            <w:tcMar>
              <w:top w:w="0" w:type="dxa"/>
              <w:left w:w="0" w:type="dxa"/>
              <w:right w:w="0" w:type="dxa"/>
            </w:tcMar>
            <w:vAlign w:val="center"/>
          </w:tcPr>
          <w:p>
            <w:pPr>
              <w:pStyle w:val="Normal"/>
              <w:bidi w:val="0"/>
              <w:jc w:val="left"/>
              <w:rPr/>
            </w:pPr>
            <w:r>
              <w:rPr/>
            </w:r>
          </w:p>
        </w:tc>
      </w:tr>
      <w:tr>
        <w:trPr/>
        <w:tc>
          <w:tcPr>
            <w:tcW w:w="266" w:type="dxa"/>
            <w:tcBorders/>
            <w:tcMar>
              <w:top w:w="0" w:type="dxa"/>
              <w:left w:w="0" w:type="dxa"/>
              <w:bottom w:w="0" w:type="dxa"/>
              <w:right w:w="0" w:type="dxa"/>
            </w:tcMar>
            <w:vAlign w:val="center"/>
          </w:tcPr>
          <w:p>
            <w:pPr>
              <w:pStyle w:val="TableContents"/>
              <w:bidi w:val="0"/>
              <w:spacing w:before="144" w:after="33"/>
              <w:ind w:left="0" w:right="0" w:firstLine="10"/>
              <w:jc w:val="left"/>
              <w:rPr>
                <w:rFonts w:ascii="Arial" w:hAnsi="Arial"/>
                <w:color w:val="000000"/>
                <w:sz w:val="16"/>
              </w:rPr>
            </w:pPr>
            <w:r>
              <w:rPr>
                <w:rFonts w:ascii="Arial" w:hAnsi="Arial"/>
                <w:color w:val="000000"/>
                <w:sz w:val="16"/>
              </w:rPr>
              <w:t>3.</w:t>
            </w:r>
          </w:p>
        </w:tc>
        <w:tc>
          <w:tcPr>
            <w:tcW w:w="3746" w:type="dxa"/>
            <w:tcBorders>
              <w:bottom w:val="single" w:sz="5" w:space="0" w:color="000000"/>
            </w:tcBorders>
            <w:tcMar>
              <w:top w:w="0" w:type="dxa"/>
              <w:left w:w="0" w:type="dxa"/>
              <w:right w:w="0" w:type="dxa"/>
            </w:tcMar>
            <w:vAlign w:val="center"/>
          </w:tcPr>
          <w:p>
            <w:pPr>
              <w:pStyle w:val="TableContents"/>
              <w:bidi w:val="0"/>
              <w:spacing w:before="144" w:after="33"/>
              <w:ind w:left="0" w:right="0" w:firstLine="730"/>
              <w:jc w:val="left"/>
              <w:rPr>
                <w:rFonts w:ascii="Arial" w:hAnsi="Arial"/>
                <w:color w:val="000000"/>
                <w:sz w:val="16"/>
              </w:rPr>
            </w:pPr>
            <w:r>
              <w:rPr>
                <w:rFonts w:ascii="Arial" w:hAnsi="Arial"/>
                <w:color w:val="000000"/>
                <w:sz w:val="16"/>
              </w:rPr>
              <w:t>Other changes from Master Agreement:</w:t>
            </w:r>
          </w:p>
        </w:tc>
        <w:tc>
          <w:tcPr>
            <w:tcW w:w="6181" w:type="dxa"/>
            <w:tcBorders>
              <w:bottom w:val="single" w:sz="5" w:space="0" w:color="000000"/>
            </w:tcBorders>
            <w:tcMar>
              <w:top w:w="0" w:type="dxa"/>
              <w:left w:w="0" w:type="dxa"/>
              <w:right w:w="0" w:type="dxa"/>
            </w:tcMar>
            <w:vAlign w:val="center"/>
          </w:tcPr>
          <w:p>
            <w:pPr>
              <w:pStyle w:val="TableContents"/>
              <w:bidi w:val="0"/>
              <w:spacing w:before="144" w:after="33"/>
              <w:ind w:left="730" w:right="0" w:firstLine="730"/>
              <w:jc w:val="left"/>
              <w:rPr>
                <w:rFonts w:ascii="Arial" w:hAnsi="Arial"/>
                <w:color w:val="000000"/>
                <w:sz w:val="16"/>
              </w:rPr>
            </w:pPr>
            <w:r>
              <w:rPr>
                <w:rFonts w:ascii="Arial" w:hAnsi="Arial"/>
                <w:color w:val="000000"/>
                <w:sz w:val="16"/>
              </w:rPr>
              <w:t>None</w:t>
            </w:r>
          </w:p>
        </w:tc>
      </w:tr>
    </w:tbl>
    <w:p>
      <w:pPr>
        <w:pStyle w:val="TextBody"/>
        <w:bidi w:val="0"/>
        <w:spacing w:before="0" w:after="101"/>
        <w:jc w:val="left"/>
        <w:rPr/>
      </w:pPr>
      <w:r>
        <w:rPr/>
        <w:t> </w:t>
      </w:r>
    </w:p>
    <w:tbl>
      <w:tblPr>
        <w:tblW w:w="6676" w:type="dxa"/>
        <w:jc w:val="left"/>
        <w:tblInd w:w="0" w:type="dxa"/>
        <w:tblLayout w:type="fixed"/>
        <w:tblCellMar>
          <w:top w:w="28" w:type="dxa"/>
          <w:left w:w="28" w:type="dxa"/>
          <w:bottom w:w="28" w:type="dxa"/>
          <w:right w:w="28" w:type="dxa"/>
        </w:tblCellMar>
      </w:tblPr>
      <w:tblGrid>
        <w:gridCol w:w="3271"/>
        <w:gridCol w:w="3405"/>
      </w:tblGrid>
      <w:tr>
        <w:trPr/>
        <w:tc>
          <w:tcPr>
            <w:tcW w:w="3271"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ind w:left="0" w:right="0" w:firstLine="3274"/>
              <w:jc w:val="left"/>
              <w:rPr>
                <w:sz w:val="4"/>
                <w:szCs w:val="4"/>
              </w:rPr>
            </w:pPr>
            <w:r>
              <w:rPr>
                <w:sz w:val="4"/>
                <w:szCs w:val="4"/>
              </w:rPr>
            </w:r>
          </w:p>
        </w:tc>
      </w:tr>
      <w:tr>
        <w:trPr/>
        <w:tc>
          <w:tcPr>
            <w:tcW w:w="6676" w:type="dxa"/>
            <w:gridSpan w:val="2"/>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34" w:after="286"/>
              <w:ind w:left="0" w:right="0" w:firstLine="124"/>
              <w:jc w:val="left"/>
              <w:rPr>
                <w:rFonts w:ascii="Arial" w:hAnsi="Arial"/>
                <w:i/>
                <w:color w:val="000000"/>
                <w:sz w:val="21"/>
              </w:rPr>
            </w:pPr>
            <w:r>
              <w:rPr>
                <w:rFonts w:ascii="Arial" w:hAnsi="Arial"/>
                <w:i/>
                <w:color w:val="000000"/>
                <w:sz w:val="21"/>
              </w:rPr>
              <w:t>For Patheon Internal Use Only</w:t>
            </w:r>
          </w:p>
        </w:tc>
      </w:tr>
      <w:tr>
        <w:trPr/>
        <w:tc>
          <w:tcPr>
            <w:tcW w:w="327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90"/>
              <w:ind w:left="0" w:right="0" w:firstLine="120"/>
              <w:jc w:val="left"/>
              <w:rPr>
                <w:rFonts w:ascii="Arial" w:hAnsi="Arial"/>
                <w:color w:val="000000"/>
                <w:sz w:val="21"/>
              </w:rPr>
            </w:pPr>
            <w:r>
              <w:rPr>
                <w:rFonts w:ascii="Arial" w:hAnsi="Arial"/>
                <w:color w:val="000000"/>
                <w:sz w:val="21"/>
              </w:rPr>
              <w:t>Quick to Care Proposal Number</w:t>
            </w:r>
          </w:p>
        </w:tc>
        <w:tc>
          <w:tcPr>
            <w:tcW w:w="3405" w:type="dxa"/>
            <w:tcBorders>
              <w:bottom w:val="single" w:sz="5" w:space="0" w:color="000000"/>
              <w:right w:val="single" w:sz="5" w:space="0" w:color="000000"/>
            </w:tcBorders>
            <w:tcMar>
              <w:top w:w="0" w:type="dxa"/>
              <w:left w:w="0" w:type="dxa"/>
            </w:tcMar>
            <w:vAlign w:val="center"/>
          </w:tcPr>
          <w:p>
            <w:pPr>
              <w:pStyle w:val="TableContents"/>
              <w:bidi w:val="0"/>
              <w:spacing w:before="0" w:after="290"/>
              <w:ind w:left="0" w:right="0" w:firstLine="124"/>
              <w:jc w:val="left"/>
              <w:rPr>
                <w:rFonts w:ascii="Arial" w:hAnsi="Arial"/>
                <w:color w:val="000000"/>
                <w:sz w:val="21"/>
              </w:rPr>
            </w:pPr>
            <w:r>
              <w:rPr>
                <w:rFonts w:ascii="Arial" w:hAnsi="Arial"/>
                <w:color w:val="000000"/>
                <w:sz w:val="21"/>
              </w:rPr>
              <w:t>[***]</w:t>
            </w:r>
          </w:p>
        </w:tc>
      </w:tr>
      <w:tr>
        <w:trPr/>
        <w:tc>
          <w:tcPr>
            <w:tcW w:w="327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90"/>
              <w:ind w:left="0" w:right="0" w:firstLine="120"/>
              <w:jc w:val="left"/>
              <w:rPr>
                <w:rFonts w:ascii="Arial" w:hAnsi="Arial"/>
                <w:color w:val="000000"/>
                <w:sz w:val="21"/>
              </w:rPr>
            </w:pPr>
            <w:r>
              <w:rPr>
                <w:rFonts w:ascii="Arial" w:hAnsi="Arial"/>
                <w:color w:val="000000"/>
                <w:sz w:val="21"/>
              </w:rPr>
              <w:t>[***] Proposal Number</w:t>
            </w:r>
          </w:p>
        </w:tc>
        <w:tc>
          <w:tcPr>
            <w:tcW w:w="3405" w:type="dxa"/>
            <w:tcBorders>
              <w:bottom w:val="single" w:sz="5" w:space="0" w:color="000000"/>
              <w:right w:val="single" w:sz="5" w:space="0" w:color="000000"/>
            </w:tcBorders>
            <w:tcMar>
              <w:top w:w="0" w:type="dxa"/>
              <w:left w:w="0" w:type="dxa"/>
            </w:tcMar>
            <w:vAlign w:val="center"/>
          </w:tcPr>
          <w:p>
            <w:pPr>
              <w:pStyle w:val="TableContents"/>
              <w:bidi w:val="0"/>
              <w:spacing w:before="0" w:after="290"/>
              <w:ind w:left="0" w:right="0" w:firstLine="124"/>
              <w:jc w:val="left"/>
              <w:rPr>
                <w:rFonts w:ascii="Arial" w:hAnsi="Arial"/>
                <w:color w:val="000000"/>
                <w:sz w:val="21"/>
              </w:rPr>
            </w:pPr>
            <w:r>
              <w:rPr>
                <w:rFonts w:ascii="Arial" w:hAnsi="Arial"/>
                <w:color w:val="000000"/>
                <w:sz w:val="21"/>
              </w:rPr>
              <w:t>[***]</w:t>
            </w:r>
          </w:p>
        </w:tc>
      </w:tr>
      <w:tr>
        <w:trPr/>
        <w:tc>
          <w:tcPr>
            <w:tcW w:w="327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91"/>
              <w:ind w:left="0" w:right="0" w:firstLine="120"/>
              <w:jc w:val="left"/>
              <w:rPr>
                <w:rFonts w:ascii="Arial" w:hAnsi="Arial"/>
                <w:color w:val="000000"/>
                <w:sz w:val="21"/>
              </w:rPr>
            </w:pPr>
            <w:r>
              <w:rPr>
                <w:rFonts w:ascii="Arial" w:hAnsi="Arial"/>
                <w:color w:val="000000"/>
                <w:sz w:val="21"/>
              </w:rPr>
              <w:t>PDS Proposal Number</w:t>
            </w:r>
          </w:p>
        </w:tc>
        <w:tc>
          <w:tcPr>
            <w:tcW w:w="3405" w:type="dxa"/>
            <w:tcBorders>
              <w:bottom w:val="single" w:sz="5" w:space="0" w:color="000000"/>
              <w:right w:val="single" w:sz="5" w:space="0" w:color="000000"/>
            </w:tcBorders>
            <w:tcMar>
              <w:top w:w="0" w:type="dxa"/>
              <w:left w:w="0" w:type="dxa"/>
            </w:tcMar>
            <w:vAlign w:val="center"/>
          </w:tcPr>
          <w:p>
            <w:pPr>
              <w:pStyle w:val="TableContents"/>
              <w:bidi w:val="0"/>
              <w:spacing w:before="0" w:after="291"/>
              <w:ind w:left="120" w:right="0" w:firstLine="120"/>
              <w:jc w:val="left"/>
              <w:rPr>
                <w:rFonts w:ascii="Arial" w:hAnsi="Arial"/>
                <w:color w:val="000000"/>
                <w:sz w:val="21"/>
              </w:rPr>
            </w:pPr>
            <w:r>
              <w:rPr>
                <w:rFonts w:ascii="Arial" w:hAnsi="Arial"/>
                <w:color w:val="000000"/>
                <w:sz w:val="21"/>
              </w:rPr>
              <w:t>[***]</w:t>
            </w:r>
          </w:p>
        </w:tc>
      </w:tr>
    </w:tbl>
    <w:p>
      <w:pPr>
        <w:pStyle w:val="TextBody"/>
        <w:bidi w:val="0"/>
        <w:spacing w:before="0" w:after="558"/>
        <w:jc w:val="left"/>
        <w:rPr/>
      </w:pPr>
      <w:r>
        <w:rPr/>
        <w:t> </w:t>
      </w:r>
    </w:p>
    <w:p>
      <w:pPr>
        <w:pStyle w:val="TextBody"/>
        <w:bidi w:val="0"/>
        <w:jc w:val="left"/>
        <w:rPr>
          <w:rFonts w:ascii="Arial" w:hAnsi="Arial"/>
          <w:b/>
          <w:color w:val="000000"/>
          <w:sz w:val="21"/>
        </w:rPr>
      </w:pPr>
      <w:r>
        <w:rPr>
          <w:rFonts w:ascii="Arial" w:hAnsi="Arial"/>
          <w:b/>
          <w:color w:val="000000"/>
          <w:sz w:val="21"/>
        </w:rPr>
        <w:t>Patheon UK Limited Arcturus Therapeutics</w:t>
      </w:r>
    </w:p>
    <w:p>
      <w:pPr>
        <w:pStyle w:val="TextBody"/>
        <w:bidi w:val="0"/>
        <w:spacing w:before="301" w:after="271"/>
        <w:ind w:left="144" w:right="0" w:hanging="0"/>
        <w:jc w:val="left"/>
        <w:rPr>
          <w:rFonts w:ascii="Arial" w:hAnsi="Arial"/>
          <w:color w:val="000000"/>
          <w:sz w:val="21"/>
        </w:rPr>
      </w:pPr>
      <w:r>
        <w:rPr>
          <w:rFonts w:ascii="Arial" w:hAnsi="Arial"/>
          <w:color w:val="000000"/>
          <w:sz w:val="21"/>
        </w:rPr>
        <w:t>By: By:</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38" w:after="271"/>
        <w:ind w:left="144" w:right="0" w:hanging="0"/>
        <w:jc w:val="left"/>
        <w:rPr>
          <w:rFonts w:ascii="Arial" w:hAnsi="Arial"/>
          <w:color w:val="000000"/>
          <w:sz w:val="21"/>
        </w:rPr>
      </w:pPr>
      <w:r>
        <w:rPr>
          <w:rFonts w:ascii="Arial" w:hAnsi="Arial"/>
          <w:color w:val="000000"/>
          <w:sz w:val="21"/>
        </w:rPr>
        <w:t>Name: Name:</w:t>
      </w:r>
    </w:p>
    <w:p>
      <w:pPr>
        <w:pStyle w:val="TextBody"/>
        <w:bidi w:val="0"/>
        <w:spacing w:before="42" w:after="271"/>
        <w:ind w:left="144" w:right="0" w:hanging="0"/>
        <w:jc w:val="left"/>
        <w:rPr>
          <w:rFonts w:ascii="Arial" w:hAnsi="Arial"/>
          <w:color w:val="000000"/>
          <w:sz w:val="21"/>
        </w:rPr>
      </w:pPr>
      <w:r>
        <w:rPr>
          <w:rFonts w:ascii="Arial" w:hAnsi="Arial"/>
          <w:color w:val="000000"/>
          <w:sz w:val="21"/>
        </w:rPr>
        <w:t>Title: Title:</w:t>
      </w:r>
    </w:p>
    <w:p>
      <w:pPr>
        <w:pStyle w:val="TextBody"/>
        <w:bidi w:val="0"/>
        <w:spacing w:before="38" w:after="276"/>
        <w:ind w:left="144" w:right="0" w:hanging="0"/>
        <w:jc w:val="left"/>
        <w:rPr>
          <w:rFonts w:ascii="Arial" w:hAnsi="Arial"/>
          <w:color w:val="000000"/>
          <w:sz w:val="21"/>
        </w:rPr>
      </w:pPr>
      <w:r>
        <w:rPr>
          <w:rFonts w:ascii="Arial" w:hAnsi="Arial"/>
          <w:color w:val="000000"/>
          <w:sz w:val="21"/>
        </w:rPr>
        <w:t>Date: Date:</w:t>
      </w:r>
    </w:p>
    <w:p>
      <w:pPr>
        <w:pStyle w:val="TextBody"/>
        <w:bidi w:val="0"/>
        <w:spacing w:before="720"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June 26, 2026 ARCT-032</w:t>
      </w:r>
    </w:p>
    <w:p>
      <w:pPr>
        <w:pStyle w:val="TextBody"/>
        <w:bidi w:val="0"/>
        <w:spacing w:before="37" w:after="283"/>
        <w:jc w:val="left"/>
        <w:rPr>
          <w:rFonts w:ascii="Arial" w:hAnsi="Arial"/>
          <w:b/>
          <w:color w:val="000000"/>
          <w:sz w:val="17"/>
        </w:rPr>
      </w:pPr>
      <w:r>
        <w:rPr>
          <w:rFonts w:ascii="Arial" w:hAnsi="Arial"/>
          <w:b/>
          <w:color w:val="000000"/>
          <w:sz w:val="17"/>
        </w:rPr>
        <w:t>Confidential Page 1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456" w:right="74" w:hanging="0"/>
        <w:jc w:val="left"/>
        <w:rPr/>
      </w:pPr>
      <w:r>
        <w:rPr/>
        <w:drawing>
          <wp:inline distT="0" distB="0" distL="0" distR="0">
            <wp:extent cx="1743075" cy="37147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57"/>
                    <a:stretch>
                      <a:fillRect/>
                    </a:stretch>
                  </pic:blipFill>
                  <pic:spPr bwMode="auto">
                    <a:xfrm>
                      <a:off x="0" y="0"/>
                      <a:ext cx="1743075" cy="371475"/>
                    </a:xfrm>
                    <a:prstGeom prst="rect">
                      <a:avLst/>
                    </a:prstGeom>
                  </pic:spPr>
                </pic:pic>
              </a:graphicData>
            </a:graphic>
          </wp:inline>
        </w:drawing>
      </w:r>
    </w:p>
    <w:p>
      <w:pPr>
        <w:pStyle w:val="TextBody"/>
        <w:bidi w:val="0"/>
        <w:spacing w:before="0" w:after="83"/>
        <w:jc w:val="left"/>
        <w:rPr>
          <w:rFonts w:ascii="Arial" w:hAnsi="Arial"/>
          <w:b/>
          <w:color w:val="ED3034"/>
          <w:sz w:val="48"/>
        </w:rPr>
      </w:pPr>
      <w:r>
        <w:rPr>
          <w:rFonts w:ascii="Arial" w:hAnsi="Arial"/>
          <w:b/>
          <w:color w:val="ED3034"/>
          <w:sz w:val="48"/>
        </w:rPr>
        <w:t>Table of Contents</w:t>
      </w:r>
    </w:p>
    <w:p>
      <w:pPr>
        <w:pStyle w:val="TextBody"/>
        <w:bidi w:val="0"/>
        <w:jc w:val="both"/>
        <w:rPr>
          <w:rFonts w:ascii="Arial" w:hAnsi="Arial"/>
          <w:b/>
          <w:color w:val="000000"/>
          <w:sz w:val="21"/>
        </w:rPr>
      </w:pPr>
      <w:r>
        <w:rPr>
          <w:rFonts w:ascii="Arial" w:hAnsi="Arial"/>
          <w:b/>
          <w:color w:val="000000"/>
          <w:sz w:val="21"/>
        </w:rPr>
        <w:t>Part A: Project Overview 4</w:t>
      </w:r>
    </w:p>
    <w:p>
      <w:pPr>
        <w:pStyle w:val="TextBody"/>
        <w:bidi w:val="0"/>
        <w:spacing w:before="131" w:after="283"/>
        <w:jc w:val="both"/>
        <w:rPr>
          <w:rFonts w:ascii="Arial" w:hAnsi="Arial"/>
          <w:b/>
          <w:color w:val="000000"/>
          <w:sz w:val="21"/>
        </w:rPr>
      </w:pPr>
      <w:r>
        <w:rPr>
          <w:rFonts w:ascii="Arial" w:hAnsi="Arial"/>
          <w:b/>
          <w:color w:val="000000"/>
          <w:sz w:val="21"/>
        </w:rPr>
        <w:t>Part B: Budget Summary 9</w:t>
      </w:r>
    </w:p>
    <w:p>
      <w:pPr>
        <w:pStyle w:val="TextBody"/>
        <w:bidi w:val="0"/>
        <w:spacing w:before="87" w:after="283"/>
        <w:ind w:left="288" w:right="0" w:hanging="0"/>
        <w:jc w:val="both"/>
        <w:rPr>
          <w:rFonts w:ascii="Arial" w:hAnsi="Arial"/>
          <w:color w:val="000000"/>
          <w:sz w:val="21"/>
        </w:rPr>
      </w:pPr>
      <w:r>
        <w:rPr>
          <w:rFonts w:ascii="Arial" w:hAnsi="Arial"/>
          <w:color w:val="000000"/>
          <w:sz w:val="21"/>
        </w:rPr>
        <w:t>Bulk [***] Drug Product 9</w:t>
      </w:r>
    </w:p>
    <w:p>
      <w:pPr>
        <w:pStyle w:val="TextBody"/>
        <w:bidi w:val="0"/>
        <w:spacing w:before="161" w:after="283"/>
        <w:ind w:left="288" w:right="0" w:hanging="0"/>
        <w:jc w:val="both"/>
        <w:rPr>
          <w:rFonts w:ascii="Arial" w:hAnsi="Arial"/>
          <w:color w:val="000000"/>
          <w:sz w:val="21"/>
        </w:rPr>
      </w:pPr>
      <w:r>
        <w:rPr>
          <w:rFonts w:ascii="Arial" w:hAnsi="Arial"/>
          <w:color w:val="000000"/>
          <w:sz w:val="21"/>
        </w:rPr>
        <w:t>[***] Drug Product Fill and Finish ([***]) 12</w:t>
      </w:r>
    </w:p>
    <w:p>
      <w:pPr>
        <w:pStyle w:val="TextBody"/>
        <w:bidi w:val="0"/>
        <w:spacing w:before="161" w:after="283"/>
        <w:jc w:val="both"/>
        <w:rPr>
          <w:rFonts w:ascii="Arial" w:hAnsi="Arial"/>
          <w:b/>
          <w:color w:val="000000"/>
          <w:sz w:val="21"/>
        </w:rPr>
      </w:pPr>
      <w:r>
        <w:rPr>
          <w:rFonts w:ascii="Arial" w:hAnsi="Arial"/>
          <w:b/>
          <w:color w:val="000000"/>
          <w:sz w:val="21"/>
        </w:rPr>
        <w:t>Part C: High Level Timeline 19</w:t>
      </w:r>
    </w:p>
    <w:p>
      <w:pPr>
        <w:pStyle w:val="TextBody"/>
        <w:bidi w:val="0"/>
        <w:spacing w:before="136" w:after="283"/>
        <w:jc w:val="both"/>
        <w:rPr>
          <w:rFonts w:ascii="Arial" w:hAnsi="Arial"/>
          <w:b/>
          <w:color w:val="000000"/>
          <w:sz w:val="21"/>
        </w:rPr>
      </w:pPr>
      <w:r>
        <w:rPr>
          <w:rFonts w:ascii="Arial" w:hAnsi="Arial"/>
          <w:b/>
          <w:color w:val="000000"/>
          <w:sz w:val="21"/>
        </w:rPr>
        <w:t>Part D: Project Activities 21</w:t>
      </w:r>
    </w:p>
    <w:p>
      <w:pPr>
        <w:pStyle w:val="TextBody"/>
        <w:bidi w:val="0"/>
        <w:spacing w:before="87" w:after="283"/>
        <w:ind w:left="288" w:right="0" w:hanging="0"/>
        <w:jc w:val="both"/>
        <w:rPr>
          <w:rFonts w:ascii="Arial" w:hAnsi="Arial"/>
          <w:color w:val="000000"/>
          <w:sz w:val="21"/>
        </w:rPr>
      </w:pPr>
      <w:r>
        <w:rPr>
          <w:rFonts w:ascii="Arial" w:hAnsi="Arial"/>
          <w:color w:val="000000"/>
          <w:sz w:val="21"/>
        </w:rPr>
        <w:t>1.</w:t>
      </w:r>
    </w:p>
    <w:p>
      <w:pPr>
        <w:pStyle w:val="TextBody"/>
        <w:bidi w:val="0"/>
        <w:spacing w:before="87" w:after="283"/>
        <w:jc w:val="both"/>
        <w:rPr>
          <w:rFonts w:ascii="Arial" w:hAnsi="Arial"/>
          <w:color w:val="000000"/>
          <w:sz w:val="21"/>
        </w:rPr>
      </w:pPr>
      <w:r>
        <w:rPr>
          <w:rFonts w:ascii="Arial" w:hAnsi="Arial"/>
          <w:color w:val="000000"/>
          <w:sz w:val="21"/>
        </w:rPr>
        <w:t>Project Start Up and Technology Transfer 21</w:t>
      </w:r>
    </w:p>
    <w:p>
      <w:pPr>
        <w:pStyle w:val="TextBody"/>
        <w:bidi w:val="0"/>
        <w:spacing w:before="160" w:after="283"/>
        <w:ind w:left="288" w:right="0" w:hanging="0"/>
        <w:jc w:val="both"/>
        <w:rPr>
          <w:rFonts w:ascii="Arial" w:hAnsi="Arial"/>
          <w:color w:val="000000"/>
          <w:sz w:val="21"/>
        </w:rPr>
      </w:pPr>
      <w:r>
        <w:rPr>
          <w:rFonts w:ascii="Arial" w:hAnsi="Arial"/>
          <w:color w:val="000000"/>
          <w:sz w:val="21"/>
        </w:rPr>
        <w:t>2.</w:t>
      </w:r>
    </w:p>
    <w:p>
      <w:pPr>
        <w:pStyle w:val="TextBody"/>
        <w:bidi w:val="0"/>
        <w:spacing w:before="160" w:after="283"/>
        <w:jc w:val="both"/>
        <w:rPr>
          <w:rFonts w:ascii="Arial" w:hAnsi="Arial"/>
          <w:color w:val="000000"/>
          <w:sz w:val="21"/>
        </w:rPr>
      </w:pPr>
      <w:r>
        <w:rPr>
          <w:rFonts w:ascii="Arial" w:hAnsi="Arial"/>
          <w:color w:val="000000"/>
          <w:sz w:val="21"/>
        </w:rPr>
        <w:t>Analytical and Microbiological Services 23</w:t>
      </w:r>
    </w:p>
    <w:p>
      <w:pPr>
        <w:pStyle w:val="TextBody"/>
        <w:bidi w:val="0"/>
        <w:spacing w:before="155" w:after="283"/>
        <w:ind w:left="288" w:right="0" w:hanging="0"/>
        <w:jc w:val="both"/>
        <w:rPr>
          <w:rFonts w:ascii="Arial" w:hAnsi="Arial"/>
          <w:color w:val="000000"/>
          <w:sz w:val="21"/>
        </w:rPr>
      </w:pPr>
      <w:r>
        <w:rPr>
          <w:rFonts w:ascii="Arial" w:hAnsi="Arial"/>
          <w:color w:val="000000"/>
          <w:sz w:val="21"/>
        </w:rPr>
        <w:t>[***]/ [***] Bulk Drug Product 29</w:t>
      </w:r>
    </w:p>
    <w:p>
      <w:pPr>
        <w:pStyle w:val="TextBody"/>
        <w:bidi w:val="0"/>
        <w:spacing w:before="160" w:after="283"/>
        <w:ind w:left="288" w:right="0" w:hanging="0"/>
        <w:jc w:val="both"/>
        <w:rPr>
          <w:rFonts w:ascii="Arial" w:hAnsi="Arial"/>
          <w:color w:val="000000"/>
          <w:sz w:val="21"/>
        </w:rPr>
      </w:pPr>
      <w:r>
        <w:rPr>
          <w:rFonts w:ascii="Arial" w:hAnsi="Arial"/>
          <w:color w:val="000000"/>
          <w:sz w:val="21"/>
        </w:rPr>
        <w:t>3.</w:t>
      </w:r>
    </w:p>
    <w:p>
      <w:pPr>
        <w:pStyle w:val="TextBody"/>
        <w:bidi w:val="0"/>
        <w:spacing w:before="160" w:after="283"/>
        <w:jc w:val="both"/>
        <w:rPr>
          <w:rFonts w:ascii="Arial" w:hAnsi="Arial"/>
          <w:color w:val="000000"/>
          <w:sz w:val="21"/>
        </w:rPr>
      </w:pPr>
      <w:r>
        <w:rPr>
          <w:rFonts w:ascii="Arial" w:hAnsi="Arial"/>
          <w:color w:val="000000"/>
          <w:sz w:val="21"/>
        </w:rPr>
        <w:t>[***] Engineering Batch 29</w:t>
      </w:r>
    </w:p>
    <w:p>
      <w:pPr>
        <w:pStyle w:val="TextBody"/>
        <w:bidi w:val="0"/>
        <w:spacing w:before="161" w:after="283"/>
        <w:ind w:left="288" w:right="0" w:hanging="0"/>
        <w:jc w:val="both"/>
        <w:rPr>
          <w:rFonts w:ascii="Arial" w:hAnsi="Arial"/>
          <w:color w:val="000000"/>
          <w:sz w:val="21"/>
        </w:rPr>
      </w:pPr>
      <w:r>
        <w:rPr>
          <w:rFonts w:ascii="Arial" w:hAnsi="Arial"/>
          <w:color w:val="000000"/>
          <w:sz w:val="21"/>
        </w:rPr>
        <w:t>4.</w:t>
      </w:r>
    </w:p>
    <w:p>
      <w:pPr>
        <w:pStyle w:val="TextBody"/>
        <w:bidi w:val="0"/>
        <w:spacing w:before="161" w:after="283"/>
        <w:jc w:val="both"/>
        <w:rPr>
          <w:rFonts w:ascii="Arial" w:hAnsi="Arial"/>
          <w:color w:val="000000"/>
          <w:sz w:val="21"/>
        </w:rPr>
      </w:pPr>
      <w:r>
        <w:rPr>
          <w:rFonts w:ascii="Arial" w:hAnsi="Arial"/>
          <w:color w:val="000000"/>
          <w:sz w:val="21"/>
        </w:rPr>
        <w:t>Stability Study – [***] Engineering Batch 30</w:t>
      </w:r>
    </w:p>
    <w:p>
      <w:pPr>
        <w:pStyle w:val="TextBody"/>
        <w:bidi w:val="0"/>
        <w:spacing w:before="159" w:after="283"/>
        <w:ind w:left="288" w:right="0" w:hanging="0"/>
        <w:jc w:val="both"/>
        <w:rPr>
          <w:rFonts w:ascii="Arial" w:hAnsi="Arial"/>
          <w:color w:val="000000"/>
          <w:sz w:val="21"/>
        </w:rPr>
      </w:pPr>
      <w:r>
        <w:rPr>
          <w:rFonts w:ascii="Arial" w:hAnsi="Arial"/>
          <w:color w:val="000000"/>
          <w:sz w:val="21"/>
        </w:rPr>
        <w:t>5.</w:t>
      </w:r>
    </w:p>
    <w:p>
      <w:pPr>
        <w:pStyle w:val="TextBody"/>
        <w:bidi w:val="0"/>
        <w:spacing w:before="159" w:after="283"/>
        <w:jc w:val="both"/>
        <w:rPr>
          <w:rFonts w:ascii="Arial" w:hAnsi="Arial"/>
          <w:color w:val="000000"/>
          <w:sz w:val="21"/>
        </w:rPr>
      </w:pPr>
      <w:r>
        <w:rPr>
          <w:rFonts w:ascii="Arial" w:hAnsi="Arial"/>
          <w:color w:val="000000"/>
          <w:sz w:val="21"/>
        </w:rPr>
        <w:t>[***] Engineering Batch 31</w:t>
      </w:r>
    </w:p>
    <w:p>
      <w:pPr>
        <w:pStyle w:val="TextBody"/>
        <w:bidi w:val="0"/>
        <w:spacing w:before="162" w:after="283"/>
        <w:ind w:left="288" w:right="0" w:hanging="0"/>
        <w:jc w:val="both"/>
        <w:rPr>
          <w:rFonts w:ascii="Arial" w:hAnsi="Arial"/>
          <w:color w:val="000000"/>
          <w:sz w:val="21"/>
        </w:rPr>
      </w:pPr>
      <w:r>
        <w:rPr>
          <w:rFonts w:ascii="Arial" w:hAnsi="Arial"/>
          <w:color w:val="000000"/>
          <w:sz w:val="21"/>
        </w:rPr>
        <w:t>6.</w:t>
      </w:r>
    </w:p>
    <w:p>
      <w:pPr>
        <w:pStyle w:val="TextBody"/>
        <w:bidi w:val="0"/>
        <w:spacing w:before="162" w:after="283"/>
        <w:jc w:val="both"/>
        <w:rPr>
          <w:rFonts w:ascii="Arial" w:hAnsi="Arial"/>
          <w:color w:val="000000"/>
          <w:sz w:val="21"/>
        </w:rPr>
      </w:pPr>
      <w:r>
        <w:rPr>
          <w:rFonts w:ascii="Arial" w:hAnsi="Arial"/>
          <w:color w:val="000000"/>
          <w:sz w:val="21"/>
        </w:rPr>
        <w:t>[***] Clinical Trial Material (CTM) Manufacturing 32</w:t>
      </w:r>
    </w:p>
    <w:p>
      <w:pPr>
        <w:pStyle w:val="TextBody"/>
        <w:bidi w:val="0"/>
        <w:spacing w:before="160" w:after="283"/>
        <w:ind w:left="288" w:right="0" w:hanging="0"/>
        <w:jc w:val="both"/>
        <w:rPr>
          <w:rFonts w:ascii="Arial" w:hAnsi="Arial"/>
          <w:color w:val="000000"/>
          <w:sz w:val="21"/>
        </w:rPr>
      </w:pPr>
      <w:r>
        <w:rPr>
          <w:rFonts w:ascii="Arial" w:hAnsi="Arial"/>
          <w:color w:val="000000"/>
          <w:sz w:val="21"/>
        </w:rPr>
        <w:t>7.</w:t>
      </w:r>
    </w:p>
    <w:p>
      <w:pPr>
        <w:pStyle w:val="TextBody"/>
        <w:bidi w:val="0"/>
        <w:spacing w:before="160" w:after="283"/>
        <w:jc w:val="both"/>
        <w:rPr>
          <w:rFonts w:ascii="Arial" w:hAnsi="Arial"/>
          <w:color w:val="000000"/>
          <w:sz w:val="21"/>
        </w:rPr>
      </w:pPr>
      <w:r>
        <w:rPr>
          <w:rFonts w:ascii="Arial" w:hAnsi="Arial"/>
          <w:color w:val="000000"/>
          <w:sz w:val="21"/>
        </w:rPr>
        <w:t>Stability Study – [***] CTM Batch 33</w:t>
      </w:r>
    </w:p>
    <w:p>
      <w:pPr>
        <w:pStyle w:val="TextBody"/>
        <w:bidi w:val="0"/>
        <w:spacing w:before="147" w:after="283"/>
        <w:ind w:left="288" w:right="0" w:hanging="0"/>
        <w:jc w:val="both"/>
        <w:rPr>
          <w:rFonts w:ascii="Arial" w:hAnsi="Arial"/>
          <w:color w:val="000000"/>
          <w:sz w:val="21"/>
        </w:rPr>
      </w:pPr>
      <w:r>
        <w:rPr>
          <w:rFonts w:ascii="Arial" w:hAnsi="Arial"/>
          <w:color w:val="000000"/>
          <w:sz w:val="21"/>
        </w:rPr>
        <w:t>8.</w:t>
      </w:r>
    </w:p>
    <w:p>
      <w:pPr>
        <w:pStyle w:val="TextBody"/>
        <w:bidi w:val="0"/>
        <w:spacing w:before="147" w:after="283"/>
        <w:jc w:val="both"/>
        <w:rPr>
          <w:rFonts w:ascii="Arial" w:hAnsi="Arial"/>
          <w:color w:val="000000"/>
          <w:sz w:val="21"/>
        </w:rPr>
      </w:pPr>
      <w:r>
        <w:rPr>
          <w:rFonts w:ascii="Arial" w:hAnsi="Arial"/>
          <w:color w:val="000000"/>
          <w:sz w:val="21"/>
        </w:rPr>
        <w:t>[***] cGMP Reference Standard Generation 34</w:t>
      </w:r>
    </w:p>
    <w:p>
      <w:pPr>
        <w:pStyle w:val="TextBody"/>
        <w:bidi w:val="0"/>
        <w:spacing w:before="164" w:after="283"/>
        <w:ind w:left="288" w:right="0" w:hanging="0"/>
        <w:jc w:val="both"/>
        <w:rPr>
          <w:rFonts w:ascii="Arial" w:hAnsi="Arial"/>
          <w:color w:val="000000"/>
          <w:sz w:val="21"/>
        </w:rPr>
      </w:pPr>
      <w:r>
        <w:rPr>
          <w:rFonts w:ascii="Arial" w:hAnsi="Arial"/>
          <w:color w:val="000000"/>
          <w:sz w:val="21"/>
        </w:rPr>
        <w:t>9.</w:t>
      </w:r>
    </w:p>
    <w:p>
      <w:pPr>
        <w:pStyle w:val="TextBody"/>
        <w:bidi w:val="0"/>
        <w:spacing w:before="164" w:after="283"/>
        <w:jc w:val="both"/>
        <w:rPr>
          <w:rFonts w:ascii="Arial" w:hAnsi="Arial"/>
          <w:color w:val="000000"/>
          <w:sz w:val="21"/>
        </w:rPr>
      </w:pPr>
      <w:r>
        <w:rPr>
          <w:rFonts w:ascii="Arial" w:hAnsi="Arial"/>
          <w:color w:val="000000"/>
          <w:sz w:val="21"/>
        </w:rPr>
        <w:t>[***] Clinical Trial Material (CTM) Manufacturing 35</w:t>
      </w:r>
    </w:p>
    <w:p>
      <w:pPr>
        <w:pStyle w:val="TextBody"/>
        <w:bidi w:val="0"/>
        <w:spacing w:before="147" w:after="283"/>
        <w:ind w:left="288" w:right="0" w:hanging="0"/>
        <w:jc w:val="both"/>
        <w:rPr>
          <w:rFonts w:ascii="Arial" w:hAnsi="Arial"/>
          <w:color w:val="000000"/>
          <w:sz w:val="21"/>
        </w:rPr>
      </w:pPr>
      <w:r>
        <w:rPr>
          <w:rFonts w:ascii="Arial" w:hAnsi="Arial"/>
          <w:color w:val="000000"/>
          <w:sz w:val="21"/>
        </w:rPr>
        <w:t>1.</w:t>
      </w:r>
    </w:p>
    <w:p>
      <w:pPr>
        <w:pStyle w:val="TextBody"/>
        <w:bidi w:val="0"/>
        <w:spacing w:before="147" w:after="283"/>
        <w:jc w:val="both"/>
        <w:rPr>
          <w:rFonts w:ascii="Arial" w:hAnsi="Arial"/>
          <w:color w:val="000000"/>
          <w:sz w:val="21"/>
        </w:rPr>
      </w:pPr>
      <w:r>
        <w:rPr>
          <w:rFonts w:ascii="Arial" w:hAnsi="Arial"/>
          <w:color w:val="000000"/>
          <w:sz w:val="21"/>
        </w:rPr>
        <w:t>[NP cGMP Reference Standard Generation 36</w:t>
      </w:r>
    </w:p>
    <w:p>
      <w:pPr>
        <w:pStyle w:val="TextBody"/>
        <w:bidi w:val="0"/>
        <w:spacing w:before="164" w:after="283"/>
        <w:ind w:left="288" w:right="0" w:hanging="0"/>
        <w:jc w:val="both"/>
        <w:rPr>
          <w:rFonts w:ascii="Arial" w:hAnsi="Arial"/>
          <w:color w:val="000000"/>
          <w:sz w:val="21"/>
        </w:rPr>
      </w:pPr>
      <w:r>
        <w:rPr>
          <w:rFonts w:ascii="Arial" w:hAnsi="Arial"/>
          <w:color w:val="000000"/>
          <w:sz w:val="21"/>
        </w:rPr>
        <w:t>2.</w:t>
      </w:r>
    </w:p>
    <w:p>
      <w:pPr>
        <w:pStyle w:val="TextBody"/>
        <w:bidi w:val="0"/>
        <w:spacing w:before="164" w:after="283"/>
        <w:jc w:val="both"/>
        <w:rPr>
          <w:rFonts w:ascii="Arial" w:hAnsi="Arial"/>
          <w:color w:val="000000"/>
          <w:sz w:val="21"/>
        </w:rPr>
      </w:pPr>
      <w:r>
        <w:rPr>
          <w:rFonts w:ascii="Arial" w:hAnsi="Arial"/>
          <w:color w:val="000000"/>
          <w:sz w:val="21"/>
        </w:rPr>
        <w:t>Process and CQA Risk Assessment and PC Study Planning 37</w:t>
      </w:r>
    </w:p>
    <w:p>
      <w:pPr>
        <w:pStyle w:val="TextBody"/>
        <w:bidi w:val="0"/>
        <w:spacing w:before="155" w:after="283"/>
        <w:ind w:left="288" w:right="0" w:hanging="0"/>
        <w:jc w:val="both"/>
        <w:rPr>
          <w:rFonts w:ascii="Arial" w:hAnsi="Arial"/>
          <w:color w:val="000000"/>
          <w:sz w:val="21"/>
        </w:rPr>
      </w:pPr>
      <w:r>
        <w:rPr>
          <w:rFonts w:ascii="Arial" w:hAnsi="Arial"/>
          <w:color w:val="000000"/>
          <w:sz w:val="21"/>
        </w:rPr>
        <w:t>3.</w:t>
      </w:r>
    </w:p>
    <w:p>
      <w:pPr>
        <w:pStyle w:val="TextBody"/>
        <w:bidi w:val="0"/>
        <w:spacing w:before="155" w:after="283"/>
        <w:jc w:val="both"/>
        <w:rPr>
          <w:rFonts w:ascii="Arial" w:hAnsi="Arial"/>
          <w:color w:val="000000"/>
          <w:sz w:val="21"/>
        </w:rPr>
      </w:pPr>
      <w:r>
        <w:rPr>
          <w:rFonts w:ascii="Arial" w:hAnsi="Arial"/>
          <w:color w:val="000000"/>
          <w:sz w:val="21"/>
        </w:rPr>
        <w:t>Scale Down Model Evaluation and Qualification 38</w:t>
      </w:r>
    </w:p>
    <w:p>
      <w:pPr>
        <w:pStyle w:val="TextBody"/>
        <w:bidi w:val="0"/>
        <w:spacing w:before="160" w:after="283"/>
        <w:ind w:left="288" w:right="0" w:hanging="0"/>
        <w:jc w:val="both"/>
        <w:rPr>
          <w:rFonts w:ascii="Arial" w:hAnsi="Arial"/>
          <w:color w:val="000000"/>
          <w:sz w:val="21"/>
        </w:rPr>
      </w:pPr>
      <w:r>
        <w:rPr>
          <w:rFonts w:ascii="Arial" w:hAnsi="Arial"/>
          <w:color w:val="000000"/>
          <w:sz w:val="21"/>
        </w:rPr>
        <w:t>4.</w:t>
      </w:r>
    </w:p>
    <w:p>
      <w:pPr>
        <w:pStyle w:val="TextBody"/>
        <w:bidi w:val="0"/>
        <w:spacing w:before="160" w:after="283"/>
        <w:jc w:val="both"/>
        <w:rPr>
          <w:rFonts w:ascii="Arial" w:hAnsi="Arial"/>
          <w:color w:val="000000"/>
          <w:sz w:val="21"/>
        </w:rPr>
      </w:pPr>
      <w:r>
        <w:rPr>
          <w:rFonts w:ascii="Arial" w:hAnsi="Arial"/>
          <w:color w:val="000000"/>
          <w:sz w:val="21"/>
        </w:rPr>
        <w:t>Process Characterization Studies 38</w:t>
      </w:r>
    </w:p>
    <w:p>
      <w:pPr>
        <w:pStyle w:val="TextBody"/>
        <w:bidi w:val="0"/>
        <w:spacing w:before="161" w:after="283"/>
        <w:ind w:left="288" w:right="0" w:hanging="0"/>
        <w:jc w:val="both"/>
        <w:rPr>
          <w:rFonts w:ascii="Arial" w:hAnsi="Arial"/>
          <w:color w:val="000000"/>
          <w:sz w:val="21"/>
        </w:rPr>
      </w:pPr>
      <w:r>
        <w:rPr>
          <w:rFonts w:ascii="Arial" w:hAnsi="Arial"/>
          <w:color w:val="000000"/>
          <w:sz w:val="21"/>
        </w:rPr>
        <w:t>5.</w:t>
      </w:r>
    </w:p>
    <w:p>
      <w:pPr>
        <w:pStyle w:val="TextBody"/>
        <w:bidi w:val="0"/>
        <w:spacing w:before="161" w:after="283"/>
        <w:jc w:val="both"/>
        <w:rPr>
          <w:rFonts w:ascii="Arial" w:hAnsi="Arial"/>
          <w:color w:val="000000"/>
          <w:sz w:val="21"/>
        </w:rPr>
      </w:pPr>
      <w:r>
        <w:rPr>
          <w:rFonts w:ascii="Arial" w:hAnsi="Arial"/>
          <w:color w:val="000000"/>
          <w:sz w:val="21"/>
        </w:rPr>
        <w:t>Process Validation Master Plan 39</w:t>
      </w:r>
    </w:p>
    <w:p>
      <w:pPr>
        <w:pStyle w:val="TextBody"/>
        <w:bidi w:val="0"/>
        <w:spacing w:before="160" w:after="283"/>
        <w:ind w:left="288" w:right="0" w:hanging="0"/>
        <w:jc w:val="both"/>
        <w:rPr>
          <w:rFonts w:ascii="Arial" w:hAnsi="Arial"/>
          <w:color w:val="000000"/>
          <w:sz w:val="21"/>
        </w:rPr>
      </w:pPr>
      <w:r>
        <w:rPr>
          <w:rFonts w:ascii="Arial" w:hAnsi="Arial"/>
          <w:color w:val="000000"/>
          <w:sz w:val="21"/>
        </w:rPr>
        <w:t>6.</w:t>
      </w:r>
    </w:p>
    <w:p>
      <w:pPr>
        <w:pStyle w:val="TextBody"/>
        <w:bidi w:val="0"/>
        <w:spacing w:before="160" w:after="283"/>
        <w:jc w:val="both"/>
        <w:rPr>
          <w:rFonts w:ascii="Arial" w:hAnsi="Arial"/>
          <w:color w:val="000000"/>
          <w:sz w:val="21"/>
        </w:rPr>
      </w:pPr>
      <w:r>
        <w:rPr>
          <w:rFonts w:ascii="Arial" w:hAnsi="Arial"/>
          <w:color w:val="000000"/>
          <w:sz w:val="21"/>
        </w:rPr>
        <w:t>Process Validation Protocol 41</w:t>
      </w:r>
    </w:p>
    <w:p>
      <w:pPr>
        <w:pStyle w:val="TextBody"/>
        <w:bidi w:val="0"/>
        <w:spacing w:before="160" w:after="283"/>
        <w:ind w:left="288" w:right="0" w:hanging="0"/>
        <w:jc w:val="both"/>
        <w:rPr>
          <w:rFonts w:ascii="Arial" w:hAnsi="Arial"/>
          <w:color w:val="000000"/>
          <w:sz w:val="21"/>
        </w:rPr>
      </w:pPr>
      <w:r>
        <w:rPr>
          <w:rFonts w:ascii="Arial" w:hAnsi="Arial"/>
          <w:color w:val="000000"/>
          <w:sz w:val="21"/>
        </w:rPr>
        <w:t>7.</w:t>
      </w:r>
    </w:p>
    <w:p>
      <w:pPr>
        <w:pStyle w:val="TextBody"/>
        <w:bidi w:val="0"/>
        <w:spacing w:before="160" w:after="283"/>
        <w:jc w:val="both"/>
        <w:rPr>
          <w:rFonts w:ascii="Arial" w:hAnsi="Arial"/>
          <w:color w:val="000000"/>
          <w:sz w:val="21"/>
        </w:rPr>
      </w:pPr>
      <w:r>
        <w:rPr>
          <w:rFonts w:ascii="Arial" w:hAnsi="Arial"/>
          <w:color w:val="000000"/>
          <w:sz w:val="21"/>
        </w:rPr>
        <w:t>Final FMEA and Parameter Designation 41</w:t>
      </w:r>
    </w:p>
    <w:p>
      <w:pPr>
        <w:pStyle w:val="TextBody"/>
        <w:bidi w:val="0"/>
        <w:spacing w:before="159" w:after="283"/>
        <w:ind w:left="288" w:right="0" w:hanging="0"/>
        <w:jc w:val="both"/>
        <w:rPr>
          <w:rFonts w:ascii="Arial" w:hAnsi="Arial"/>
          <w:color w:val="000000"/>
          <w:sz w:val="21"/>
        </w:rPr>
      </w:pPr>
      <w:r>
        <w:rPr>
          <w:rFonts w:ascii="Arial" w:hAnsi="Arial"/>
          <w:color w:val="000000"/>
          <w:sz w:val="21"/>
        </w:rPr>
        <w:t>8.</w:t>
      </w:r>
    </w:p>
    <w:p>
      <w:pPr>
        <w:pStyle w:val="TextBody"/>
        <w:bidi w:val="0"/>
        <w:spacing w:before="159" w:after="283"/>
        <w:jc w:val="both"/>
        <w:rPr>
          <w:rFonts w:ascii="Arial" w:hAnsi="Arial"/>
          <w:color w:val="000000"/>
          <w:sz w:val="21"/>
        </w:rPr>
      </w:pPr>
      <w:r>
        <w:rPr>
          <w:rFonts w:ascii="Arial" w:hAnsi="Arial"/>
          <w:color w:val="000000"/>
          <w:sz w:val="21"/>
        </w:rPr>
        <w:t>[***] PPQ Manufacturing 42</w:t>
      </w:r>
    </w:p>
    <w:p>
      <w:pPr>
        <w:pStyle w:val="TextBody"/>
        <w:bidi w:val="0"/>
        <w:spacing w:before="157" w:after="283"/>
        <w:ind w:left="288" w:right="0" w:hanging="0"/>
        <w:jc w:val="both"/>
        <w:rPr>
          <w:rFonts w:ascii="Arial" w:hAnsi="Arial"/>
          <w:color w:val="000000"/>
          <w:sz w:val="21"/>
        </w:rPr>
      </w:pPr>
      <w:r>
        <w:rPr>
          <w:rFonts w:ascii="Arial" w:hAnsi="Arial"/>
          <w:color w:val="000000"/>
          <w:sz w:val="21"/>
        </w:rPr>
        <w:t>9.</w:t>
      </w:r>
    </w:p>
    <w:p>
      <w:pPr>
        <w:pStyle w:val="TextBody"/>
        <w:bidi w:val="0"/>
        <w:spacing w:before="157" w:after="283"/>
        <w:jc w:val="both"/>
        <w:rPr>
          <w:rFonts w:ascii="Arial" w:hAnsi="Arial"/>
          <w:color w:val="000000"/>
          <w:sz w:val="21"/>
        </w:rPr>
      </w:pPr>
      <w:r>
        <w:rPr>
          <w:rFonts w:ascii="Arial" w:hAnsi="Arial"/>
          <w:color w:val="000000"/>
          <w:sz w:val="21"/>
        </w:rPr>
        <w:t>Stability Study – [***] PPQ Batch 43</w:t>
      </w:r>
    </w:p>
    <w:p>
      <w:pPr>
        <w:pStyle w:val="TextBody"/>
        <w:bidi w:val="0"/>
        <w:spacing w:before="159" w:after="283"/>
        <w:ind w:left="288" w:right="0" w:hanging="0"/>
        <w:jc w:val="both"/>
        <w:rPr>
          <w:rFonts w:ascii="Arial" w:hAnsi="Arial"/>
          <w:color w:val="000000"/>
          <w:sz w:val="21"/>
        </w:rPr>
      </w:pPr>
      <w:r>
        <w:rPr>
          <w:rFonts w:ascii="Arial" w:hAnsi="Arial"/>
          <w:color w:val="000000"/>
          <w:sz w:val="21"/>
        </w:rPr>
        <w:t>10.</w:t>
      </w:r>
    </w:p>
    <w:p>
      <w:pPr>
        <w:pStyle w:val="TextBody"/>
        <w:bidi w:val="0"/>
        <w:spacing w:before="159" w:after="283"/>
        <w:jc w:val="both"/>
        <w:rPr>
          <w:rFonts w:ascii="Arial" w:hAnsi="Arial"/>
          <w:color w:val="000000"/>
          <w:sz w:val="21"/>
        </w:rPr>
      </w:pPr>
      <w:r>
        <w:rPr>
          <w:rFonts w:ascii="Arial" w:hAnsi="Arial"/>
          <w:color w:val="000000"/>
          <w:sz w:val="21"/>
        </w:rPr>
        <w:t>[***] PPQ Manufacturing 44</w:t>
      </w:r>
    </w:p>
    <w:p>
      <w:pPr>
        <w:pStyle w:val="TextBody"/>
        <w:bidi w:val="0"/>
        <w:spacing w:before="160" w:after="283"/>
        <w:ind w:left="288" w:right="0" w:hanging="0"/>
        <w:jc w:val="both"/>
        <w:rPr>
          <w:rFonts w:ascii="Arial" w:hAnsi="Arial"/>
          <w:color w:val="000000"/>
          <w:sz w:val="21"/>
        </w:rPr>
      </w:pPr>
      <w:r>
        <w:rPr>
          <w:rFonts w:ascii="Arial" w:hAnsi="Arial"/>
          <w:color w:val="000000"/>
          <w:sz w:val="21"/>
        </w:rPr>
        <w:t>11.</w:t>
      </w:r>
    </w:p>
    <w:p>
      <w:pPr>
        <w:pStyle w:val="TextBody"/>
        <w:bidi w:val="0"/>
        <w:spacing w:before="160" w:after="283"/>
        <w:jc w:val="both"/>
        <w:rPr>
          <w:rFonts w:ascii="Arial" w:hAnsi="Arial"/>
          <w:color w:val="000000"/>
          <w:sz w:val="21"/>
        </w:rPr>
      </w:pPr>
      <w:r>
        <w:rPr>
          <w:rFonts w:ascii="Arial" w:hAnsi="Arial"/>
          <w:color w:val="000000"/>
          <w:sz w:val="21"/>
        </w:rPr>
        <w:t>PPQ Support Studies 45</w:t>
      </w:r>
    </w:p>
    <w:p>
      <w:pPr>
        <w:pStyle w:val="TextBody"/>
        <w:bidi w:val="0"/>
        <w:spacing w:before="161" w:after="283"/>
        <w:ind w:left="288" w:right="0" w:hanging="0"/>
        <w:jc w:val="both"/>
        <w:rPr>
          <w:rFonts w:ascii="Arial" w:hAnsi="Arial"/>
          <w:color w:val="000000"/>
          <w:sz w:val="21"/>
        </w:rPr>
      </w:pPr>
      <w:r>
        <w:rPr>
          <w:rFonts w:ascii="Arial" w:hAnsi="Arial"/>
          <w:color w:val="000000"/>
          <w:sz w:val="21"/>
        </w:rPr>
        <w:t>12.</w:t>
      </w:r>
    </w:p>
    <w:p>
      <w:pPr>
        <w:pStyle w:val="TextBody"/>
        <w:bidi w:val="0"/>
        <w:spacing w:before="161" w:after="283"/>
        <w:jc w:val="both"/>
        <w:rPr>
          <w:rFonts w:ascii="Arial" w:hAnsi="Arial"/>
          <w:color w:val="000000"/>
          <w:sz w:val="21"/>
        </w:rPr>
      </w:pPr>
      <w:r>
        <w:rPr>
          <w:rFonts w:ascii="Arial" w:hAnsi="Arial"/>
          <w:color w:val="000000"/>
          <w:sz w:val="21"/>
        </w:rPr>
        <w:t>Process Validation Documentation 46</w:t>
      </w:r>
    </w:p>
    <w:p>
      <w:pPr>
        <w:pStyle w:val="TextBody"/>
        <w:bidi w:val="0"/>
        <w:spacing w:before="160" w:after="283"/>
        <w:ind w:left="288" w:right="0" w:hanging="0"/>
        <w:jc w:val="both"/>
        <w:rPr>
          <w:rFonts w:ascii="Arial" w:hAnsi="Arial"/>
          <w:color w:val="000000"/>
          <w:sz w:val="21"/>
        </w:rPr>
      </w:pPr>
      <w:r>
        <w:rPr>
          <w:rFonts w:ascii="Arial" w:hAnsi="Arial"/>
          <w:color w:val="000000"/>
          <w:sz w:val="21"/>
        </w:rPr>
        <w:t>13.</w:t>
      </w:r>
    </w:p>
    <w:p>
      <w:pPr>
        <w:pStyle w:val="TextBody"/>
        <w:bidi w:val="0"/>
        <w:spacing w:before="160" w:after="283"/>
        <w:jc w:val="both"/>
        <w:rPr>
          <w:rFonts w:ascii="Arial" w:hAnsi="Arial"/>
          <w:color w:val="000000"/>
          <w:sz w:val="21"/>
        </w:rPr>
      </w:pPr>
      <w:r>
        <w:rPr>
          <w:rFonts w:ascii="Arial" w:hAnsi="Arial"/>
          <w:color w:val="000000"/>
          <w:sz w:val="21"/>
        </w:rPr>
        <w:t>[***] Clinical Trial Material (CTM) OLE Batch Manufacturing 46</w:t>
      </w:r>
    </w:p>
    <w:p>
      <w:pPr>
        <w:pStyle w:val="TextBody"/>
        <w:bidi w:val="0"/>
        <w:spacing w:before="161" w:after="283"/>
        <w:ind w:left="288" w:right="0" w:hanging="0"/>
        <w:jc w:val="both"/>
        <w:rPr>
          <w:rFonts w:ascii="Arial" w:hAnsi="Arial"/>
          <w:color w:val="000000"/>
          <w:sz w:val="21"/>
        </w:rPr>
      </w:pPr>
      <w:r>
        <w:rPr>
          <w:rFonts w:ascii="Arial" w:hAnsi="Arial"/>
          <w:color w:val="000000"/>
          <w:sz w:val="21"/>
        </w:rPr>
        <w:t>14.</w:t>
      </w:r>
    </w:p>
    <w:p>
      <w:pPr>
        <w:pStyle w:val="TextBody"/>
        <w:bidi w:val="0"/>
        <w:spacing w:before="161" w:after="283"/>
        <w:jc w:val="both"/>
        <w:rPr>
          <w:rFonts w:ascii="Arial" w:hAnsi="Arial"/>
          <w:color w:val="000000"/>
          <w:sz w:val="21"/>
        </w:rPr>
      </w:pPr>
      <w:r>
        <w:rPr>
          <w:rFonts w:ascii="Arial" w:hAnsi="Arial"/>
          <w:color w:val="000000"/>
          <w:sz w:val="21"/>
        </w:rPr>
        <w:t>Stability Study – [***] OLE Batch 47</w:t>
      </w:r>
    </w:p>
    <w:p>
      <w:pPr>
        <w:pStyle w:val="TextBody"/>
        <w:bidi w:val="0"/>
        <w:spacing w:before="155" w:after="323"/>
        <w:ind w:left="288" w:right="0" w:hanging="0"/>
        <w:jc w:val="both"/>
        <w:rPr>
          <w:rFonts w:ascii="Arial" w:hAnsi="Arial"/>
          <w:color w:val="000000"/>
          <w:sz w:val="21"/>
        </w:rPr>
      </w:pPr>
      <w:r>
        <w:rPr>
          <w:rFonts w:ascii="Arial" w:hAnsi="Arial"/>
          <w:color w:val="000000"/>
          <w:sz w:val="21"/>
        </w:rPr>
        <w:t>15.</w:t>
      </w:r>
    </w:p>
    <w:p>
      <w:pPr>
        <w:pStyle w:val="TextBody"/>
        <w:bidi w:val="0"/>
        <w:spacing w:before="155" w:after="323"/>
        <w:jc w:val="both"/>
        <w:rPr>
          <w:rFonts w:ascii="Arial" w:hAnsi="Arial"/>
          <w:color w:val="000000"/>
          <w:sz w:val="21"/>
        </w:rPr>
      </w:pPr>
      <w:r>
        <w:rPr>
          <w:rFonts w:ascii="Arial" w:hAnsi="Arial"/>
          <w:color w:val="000000"/>
          <w:sz w:val="21"/>
        </w:rPr>
        <w:t>[***] Clinical Trial Material (CTM) OLE Manufacturing 48</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14"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June 26, 2026 ARCT-032</w:t>
      </w:r>
    </w:p>
    <w:p>
      <w:pPr>
        <w:pStyle w:val="TextBody"/>
        <w:bidi w:val="0"/>
        <w:spacing w:before="37" w:after="283"/>
        <w:jc w:val="left"/>
        <w:rPr>
          <w:rFonts w:ascii="Arial" w:hAnsi="Arial"/>
          <w:b/>
          <w:color w:val="000000"/>
          <w:sz w:val="17"/>
        </w:rPr>
      </w:pPr>
      <w:r>
        <w:rPr>
          <w:rFonts w:ascii="Arial" w:hAnsi="Arial"/>
          <w:b/>
          <w:color w:val="000000"/>
          <w:sz w:val="17"/>
        </w:rPr>
        <w:t>Confidential Page 2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52"/>
        <w:ind w:left="7478" w:right="52" w:hanging="0"/>
        <w:jc w:val="left"/>
        <w:rPr/>
      </w:pPr>
      <w:r>
        <w:rPr/>
        <w:drawing>
          <wp:inline distT="0" distB="0" distL="0" distR="0">
            <wp:extent cx="1743075" cy="37147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58"/>
                    <a:stretch>
                      <a:fillRect/>
                    </a:stretch>
                  </pic:blipFill>
                  <pic:spPr bwMode="auto">
                    <a:xfrm>
                      <a:off x="0" y="0"/>
                      <a:ext cx="1743075" cy="371475"/>
                    </a:xfrm>
                    <a:prstGeom prst="rect">
                      <a:avLst/>
                    </a:prstGeom>
                  </pic:spPr>
                </pic:pic>
              </a:graphicData>
            </a:graphic>
          </wp:inline>
        </w:drawing>
      </w:r>
    </w:p>
    <w:p>
      <w:pPr>
        <w:pStyle w:val="TextBody"/>
        <w:bidi w:val="0"/>
        <w:ind w:left="288" w:right="0" w:hanging="0"/>
        <w:jc w:val="both"/>
        <w:rPr>
          <w:rFonts w:ascii="Arial" w:hAnsi="Arial"/>
          <w:color w:val="000000"/>
          <w:sz w:val="21"/>
        </w:rPr>
      </w:pPr>
      <w:r>
        <w:rPr>
          <w:rFonts w:ascii="Arial" w:hAnsi="Arial"/>
          <w:color w:val="000000"/>
          <w:sz w:val="21"/>
        </w:rPr>
        <w:t>mRNA/LNP[***] Drug Product Fill and Finish ([***] line, [***]) 50</w:t>
      </w:r>
    </w:p>
    <w:p>
      <w:pPr>
        <w:pStyle w:val="TextBody"/>
        <w:bidi w:val="0"/>
        <w:spacing w:before="160" w:after="283"/>
        <w:ind w:left="288" w:right="0" w:hanging="0"/>
        <w:jc w:val="both"/>
        <w:rPr>
          <w:rFonts w:ascii="Arial" w:hAnsi="Arial"/>
          <w:color w:val="000000"/>
          <w:sz w:val="21"/>
        </w:rPr>
      </w:pPr>
      <w:r>
        <w:rPr>
          <w:rFonts w:ascii="Arial" w:hAnsi="Arial"/>
          <w:color w:val="000000"/>
          <w:sz w:val="21"/>
        </w:rPr>
        <w:t>3.</w:t>
      </w:r>
    </w:p>
    <w:p>
      <w:pPr>
        <w:pStyle w:val="TextBody"/>
        <w:bidi w:val="0"/>
        <w:spacing w:before="160" w:after="283"/>
        <w:jc w:val="both"/>
        <w:rPr>
          <w:rFonts w:ascii="Arial" w:hAnsi="Arial"/>
          <w:color w:val="000000"/>
          <w:sz w:val="21"/>
        </w:rPr>
      </w:pPr>
      <w:r>
        <w:rPr>
          <w:rFonts w:ascii="Arial" w:hAnsi="Arial"/>
          <w:color w:val="000000"/>
          <w:sz w:val="21"/>
        </w:rPr>
        <w:t>Technical Transfer Document Clinical – Bulk [***] to Drug Product 50</w:t>
      </w:r>
    </w:p>
    <w:p>
      <w:pPr>
        <w:pStyle w:val="TextBody"/>
        <w:bidi w:val="0"/>
        <w:spacing w:before="156" w:after="283"/>
        <w:ind w:left="288" w:right="0" w:hanging="0"/>
        <w:jc w:val="both"/>
        <w:rPr>
          <w:rFonts w:ascii="Arial" w:hAnsi="Arial"/>
          <w:color w:val="000000"/>
          <w:sz w:val="21"/>
        </w:rPr>
      </w:pPr>
      <w:r>
        <w:rPr>
          <w:rFonts w:ascii="Arial" w:hAnsi="Arial"/>
          <w:color w:val="000000"/>
          <w:sz w:val="21"/>
        </w:rPr>
        <w:t>4.</w:t>
      </w:r>
    </w:p>
    <w:p>
      <w:pPr>
        <w:pStyle w:val="TextBody"/>
        <w:bidi w:val="0"/>
        <w:spacing w:before="156" w:after="283"/>
        <w:jc w:val="both"/>
        <w:rPr>
          <w:rFonts w:ascii="Arial" w:hAnsi="Arial"/>
          <w:color w:val="000000"/>
          <w:sz w:val="21"/>
        </w:rPr>
      </w:pPr>
      <w:r>
        <w:rPr>
          <w:rFonts w:ascii="Arial" w:hAnsi="Arial"/>
          <w:color w:val="000000"/>
          <w:sz w:val="21"/>
        </w:rPr>
        <w:t>Visual Inspection Assessment – Active and Placebo 50</w:t>
      </w:r>
    </w:p>
    <w:p>
      <w:pPr>
        <w:pStyle w:val="TextBody"/>
        <w:bidi w:val="0"/>
        <w:spacing w:before="160" w:after="283"/>
        <w:ind w:left="288" w:right="0" w:hanging="0"/>
        <w:jc w:val="both"/>
        <w:rPr>
          <w:rFonts w:ascii="Arial" w:hAnsi="Arial"/>
          <w:color w:val="000000"/>
          <w:sz w:val="21"/>
        </w:rPr>
      </w:pPr>
      <w:r>
        <w:rPr>
          <w:rFonts w:ascii="Arial" w:hAnsi="Arial"/>
          <w:color w:val="000000"/>
          <w:sz w:val="21"/>
        </w:rPr>
        <w:t>5.</w:t>
      </w:r>
    </w:p>
    <w:p>
      <w:pPr>
        <w:pStyle w:val="TextBody"/>
        <w:bidi w:val="0"/>
        <w:spacing w:before="160" w:after="283"/>
        <w:jc w:val="both"/>
        <w:rPr>
          <w:rFonts w:ascii="Arial" w:hAnsi="Arial"/>
          <w:color w:val="000000"/>
          <w:sz w:val="21"/>
        </w:rPr>
      </w:pPr>
      <w:r>
        <w:rPr>
          <w:rFonts w:ascii="Arial" w:hAnsi="Arial"/>
          <w:color w:val="000000"/>
          <w:sz w:val="21"/>
        </w:rPr>
        <w:t>Filter Validation – Patheon Support – Active and Placebo 51</w:t>
      </w:r>
    </w:p>
    <w:p>
      <w:pPr>
        <w:pStyle w:val="TextBody"/>
        <w:bidi w:val="0"/>
        <w:spacing w:before="160" w:after="283"/>
        <w:ind w:left="288" w:right="0" w:hanging="0"/>
        <w:jc w:val="both"/>
        <w:rPr>
          <w:rFonts w:ascii="Arial" w:hAnsi="Arial"/>
          <w:color w:val="000000"/>
          <w:sz w:val="21"/>
        </w:rPr>
      </w:pPr>
      <w:r>
        <w:rPr>
          <w:rFonts w:ascii="Arial" w:hAnsi="Arial"/>
          <w:color w:val="000000"/>
          <w:sz w:val="21"/>
        </w:rPr>
        <w:t>6.</w:t>
      </w:r>
    </w:p>
    <w:p>
      <w:pPr>
        <w:pStyle w:val="TextBody"/>
        <w:bidi w:val="0"/>
        <w:spacing w:before="160" w:after="283"/>
        <w:jc w:val="both"/>
        <w:rPr>
          <w:rFonts w:ascii="Arial" w:hAnsi="Arial"/>
          <w:color w:val="000000"/>
          <w:sz w:val="21"/>
        </w:rPr>
      </w:pPr>
      <w:r>
        <w:rPr>
          <w:rFonts w:ascii="Arial" w:hAnsi="Arial"/>
          <w:color w:val="000000"/>
          <w:sz w:val="21"/>
        </w:rPr>
        <w:t>Extractables &amp; Leachables Studies – Patheon Support – Active and Placebo 52</w:t>
      </w:r>
    </w:p>
    <w:p>
      <w:pPr>
        <w:pStyle w:val="TextBody"/>
        <w:bidi w:val="0"/>
        <w:spacing w:before="160" w:after="283"/>
        <w:ind w:left="288" w:right="0" w:hanging="0"/>
        <w:jc w:val="both"/>
        <w:rPr>
          <w:rFonts w:ascii="Arial" w:hAnsi="Arial"/>
          <w:color w:val="000000"/>
          <w:sz w:val="21"/>
        </w:rPr>
      </w:pPr>
      <w:r>
        <w:rPr>
          <w:rFonts w:ascii="Arial" w:hAnsi="Arial"/>
          <w:color w:val="000000"/>
          <w:sz w:val="21"/>
        </w:rPr>
        <w:t>7.</w:t>
      </w:r>
    </w:p>
    <w:p>
      <w:pPr>
        <w:pStyle w:val="TextBody"/>
        <w:bidi w:val="0"/>
        <w:spacing w:before="160" w:after="283"/>
        <w:jc w:val="both"/>
        <w:rPr>
          <w:rFonts w:ascii="Arial" w:hAnsi="Arial"/>
          <w:color w:val="000000"/>
          <w:sz w:val="21"/>
        </w:rPr>
      </w:pPr>
      <w:r>
        <w:rPr>
          <w:rFonts w:ascii="Arial" w:hAnsi="Arial"/>
          <w:color w:val="000000"/>
          <w:sz w:val="21"/>
        </w:rPr>
        <w:t>Component Machinability Trial and CCI Validation 52</w:t>
      </w:r>
    </w:p>
    <w:p>
      <w:pPr>
        <w:pStyle w:val="TextBody"/>
        <w:bidi w:val="0"/>
        <w:spacing w:before="159" w:after="283"/>
        <w:ind w:left="288" w:right="0" w:hanging="0"/>
        <w:jc w:val="both"/>
        <w:rPr>
          <w:rFonts w:ascii="Arial" w:hAnsi="Arial"/>
          <w:color w:val="000000"/>
          <w:sz w:val="21"/>
        </w:rPr>
      </w:pPr>
      <w:r>
        <w:rPr>
          <w:rFonts w:ascii="Arial" w:hAnsi="Arial"/>
          <w:color w:val="000000"/>
          <w:sz w:val="21"/>
        </w:rPr>
        <w:t>8.</w:t>
      </w:r>
    </w:p>
    <w:p>
      <w:pPr>
        <w:pStyle w:val="TextBody"/>
        <w:bidi w:val="0"/>
        <w:spacing w:before="159" w:after="283"/>
        <w:jc w:val="both"/>
        <w:rPr>
          <w:rFonts w:ascii="Arial" w:hAnsi="Arial"/>
          <w:color w:val="000000"/>
          <w:sz w:val="21"/>
        </w:rPr>
      </w:pPr>
      <w:r>
        <w:rPr>
          <w:rFonts w:ascii="Arial" w:hAnsi="Arial"/>
          <w:color w:val="000000"/>
          <w:sz w:val="21"/>
        </w:rPr>
        <w:t>Active Engineering Batch 53</w:t>
      </w:r>
    </w:p>
    <w:p>
      <w:pPr>
        <w:pStyle w:val="TextBody"/>
        <w:bidi w:val="0"/>
        <w:spacing w:before="162" w:after="283"/>
        <w:ind w:left="288" w:right="0" w:hanging="0"/>
        <w:jc w:val="both"/>
        <w:rPr>
          <w:rFonts w:ascii="Arial" w:hAnsi="Arial"/>
          <w:color w:val="000000"/>
          <w:sz w:val="21"/>
        </w:rPr>
      </w:pPr>
      <w:r>
        <w:rPr>
          <w:rFonts w:ascii="Arial" w:hAnsi="Arial"/>
          <w:color w:val="000000"/>
          <w:sz w:val="21"/>
        </w:rPr>
        <w:t>9.</w:t>
      </w:r>
    </w:p>
    <w:p>
      <w:pPr>
        <w:pStyle w:val="TextBody"/>
        <w:bidi w:val="0"/>
        <w:spacing w:before="162" w:after="283"/>
        <w:jc w:val="both"/>
        <w:rPr>
          <w:rFonts w:ascii="Arial" w:hAnsi="Arial"/>
          <w:color w:val="000000"/>
          <w:sz w:val="21"/>
        </w:rPr>
      </w:pPr>
      <w:r>
        <w:rPr>
          <w:rFonts w:ascii="Arial" w:hAnsi="Arial"/>
          <w:color w:val="000000"/>
          <w:sz w:val="21"/>
        </w:rPr>
        <w:t>Stability – Engineering Batch – Drug Product 54</w:t>
      </w:r>
    </w:p>
    <w:p>
      <w:pPr>
        <w:pStyle w:val="TextBody"/>
        <w:bidi w:val="0"/>
        <w:spacing w:before="155" w:after="283"/>
        <w:ind w:left="288" w:right="0" w:hanging="0"/>
        <w:jc w:val="both"/>
        <w:rPr>
          <w:rFonts w:ascii="Arial" w:hAnsi="Arial"/>
          <w:color w:val="000000"/>
          <w:sz w:val="21"/>
        </w:rPr>
      </w:pPr>
      <w:r>
        <w:rPr>
          <w:rFonts w:ascii="Arial" w:hAnsi="Arial"/>
          <w:color w:val="000000"/>
          <w:sz w:val="21"/>
        </w:rPr>
        <w:t>16.</w:t>
      </w:r>
    </w:p>
    <w:p>
      <w:pPr>
        <w:pStyle w:val="TextBody"/>
        <w:bidi w:val="0"/>
        <w:spacing w:before="155" w:after="283"/>
        <w:jc w:val="both"/>
        <w:rPr>
          <w:rFonts w:ascii="Arial" w:hAnsi="Arial"/>
          <w:color w:val="000000"/>
          <w:sz w:val="21"/>
        </w:rPr>
      </w:pPr>
      <w:r>
        <w:rPr>
          <w:rFonts w:ascii="Arial" w:hAnsi="Arial"/>
          <w:color w:val="000000"/>
          <w:sz w:val="21"/>
        </w:rPr>
        <w:t>Phase III Clinical Trial Material (CTM) Batch – Active 55</w:t>
      </w:r>
    </w:p>
    <w:p>
      <w:pPr>
        <w:pStyle w:val="TextBody"/>
        <w:bidi w:val="0"/>
        <w:spacing w:before="160" w:after="283"/>
        <w:ind w:left="288" w:right="0" w:hanging="0"/>
        <w:jc w:val="both"/>
        <w:rPr>
          <w:rFonts w:ascii="Arial" w:hAnsi="Arial"/>
          <w:color w:val="000000"/>
          <w:sz w:val="21"/>
        </w:rPr>
      </w:pPr>
      <w:r>
        <w:rPr>
          <w:rFonts w:ascii="Arial" w:hAnsi="Arial"/>
          <w:color w:val="000000"/>
          <w:sz w:val="21"/>
        </w:rPr>
        <w:t>17.</w:t>
      </w:r>
    </w:p>
    <w:p>
      <w:pPr>
        <w:pStyle w:val="TextBody"/>
        <w:bidi w:val="0"/>
        <w:spacing w:before="160" w:after="283"/>
        <w:jc w:val="both"/>
        <w:rPr>
          <w:rFonts w:ascii="Arial" w:hAnsi="Arial"/>
          <w:color w:val="000000"/>
          <w:sz w:val="21"/>
        </w:rPr>
      </w:pPr>
      <w:r>
        <w:rPr>
          <w:rFonts w:ascii="Arial" w:hAnsi="Arial"/>
          <w:color w:val="000000"/>
          <w:sz w:val="21"/>
        </w:rPr>
        <w:t>Stability – Phase III Clinical Trial Material (CTM) Batch – Drug Product 57</w:t>
      </w:r>
    </w:p>
    <w:p>
      <w:pPr>
        <w:pStyle w:val="TextBody"/>
        <w:bidi w:val="0"/>
        <w:spacing w:before="160" w:after="283"/>
        <w:ind w:left="288" w:right="0" w:hanging="0"/>
        <w:jc w:val="both"/>
        <w:rPr>
          <w:rFonts w:ascii="Arial" w:hAnsi="Arial"/>
          <w:color w:val="000000"/>
          <w:sz w:val="21"/>
        </w:rPr>
      </w:pPr>
      <w:r>
        <w:rPr>
          <w:rFonts w:ascii="Arial" w:hAnsi="Arial"/>
          <w:color w:val="000000"/>
          <w:sz w:val="21"/>
        </w:rPr>
        <w:t>18.</w:t>
      </w:r>
    </w:p>
    <w:p>
      <w:pPr>
        <w:pStyle w:val="TextBody"/>
        <w:bidi w:val="0"/>
        <w:spacing w:before="160" w:after="283"/>
        <w:jc w:val="both"/>
        <w:rPr>
          <w:rFonts w:ascii="Arial" w:hAnsi="Arial"/>
          <w:color w:val="000000"/>
          <w:sz w:val="21"/>
        </w:rPr>
      </w:pPr>
      <w:r>
        <w:rPr>
          <w:rFonts w:ascii="Arial" w:hAnsi="Arial"/>
          <w:color w:val="000000"/>
          <w:sz w:val="21"/>
        </w:rPr>
        <w:t>Vial size preliminary comparative study 58</w:t>
      </w:r>
    </w:p>
    <w:p>
      <w:pPr>
        <w:pStyle w:val="TextBody"/>
        <w:bidi w:val="0"/>
        <w:spacing w:before="160" w:after="283"/>
        <w:ind w:left="288" w:right="0" w:hanging="0"/>
        <w:jc w:val="both"/>
        <w:rPr>
          <w:rFonts w:ascii="Arial" w:hAnsi="Arial"/>
          <w:color w:val="000000"/>
          <w:sz w:val="21"/>
        </w:rPr>
      </w:pPr>
      <w:r>
        <w:rPr>
          <w:rFonts w:ascii="Arial" w:hAnsi="Arial"/>
          <w:color w:val="000000"/>
          <w:sz w:val="21"/>
        </w:rPr>
        <w:t>19.</w:t>
      </w:r>
    </w:p>
    <w:p>
      <w:pPr>
        <w:pStyle w:val="TextBody"/>
        <w:bidi w:val="0"/>
        <w:spacing w:before="160" w:after="283"/>
        <w:jc w:val="both"/>
        <w:rPr>
          <w:rFonts w:ascii="Arial" w:hAnsi="Arial"/>
          <w:color w:val="000000"/>
          <w:sz w:val="21"/>
        </w:rPr>
      </w:pPr>
      <w:r>
        <w:rPr>
          <w:rFonts w:ascii="Arial" w:hAnsi="Arial"/>
          <w:color w:val="000000"/>
          <w:sz w:val="21"/>
        </w:rPr>
        <w:t>Placebo Engineering Batch 59</w:t>
      </w:r>
    </w:p>
    <w:p>
      <w:pPr>
        <w:pStyle w:val="TextBody"/>
        <w:bidi w:val="0"/>
        <w:spacing w:before="161" w:after="283"/>
        <w:ind w:left="288" w:right="0" w:hanging="0"/>
        <w:jc w:val="both"/>
        <w:rPr>
          <w:rFonts w:ascii="Arial" w:hAnsi="Arial"/>
          <w:color w:val="000000"/>
          <w:sz w:val="21"/>
        </w:rPr>
      </w:pPr>
      <w:r>
        <w:rPr>
          <w:rFonts w:ascii="Arial" w:hAnsi="Arial"/>
          <w:color w:val="000000"/>
          <w:sz w:val="21"/>
        </w:rPr>
        <w:t>20.</w:t>
      </w:r>
    </w:p>
    <w:p>
      <w:pPr>
        <w:pStyle w:val="TextBody"/>
        <w:bidi w:val="0"/>
        <w:spacing w:before="161" w:after="283"/>
        <w:jc w:val="both"/>
        <w:rPr>
          <w:rFonts w:ascii="Arial" w:hAnsi="Arial"/>
          <w:color w:val="000000"/>
          <w:sz w:val="21"/>
        </w:rPr>
      </w:pPr>
      <w:r>
        <w:rPr>
          <w:rFonts w:ascii="Arial" w:hAnsi="Arial"/>
          <w:color w:val="000000"/>
          <w:sz w:val="21"/>
        </w:rPr>
        <w:t>Placebo CTM Batches Manufacture 60</w:t>
      </w:r>
    </w:p>
    <w:p>
      <w:pPr>
        <w:pStyle w:val="TextBody"/>
        <w:bidi w:val="0"/>
        <w:spacing w:before="160" w:after="283"/>
        <w:ind w:left="288" w:right="0" w:hanging="0"/>
        <w:jc w:val="both"/>
        <w:rPr>
          <w:rFonts w:ascii="Arial" w:hAnsi="Arial"/>
          <w:color w:val="000000"/>
          <w:sz w:val="21"/>
        </w:rPr>
      </w:pPr>
      <w:r>
        <w:rPr>
          <w:rFonts w:ascii="Arial" w:hAnsi="Arial"/>
          <w:color w:val="000000"/>
          <w:sz w:val="21"/>
        </w:rPr>
        <w:t>21.</w:t>
      </w:r>
    </w:p>
    <w:p>
      <w:pPr>
        <w:pStyle w:val="TextBody"/>
        <w:bidi w:val="0"/>
        <w:spacing w:before="160" w:after="283"/>
        <w:jc w:val="both"/>
        <w:rPr>
          <w:rFonts w:ascii="Arial" w:hAnsi="Arial"/>
          <w:color w:val="000000"/>
          <w:sz w:val="21"/>
        </w:rPr>
      </w:pPr>
      <w:r>
        <w:rPr>
          <w:rFonts w:ascii="Arial" w:hAnsi="Arial"/>
          <w:color w:val="000000"/>
          <w:sz w:val="21"/>
        </w:rPr>
        <w:t>Validation Documentation 62</w:t>
      </w:r>
    </w:p>
    <w:p>
      <w:pPr>
        <w:pStyle w:val="TextBody"/>
        <w:bidi w:val="0"/>
        <w:spacing w:before="154" w:after="283"/>
        <w:ind w:left="288" w:right="0" w:hanging="0"/>
        <w:jc w:val="both"/>
        <w:rPr>
          <w:rFonts w:ascii="Arial" w:hAnsi="Arial"/>
          <w:color w:val="000000"/>
          <w:sz w:val="21"/>
        </w:rPr>
      </w:pPr>
      <w:r>
        <w:rPr>
          <w:rFonts w:ascii="Arial" w:hAnsi="Arial"/>
          <w:color w:val="000000"/>
          <w:sz w:val="21"/>
        </w:rPr>
        <w:t>22.</w:t>
      </w:r>
    </w:p>
    <w:p>
      <w:pPr>
        <w:pStyle w:val="TextBody"/>
        <w:bidi w:val="0"/>
        <w:spacing w:before="154" w:after="283"/>
        <w:jc w:val="both"/>
        <w:rPr>
          <w:rFonts w:ascii="Arial" w:hAnsi="Arial"/>
          <w:color w:val="000000"/>
          <w:sz w:val="21"/>
        </w:rPr>
      </w:pPr>
      <w:r>
        <w:rPr>
          <w:rFonts w:ascii="Arial" w:hAnsi="Arial"/>
          <w:color w:val="000000"/>
          <w:sz w:val="21"/>
        </w:rPr>
        <w:t>PPQ Batches 62</w:t>
      </w:r>
    </w:p>
    <w:p>
      <w:pPr>
        <w:pStyle w:val="TextBody"/>
        <w:bidi w:val="0"/>
        <w:spacing w:before="162" w:after="283"/>
        <w:ind w:left="288" w:right="0" w:hanging="0"/>
        <w:jc w:val="both"/>
        <w:rPr>
          <w:rFonts w:ascii="Arial" w:hAnsi="Arial"/>
          <w:color w:val="000000"/>
          <w:sz w:val="21"/>
        </w:rPr>
      </w:pPr>
      <w:r>
        <w:rPr>
          <w:rFonts w:ascii="Arial" w:hAnsi="Arial"/>
          <w:color w:val="000000"/>
          <w:sz w:val="21"/>
        </w:rPr>
        <w:t>23.</w:t>
      </w:r>
    </w:p>
    <w:p>
      <w:pPr>
        <w:pStyle w:val="TextBody"/>
        <w:bidi w:val="0"/>
        <w:spacing w:before="162" w:after="283"/>
        <w:jc w:val="both"/>
        <w:rPr>
          <w:rFonts w:ascii="Arial" w:hAnsi="Arial"/>
          <w:color w:val="000000"/>
          <w:sz w:val="21"/>
        </w:rPr>
      </w:pPr>
      <w:r>
        <w:rPr>
          <w:rFonts w:ascii="Arial" w:hAnsi="Arial"/>
          <w:color w:val="000000"/>
          <w:sz w:val="21"/>
        </w:rPr>
        <w:t>Process Validation – Support 64</w:t>
      </w:r>
    </w:p>
    <w:p>
      <w:pPr>
        <w:pStyle w:val="TextBody"/>
        <w:bidi w:val="0"/>
        <w:spacing w:before="160" w:after="283"/>
        <w:ind w:left="288" w:right="0" w:hanging="0"/>
        <w:jc w:val="both"/>
        <w:rPr>
          <w:rFonts w:ascii="Arial" w:hAnsi="Arial"/>
          <w:color w:val="000000"/>
          <w:sz w:val="21"/>
        </w:rPr>
      </w:pPr>
      <w:r>
        <w:rPr>
          <w:rFonts w:ascii="Arial" w:hAnsi="Arial"/>
          <w:color w:val="000000"/>
          <w:sz w:val="21"/>
        </w:rPr>
        <w:t>24.</w:t>
      </w:r>
    </w:p>
    <w:p>
      <w:pPr>
        <w:pStyle w:val="TextBody"/>
        <w:bidi w:val="0"/>
        <w:spacing w:before="160" w:after="283"/>
        <w:jc w:val="both"/>
        <w:rPr>
          <w:rFonts w:ascii="Arial" w:hAnsi="Arial"/>
          <w:color w:val="000000"/>
          <w:sz w:val="21"/>
        </w:rPr>
      </w:pPr>
      <w:r>
        <w:rPr>
          <w:rFonts w:ascii="Arial" w:hAnsi="Arial"/>
          <w:color w:val="000000"/>
          <w:sz w:val="21"/>
        </w:rPr>
        <w:t>Stability – PPQ Batches – Drug Product 64</w:t>
      </w:r>
    </w:p>
    <w:p>
      <w:pPr>
        <w:pStyle w:val="TextBody"/>
        <w:bidi w:val="0"/>
        <w:spacing w:before="160" w:after="283"/>
        <w:ind w:left="288" w:right="0" w:hanging="0"/>
        <w:jc w:val="both"/>
        <w:rPr>
          <w:rFonts w:ascii="Arial" w:hAnsi="Arial"/>
          <w:color w:val="000000"/>
          <w:sz w:val="21"/>
        </w:rPr>
      </w:pPr>
      <w:r>
        <w:rPr>
          <w:rFonts w:ascii="Arial" w:hAnsi="Arial"/>
          <w:color w:val="000000"/>
          <w:sz w:val="21"/>
        </w:rPr>
        <w:t>25.</w:t>
      </w:r>
    </w:p>
    <w:p>
      <w:pPr>
        <w:pStyle w:val="TextBody"/>
        <w:bidi w:val="0"/>
        <w:spacing w:before="160" w:after="283"/>
        <w:jc w:val="both"/>
        <w:rPr>
          <w:rFonts w:ascii="Arial" w:hAnsi="Arial"/>
          <w:color w:val="000000"/>
          <w:sz w:val="21"/>
        </w:rPr>
      </w:pPr>
      <w:r>
        <w:rPr>
          <w:rFonts w:ascii="Arial" w:hAnsi="Arial"/>
          <w:color w:val="000000"/>
          <w:sz w:val="21"/>
        </w:rPr>
        <w:t>OLE Active Batches Manufacture – Drug Product 65</w:t>
      </w:r>
    </w:p>
    <w:p>
      <w:pPr>
        <w:pStyle w:val="TextBody"/>
        <w:bidi w:val="0"/>
        <w:spacing w:before="160" w:after="283"/>
        <w:ind w:left="288" w:right="0" w:hanging="0"/>
        <w:jc w:val="both"/>
        <w:rPr>
          <w:rFonts w:ascii="Arial" w:hAnsi="Arial"/>
          <w:color w:val="000000"/>
          <w:sz w:val="21"/>
        </w:rPr>
      </w:pPr>
      <w:r>
        <w:rPr>
          <w:rFonts w:ascii="Arial" w:hAnsi="Arial"/>
          <w:color w:val="000000"/>
          <w:sz w:val="21"/>
        </w:rPr>
        <w:t>26.</w:t>
      </w:r>
    </w:p>
    <w:p>
      <w:pPr>
        <w:pStyle w:val="TextBody"/>
        <w:bidi w:val="0"/>
        <w:spacing w:before="160" w:after="283"/>
        <w:jc w:val="both"/>
        <w:rPr>
          <w:rFonts w:ascii="Arial" w:hAnsi="Arial"/>
          <w:color w:val="000000"/>
          <w:sz w:val="21"/>
        </w:rPr>
      </w:pPr>
      <w:r>
        <w:rPr>
          <w:rFonts w:ascii="Arial" w:hAnsi="Arial"/>
          <w:color w:val="000000"/>
          <w:sz w:val="21"/>
        </w:rPr>
        <w:t>Stability – OLE Batches – Drug Product 67</w:t>
      </w:r>
    </w:p>
    <w:p>
      <w:pPr>
        <w:pStyle w:val="TextBody"/>
        <w:bidi w:val="0"/>
        <w:spacing w:before="161" w:after="283"/>
        <w:jc w:val="both"/>
        <w:rPr>
          <w:rFonts w:ascii="Arial" w:hAnsi="Arial"/>
          <w:b/>
          <w:color w:val="000000"/>
          <w:sz w:val="21"/>
        </w:rPr>
      </w:pPr>
      <w:r>
        <w:rPr>
          <w:rFonts w:ascii="Arial" w:hAnsi="Arial"/>
          <w:b/>
          <w:color w:val="000000"/>
          <w:sz w:val="21"/>
        </w:rPr>
        <w:t>Part E: DP Fill and Finish ([***] line) Equipment Requirements 69</w:t>
      </w:r>
    </w:p>
    <w:p>
      <w:pPr>
        <w:pStyle w:val="TextBody"/>
        <w:bidi w:val="0"/>
        <w:spacing w:before="132" w:after="283"/>
        <w:jc w:val="both"/>
        <w:rPr>
          <w:rFonts w:ascii="Arial" w:hAnsi="Arial"/>
          <w:b/>
          <w:color w:val="000000"/>
          <w:sz w:val="21"/>
        </w:rPr>
      </w:pPr>
      <w:r>
        <w:rPr>
          <w:rFonts w:ascii="Arial" w:hAnsi="Arial"/>
          <w:b/>
          <w:color w:val="000000"/>
          <w:sz w:val="21"/>
        </w:rPr>
        <w:t>Part F: Standard Assumptions 74</w:t>
      </w:r>
    </w:p>
    <w:p>
      <w:pPr>
        <w:pStyle w:val="TextBody"/>
        <w:bidi w:val="0"/>
        <w:spacing w:before="131" w:after="720"/>
        <w:jc w:val="both"/>
        <w:rPr>
          <w:rFonts w:ascii="Arial" w:hAnsi="Arial"/>
          <w:b/>
          <w:color w:val="000000"/>
          <w:sz w:val="21"/>
        </w:rPr>
      </w:pPr>
      <w:r>
        <w:rPr>
          <w:rFonts w:ascii="Arial" w:hAnsi="Arial"/>
          <w:b/>
          <w:color w:val="000000"/>
          <w:sz w:val="21"/>
        </w:rPr>
        <w:t>Part G: Proposal Revision History 77</w:t>
      </w:r>
    </w:p>
    <w:p>
      <w:pPr>
        <w:pStyle w:val="TextBody"/>
        <w:bidi w:val="0"/>
        <w:spacing w:before="0" w:after="720"/>
        <w:jc w:val="left"/>
        <w:rPr/>
      </w:pPr>
      <w:r>
        <w:rPr/>
        <w:t> </w:t>
      </w:r>
    </w:p>
    <w:p>
      <w:pPr>
        <w:pStyle w:val="TextBody"/>
        <w:bidi w:val="0"/>
        <w:spacing w:before="114"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 [***]</w:t>
      </w:r>
    </w:p>
    <w:p>
      <w:pPr>
        <w:pStyle w:val="TextBody"/>
        <w:bidi w:val="0"/>
        <w:spacing w:before="37" w:after="283"/>
        <w:jc w:val="left"/>
        <w:rPr>
          <w:rFonts w:ascii="Arial" w:hAnsi="Arial"/>
          <w:b/>
          <w:color w:val="000000"/>
          <w:sz w:val="17"/>
        </w:rPr>
      </w:pPr>
      <w:r>
        <w:rPr>
          <w:rFonts w:ascii="Arial" w:hAnsi="Arial"/>
          <w:b/>
          <w:color w:val="000000"/>
          <w:sz w:val="17"/>
        </w:rPr>
        <w:t>Confidential Page 3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458" w:right="72" w:hanging="0"/>
        <w:jc w:val="left"/>
        <w:rPr/>
      </w:pPr>
      <w:r>
        <w:rPr/>
        <w:drawing>
          <wp:inline distT="0" distB="0" distL="0" distR="0">
            <wp:extent cx="1743075" cy="371475"/>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59"/>
                    <a:stretch>
                      <a:fillRect/>
                    </a:stretch>
                  </pic:blipFill>
                  <pic:spPr bwMode="auto">
                    <a:xfrm>
                      <a:off x="0" y="0"/>
                      <a:ext cx="1743075" cy="371475"/>
                    </a:xfrm>
                    <a:prstGeom prst="rect">
                      <a:avLst/>
                    </a:prstGeom>
                  </pic:spPr>
                </pic:pic>
              </a:graphicData>
            </a:graphic>
          </wp:inline>
        </w:drawing>
      </w:r>
    </w:p>
    <w:p>
      <w:pPr>
        <w:pStyle w:val="TextBody"/>
        <w:bidi w:val="0"/>
        <w:spacing w:before="0" w:after="229"/>
        <w:jc w:val="left"/>
        <w:rPr>
          <w:rFonts w:ascii="Arial" w:hAnsi="Arial"/>
          <w:b/>
          <w:color w:val="ED3034"/>
          <w:sz w:val="48"/>
        </w:rPr>
      </w:pPr>
      <w:r>
        <w:rPr>
          <w:rFonts w:ascii="Arial" w:hAnsi="Arial"/>
          <w:b/>
          <w:color w:val="ED3034"/>
          <w:sz w:val="48"/>
        </w:rPr>
        <w:t>Part A: Project Overview</w:t>
      </w:r>
    </w:p>
    <w:p>
      <w:pPr>
        <w:pStyle w:val="TextBody"/>
        <w:bidi w:val="0"/>
        <w:jc w:val="left"/>
        <w:rPr>
          <w:rFonts w:ascii="Arial" w:hAnsi="Arial"/>
          <w:b/>
          <w:color w:val="ED3034"/>
          <w:sz w:val="24"/>
        </w:rPr>
      </w:pPr>
      <w:r>
        <w:rPr>
          <w:rFonts w:ascii="Arial" w:hAnsi="Arial"/>
          <w:b/>
          <w:color w:val="ED3034"/>
          <w:sz w:val="24"/>
        </w:rPr>
        <w:t>Executive Summary</w:t>
      </w:r>
    </w:p>
    <w:p>
      <w:pPr>
        <w:pStyle w:val="TextBody"/>
        <w:bidi w:val="0"/>
        <w:spacing w:before="130" w:after="283"/>
        <w:ind w:left="0" w:right="72" w:hanging="0"/>
        <w:jc w:val="both"/>
        <w:rPr>
          <w:rFonts w:ascii="Arial" w:hAnsi="Arial"/>
          <w:color w:val="000000"/>
          <w:sz w:val="21"/>
        </w:rPr>
      </w:pPr>
      <w:r>
        <w:rPr>
          <w:rFonts w:ascii="Arial" w:hAnsi="Arial"/>
          <w:color w:val="000000"/>
          <w:sz w:val="21"/>
        </w:rPr>
        <w:t>Arcturus Therapeutics (“Client”) has requested Patheon UK Limited (“Patheon”) to provide this Project Agreement for ARCT-032 Bulk Drug Product and Drug Product Fill and Finish manufacturing services through technical transfer of Client’s process that meets the requirements of Client’s phase III clinical supply needs and PPQ batches manufacturing. Client has stated that the clinical trial will be conducted in the USA/Europe, thus, all formulation components and Finished Product must meet the regulatory requirements of USP and EP.</w:t>
      </w:r>
    </w:p>
    <w:p>
      <w:pPr>
        <w:pStyle w:val="TextBody"/>
        <w:bidi w:val="0"/>
        <w:spacing w:before="243" w:after="283"/>
        <w:ind w:left="0" w:right="72" w:hanging="0"/>
        <w:jc w:val="both"/>
        <w:rPr>
          <w:rFonts w:ascii="Arial" w:hAnsi="Arial"/>
          <w:color w:val="000000"/>
          <w:sz w:val="21"/>
        </w:rPr>
      </w:pPr>
      <w:r>
        <w:rPr>
          <w:rFonts w:ascii="Arial" w:hAnsi="Arial"/>
          <w:color w:val="000000"/>
          <w:sz w:val="21"/>
        </w:rPr>
        <w:t>Certain details of this project require clarification between the parties and therefore a number of assumptions have been made based on Patheon’s best estimates. The requirements will be discussed and agreed between the parties either during the Project Proposal discussions or during the technology transfer project phase. All technical parameters will be confirmed during the validation phase. Pricing may be adjusted to reflect any technical changes foreseen during the technology transfer project or upon completion of validation batches, including adjustments to commercial pricing to reflect the impact of any specification, process, or Instruction changes. Commercial supply activities and prices are presented in the Commercial Pricing Proposal OS-07009 -R1 (or latest revision).</w:t>
      </w:r>
    </w:p>
    <w:p>
      <w:pPr>
        <w:pStyle w:val="TextBody"/>
        <w:bidi w:val="0"/>
        <w:spacing w:before="246" w:after="283"/>
        <w:ind w:left="0" w:right="72" w:hanging="0"/>
        <w:jc w:val="both"/>
        <w:rPr>
          <w:rFonts w:ascii="Arial" w:hAnsi="Arial"/>
          <w:color w:val="000000"/>
          <w:sz w:val="21"/>
        </w:rPr>
      </w:pPr>
      <w:r>
        <w:rPr>
          <w:rFonts w:ascii="Arial" w:hAnsi="Arial"/>
          <w:color w:val="000000"/>
          <w:sz w:val="21"/>
        </w:rPr>
        <w:t>During the project, the parties agree that unforeseen elements of development may arise that were not considered during the initial scoping phase. In such instances, scope changes shall be required to ensure the successful completion of the project.</w:t>
      </w:r>
    </w:p>
    <w:p>
      <w:pPr>
        <w:pStyle w:val="TextBody"/>
        <w:bidi w:val="0"/>
        <w:spacing w:before="113" w:after="703"/>
        <w:ind w:left="360" w:right="0" w:hanging="0"/>
        <w:jc w:val="left"/>
        <w:rPr>
          <w:rFonts w:ascii="Arial" w:hAnsi="Arial"/>
          <w:b/>
          <w:color w:val="000000"/>
          <w:sz w:val="21"/>
        </w:rPr>
      </w:pPr>
      <w:r>
        <w:rPr>
          <w:rFonts w:ascii="Arial" w:hAnsi="Arial"/>
          <w:b/>
          <w:color w:val="000000"/>
          <w:sz w:val="21"/>
        </w:rPr>
        <w:t>[***]</w:t>
      </w:r>
    </w:p>
    <w:p>
      <w:pPr>
        <w:pStyle w:val="TextBody"/>
        <w:bidi w:val="0"/>
        <w:spacing w:before="114"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 [***]</w:t>
      </w:r>
    </w:p>
    <w:p>
      <w:pPr>
        <w:pStyle w:val="TextBody"/>
        <w:bidi w:val="0"/>
        <w:spacing w:before="37" w:after="283"/>
        <w:jc w:val="left"/>
        <w:rPr>
          <w:rFonts w:ascii="Arial" w:hAnsi="Arial"/>
          <w:b/>
          <w:color w:val="000000"/>
          <w:sz w:val="17"/>
        </w:rPr>
      </w:pPr>
      <w:r>
        <w:rPr>
          <w:rFonts w:ascii="Arial" w:hAnsi="Arial"/>
          <w:b/>
          <w:color w:val="000000"/>
          <w:sz w:val="17"/>
        </w:rPr>
        <w:t>Confidential Page 4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47"/>
        <w:ind w:left="7458" w:right="72" w:hanging="0"/>
        <w:jc w:val="left"/>
        <w:rPr/>
      </w:pPr>
      <w:r>
        <w:rPr/>
        <w:drawing>
          <wp:inline distT="0" distB="0" distL="0" distR="0">
            <wp:extent cx="1743075" cy="371475"/>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60"/>
                    <a:stretch>
                      <a:fillRect/>
                    </a:stretch>
                  </pic:blipFill>
                  <pic:spPr bwMode="auto">
                    <a:xfrm>
                      <a:off x="0" y="0"/>
                      <a:ext cx="1743075" cy="371475"/>
                    </a:xfrm>
                    <a:prstGeom prst="rect">
                      <a:avLst/>
                    </a:prstGeom>
                  </pic:spPr>
                </pic:pic>
              </a:graphicData>
            </a:graphic>
          </wp:inline>
        </w:drawing>
      </w:r>
    </w:p>
    <w:p>
      <w:pPr>
        <w:pStyle w:val="TextBody"/>
        <w:bidi w:val="0"/>
        <w:jc w:val="left"/>
        <w:rPr>
          <w:rFonts w:ascii="Arial" w:hAnsi="Arial"/>
          <w:b/>
          <w:color w:val="000000"/>
          <w:sz w:val="21"/>
        </w:rPr>
      </w:pPr>
      <w:r>
        <w:rPr>
          <w:rFonts w:ascii="Arial" w:hAnsi="Arial"/>
          <w:b/>
          <w:color w:val="000000"/>
          <w:sz w:val="21"/>
        </w:rPr>
        <w:t>[***]</w:t>
      </w:r>
    </w:p>
    <w:p>
      <w:pPr>
        <w:pStyle w:val="TextBody"/>
        <w:bidi w:val="0"/>
        <w:spacing w:before="258" w:after="283"/>
        <w:jc w:val="left"/>
        <w:rPr>
          <w:rFonts w:ascii="Arial" w:hAnsi="Arial"/>
          <w:b/>
          <w:color w:val="000000"/>
          <w:sz w:val="21"/>
        </w:rPr>
      </w:pPr>
      <w:r>
        <w:rPr>
          <w:rFonts w:ascii="Arial" w:hAnsi="Arial"/>
          <w:b/>
          <w:color w:val="000000"/>
          <w:sz w:val="21"/>
        </w:rPr>
        <w:t>[***]</w:t>
      </w:r>
    </w:p>
    <w:p>
      <w:pPr>
        <w:pStyle w:val="TextBody"/>
        <w:bidi w:val="0"/>
        <w:spacing w:before="258" w:after="283"/>
        <w:jc w:val="left"/>
        <w:rPr>
          <w:rFonts w:ascii="Arial" w:hAnsi="Arial"/>
          <w:b/>
          <w:color w:val="000000"/>
          <w:sz w:val="21"/>
        </w:rPr>
      </w:pPr>
      <w:r>
        <w:rPr>
          <w:rFonts w:ascii="Arial" w:hAnsi="Arial"/>
          <w:b/>
          <w:color w:val="000000"/>
          <w:sz w:val="21"/>
        </w:rPr>
        <w:t>[***]</w:t>
      </w:r>
    </w:p>
    <w:p>
      <w:pPr>
        <w:pStyle w:val="TextBody"/>
        <w:bidi w:val="0"/>
        <w:spacing w:before="114" w:after="283"/>
        <w:ind w:left="0" w:right="72"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0" w:right="72" w:hanging="0"/>
        <w:jc w:val="left"/>
        <w:rPr>
          <w:rFonts w:ascii="Arial" w:hAnsi="Arial"/>
          <w:b/>
          <w:color w:val="000000"/>
          <w:sz w:val="17"/>
        </w:rPr>
      </w:pPr>
      <w:r>
        <w:rPr>
          <w:rFonts w:ascii="Arial" w:hAnsi="Arial"/>
          <w:b/>
          <w:color w:val="000000"/>
          <w:sz w:val="17"/>
        </w:rPr>
        <w:t>[***] [***]</w:t>
      </w:r>
    </w:p>
    <w:p>
      <w:pPr>
        <w:pStyle w:val="TextBody"/>
        <w:bidi w:val="0"/>
        <w:spacing w:before="37" w:after="283"/>
        <w:ind w:left="0" w:right="72" w:hanging="0"/>
        <w:jc w:val="left"/>
        <w:rPr>
          <w:rFonts w:ascii="Arial" w:hAnsi="Arial"/>
          <w:b/>
          <w:color w:val="000000"/>
          <w:sz w:val="17"/>
        </w:rPr>
      </w:pPr>
      <w:r>
        <w:rPr>
          <w:rFonts w:ascii="Arial" w:hAnsi="Arial"/>
          <w:b/>
          <w:color w:val="000000"/>
          <w:sz w:val="17"/>
        </w:rPr>
        <w:t>Confidential Page 6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167"/>
        <w:ind w:left="7461" w:right="69" w:hanging="0"/>
        <w:jc w:val="left"/>
        <w:rPr/>
      </w:pPr>
      <w:r>
        <w:rPr/>
        <w:drawing>
          <wp:inline distT="0" distB="0" distL="0" distR="0">
            <wp:extent cx="1743075" cy="371475"/>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61"/>
                    <a:stretch>
                      <a:fillRect/>
                    </a:stretch>
                  </pic:blipFill>
                  <pic:spPr bwMode="auto">
                    <a:xfrm>
                      <a:off x="0" y="0"/>
                      <a:ext cx="1743075" cy="371475"/>
                    </a:xfrm>
                    <a:prstGeom prst="rect">
                      <a:avLst/>
                    </a:prstGeom>
                  </pic:spPr>
                </pic:pic>
              </a:graphicData>
            </a:graphic>
          </wp:inline>
        </w:drawing>
      </w:r>
    </w:p>
    <w:p>
      <w:pPr>
        <w:pStyle w:val="TextBody"/>
        <w:bidi w:val="0"/>
        <w:spacing w:before="0" w:after="720"/>
        <w:ind w:left="720" w:right="72" w:hanging="0"/>
        <w:jc w:val="both"/>
        <w:rPr>
          <w:rFonts w:ascii="Arial" w:hAnsi="Arial"/>
          <w:color w:val="000000"/>
          <w:sz w:val="21"/>
        </w:rPr>
      </w:pPr>
      <w:r>
        <w:rPr>
          <w:rFonts w:ascii="Arial" w:hAnsi="Arial"/>
          <w:color w:val="000000"/>
          <w:sz w:val="21"/>
        </w:rPr>
        <w:t>[***]</w:t>
      </w:r>
    </w:p>
    <w:p>
      <w:pPr>
        <w:pStyle w:val="TextBody"/>
        <w:bidi w:val="0"/>
        <w:spacing w:before="0" w:after="720"/>
        <w:ind w:left="0" w:right="72" w:hanging="0"/>
        <w:jc w:val="both"/>
        <w:rPr>
          <w:rFonts w:ascii="Arial" w:hAnsi="Arial"/>
          <w:b/>
          <w:color w:val="000000"/>
          <w:sz w:val="21"/>
        </w:rPr>
      </w:pPr>
      <w:r>
        <w:rPr>
          <w:rFonts w:ascii="Arial" w:hAnsi="Arial"/>
          <w:b/>
          <w:color w:val="000000"/>
          <w:sz w:val="21"/>
        </w:rPr>
        <w:t>[***]</w:t>
      </w:r>
    </w:p>
    <w:p>
      <w:pPr>
        <w:pStyle w:val="TextBody"/>
        <w:bidi w:val="0"/>
        <w:spacing w:before="0" w:after="720"/>
        <w:jc w:val="both"/>
        <w:rPr>
          <w:rFonts w:ascii="Arial" w:hAnsi="Arial"/>
          <w:color w:val="000000"/>
          <w:sz w:val="21"/>
        </w:rPr>
      </w:pPr>
      <w:r>
        <w:rPr>
          <w:rFonts w:ascii="Arial" w:hAnsi="Arial"/>
          <w:color w:val="000000"/>
          <w:sz w:val="21"/>
        </w:rPr>
        <w:t>CONFIDENTIALITY NOTICE: This document, and the information it contains, is confidential. It includes Patheon or its affiliates confidential and proprietary information which is disclosed to Client in confidence and solely for the purpose of pursuing a business relationship between Patheon and Client. Client will protect Patheon’s confidential information with at least the same degree of care as Client would apply to its own confidential information, and with no less than a commercially reasonable degree of care. Any redistribution of this document or disclosure of its content is strictly prohibited unless Patheon provides its consent in writing. Patheon reserves the right to seek money damages for breach of confidence and is entitled to seek interim relief to protect its confidential information.</w:t>
      </w:r>
    </w:p>
    <w:p>
      <w:pPr>
        <w:pStyle w:val="TextBody"/>
        <w:bidi w:val="0"/>
        <w:spacing w:before="0" w:after="720"/>
        <w:jc w:val="left"/>
        <w:rPr/>
      </w:pPr>
      <w:r>
        <w:rPr/>
        <w:t> </w:t>
      </w:r>
    </w:p>
    <w:p>
      <w:pPr>
        <w:pStyle w:val="TextBody"/>
        <w:bidi w:val="0"/>
        <w:spacing w:before="114"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 [***]</w:t>
      </w:r>
    </w:p>
    <w:p>
      <w:pPr>
        <w:pStyle w:val="TextBody"/>
        <w:bidi w:val="0"/>
        <w:spacing w:before="37" w:after="283"/>
        <w:jc w:val="left"/>
        <w:rPr>
          <w:rFonts w:ascii="Arial" w:hAnsi="Arial"/>
          <w:b/>
          <w:color w:val="000000"/>
          <w:sz w:val="17"/>
        </w:rPr>
      </w:pPr>
      <w:r>
        <w:rPr>
          <w:rFonts w:ascii="Arial" w:hAnsi="Arial"/>
          <w:b/>
          <w:color w:val="000000"/>
          <w:sz w:val="17"/>
        </w:rPr>
        <w:t>Confidential Page 8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jc w:val="left"/>
        <w:rPr/>
      </w:pPr>
      <w:r>
        <w:rPr/>
        <w:drawing>
          <wp:inline distT="0" distB="0" distL="0" distR="0">
            <wp:extent cx="1743075" cy="371475"/>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62"/>
                    <a:stretch>
                      <a:fillRect/>
                    </a:stretch>
                  </pic:blipFill>
                  <pic:spPr bwMode="auto">
                    <a:xfrm>
                      <a:off x="0" y="0"/>
                      <a:ext cx="1743075" cy="371475"/>
                    </a:xfrm>
                    <a:prstGeom prst="rect">
                      <a:avLst/>
                    </a:prstGeom>
                  </pic:spPr>
                </pic:pic>
              </a:graphicData>
            </a:graphic>
          </wp:inline>
        </w:drawing>
      </w:r>
    </w:p>
    <w:p>
      <w:pPr>
        <w:pStyle w:val="TextBody"/>
        <w:bidi w:val="0"/>
        <w:spacing w:before="0" w:after="227"/>
        <w:jc w:val="left"/>
        <w:rPr>
          <w:rFonts w:ascii="Arial" w:hAnsi="Arial"/>
          <w:b/>
          <w:color w:val="ED3034"/>
          <w:sz w:val="48"/>
        </w:rPr>
      </w:pPr>
      <w:r>
        <w:rPr>
          <w:rFonts w:ascii="Arial" w:hAnsi="Arial"/>
          <w:b/>
          <w:color w:val="ED3034"/>
          <w:sz w:val="48"/>
        </w:rPr>
        <w:t>Part B: Budget Summary</w:t>
      </w:r>
    </w:p>
    <w:p>
      <w:pPr>
        <w:pStyle w:val="TextBody"/>
        <w:bidi w:val="0"/>
        <w:jc w:val="left"/>
        <w:rPr>
          <w:rFonts w:ascii="Arial" w:hAnsi="Arial"/>
          <w:b/>
          <w:color w:val="ED3034"/>
          <w:sz w:val="27"/>
        </w:rPr>
      </w:pPr>
      <w:r>
        <w:rPr>
          <w:rFonts w:ascii="Arial" w:hAnsi="Arial"/>
          <w:b/>
          <w:color w:val="ED3034"/>
          <w:sz w:val="27"/>
        </w:rPr>
        <w:t>Bulk [***] Drug Product</w:t>
      </w:r>
    </w:p>
    <w:p>
      <w:pPr>
        <w:pStyle w:val="TextBody"/>
        <w:bidi w:val="0"/>
        <w:spacing w:before="198" w:after="443"/>
        <w:jc w:val="left"/>
        <w:rPr>
          <w:rFonts w:ascii="Arial" w:hAnsi="Arial"/>
          <w:b/>
          <w:color w:val="F6313D"/>
          <w:sz w:val="24"/>
        </w:rPr>
      </w:pPr>
      <w:r>
        <w:rPr>
          <w:rFonts w:ascii="Arial" w:hAnsi="Arial"/>
          <w:b/>
          <w:color w:val="F6313D"/>
          <w:sz w:val="24"/>
        </w:rPr>
        <w:t>Clinical Phase III – PPQ Batches Manufacture - Waived</w:t>
      </w:r>
    </w:p>
    <w:p>
      <w:pPr>
        <w:pStyle w:val="TextBody"/>
        <w:bidi w:val="0"/>
        <w:jc w:val="both"/>
        <w:rPr>
          <w:rFonts w:ascii="Arial" w:hAnsi="Arial"/>
          <w:b/>
          <w:color w:val="000000"/>
          <w:sz w:val="21"/>
        </w:rPr>
      </w:pPr>
      <w:r>
        <w:rPr>
          <w:rFonts w:ascii="Arial" w:hAnsi="Arial"/>
          <w:b/>
          <w:color w:val="000000"/>
          <w:sz w:val="21"/>
        </w:rPr>
        <w:t>[***]</w:t>
      </w:r>
    </w:p>
    <w:p>
      <w:pPr>
        <w:pStyle w:val="TextBody"/>
        <w:bidi w:val="0"/>
        <w:spacing w:before="198" w:after="443"/>
        <w:jc w:val="left"/>
        <w:rPr/>
      </w:pPr>
      <w:r>
        <w:rPr/>
        <w:t> </w:t>
      </w:r>
    </w:p>
    <w:p>
      <w:pPr>
        <w:pStyle w:val="TextBody"/>
        <w:bidi w:val="0"/>
        <w:jc w:val="left"/>
        <w:rPr>
          <w:rFonts w:ascii="Arial" w:hAnsi="Arial"/>
          <w:b/>
          <w:color w:val="000000"/>
          <w:sz w:val="17"/>
        </w:rPr>
      </w:pPr>
      <w:r>
        <w:rPr>
          <w:rFonts w:ascii="Arial" w:hAnsi="Arial"/>
          <w:b/>
          <w:color w:val="000000"/>
          <w:sz w:val="17"/>
        </w:rPr>
        <w:t>Page 11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5"/>
        <w:jc w:val="left"/>
        <w:rPr/>
      </w:pPr>
      <w:r>
        <w:rPr/>
        <w:drawing>
          <wp:inline distT="0" distB="0" distL="0" distR="0">
            <wp:extent cx="1743075" cy="371475"/>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63"/>
                    <a:stretch>
                      <a:fillRect/>
                    </a:stretch>
                  </pic:blipFill>
                  <pic:spPr bwMode="auto">
                    <a:xfrm>
                      <a:off x="0" y="0"/>
                      <a:ext cx="1743075" cy="371475"/>
                    </a:xfrm>
                    <a:prstGeom prst="rect">
                      <a:avLst/>
                    </a:prstGeom>
                  </pic:spPr>
                </pic:pic>
              </a:graphicData>
            </a:graphic>
          </wp:inline>
        </w:drawing>
      </w:r>
    </w:p>
    <w:p>
      <w:pPr>
        <w:pStyle w:val="TextBody"/>
        <w:bidi w:val="0"/>
        <w:jc w:val="left"/>
        <w:rPr>
          <w:rFonts w:ascii="Arial" w:hAnsi="Arial"/>
          <w:b/>
          <w:color w:val="ED3034"/>
          <w:sz w:val="28"/>
        </w:rPr>
      </w:pPr>
      <w:r>
        <w:rPr>
          <w:rFonts w:ascii="Arial" w:hAnsi="Arial"/>
          <w:b/>
          <w:color w:val="ED3034"/>
          <w:sz w:val="28"/>
        </w:rPr>
        <w:t>[***] Drug Product Fill and Finish ([***])</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18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6" w:after="453"/>
        <w:ind w:left="7461" w:right="35" w:hanging="0"/>
        <w:jc w:val="left"/>
        <w:rPr/>
      </w:pPr>
      <w:r>
        <w:rPr/>
        <w:drawing>
          <wp:inline distT="0" distB="0" distL="0" distR="0">
            <wp:extent cx="1743075" cy="371475"/>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64"/>
                    <a:stretch>
                      <a:fillRect/>
                    </a:stretch>
                  </pic:blipFill>
                  <pic:spPr bwMode="auto">
                    <a:xfrm>
                      <a:off x="0" y="0"/>
                      <a:ext cx="1743075" cy="371475"/>
                    </a:xfrm>
                    <a:prstGeom prst="rect">
                      <a:avLst/>
                    </a:prstGeom>
                  </pic:spPr>
                </pic:pic>
              </a:graphicData>
            </a:graphic>
          </wp:inline>
        </w:drawing>
      </w:r>
    </w:p>
    <w:p>
      <w:pPr>
        <w:pStyle w:val="TextBody"/>
        <w:bidi w:val="0"/>
        <w:spacing w:before="0" w:after="42"/>
        <w:jc w:val="left"/>
        <w:rPr>
          <w:rFonts w:ascii="Arial" w:hAnsi="Arial"/>
          <w:b/>
          <w:color w:val="ED3034"/>
          <w:sz w:val="48"/>
        </w:rPr>
      </w:pPr>
      <w:r>
        <w:rPr>
          <w:rFonts w:ascii="Arial" w:hAnsi="Arial"/>
          <w:b/>
          <w:color w:val="ED3034"/>
          <w:sz w:val="48"/>
        </w:rPr>
        <w:t>Part C: High Level Timeline</w:t>
      </w:r>
    </w:p>
    <w:p>
      <w:pPr>
        <w:pStyle w:val="TextBody"/>
        <w:bidi w:val="0"/>
        <w:spacing w:before="201"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20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6" w:after="453"/>
        <w:jc w:val="left"/>
        <w:rPr/>
      </w:pPr>
      <w:r>
        <w:rPr/>
        <w:drawing>
          <wp:inline distT="0" distB="0" distL="0" distR="0">
            <wp:extent cx="1743075" cy="371475"/>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65"/>
                    <a:stretch>
                      <a:fillRect/>
                    </a:stretch>
                  </pic:blipFill>
                  <pic:spPr bwMode="auto">
                    <a:xfrm>
                      <a:off x="0" y="0"/>
                      <a:ext cx="1743075" cy="371475"/>
                    </a:xfrm>
                    <a:prstGeom prst="rect">
                      <a:avLst/>
                    </a:prstGeom>
                  </pic:spPr>
                </pic:pic>
              </a:graphicData>
            </a:graphic>
          </wp:inline>
        </w:drawing>
      </w:r>
    </w:p>
    <w:p>
      <w:pPr>
        <w:pStyle w:val="TextBody"/>
        <w:bidi w:val="0"/>
        <w:spacing w:before="0" w:after="214"/>
        <w:jc w:val="left"/>
        <w:rPr>
          <w:rFonts w:ascii="Arial" w:hAnsi="Arial"/>
          <w:b/>
          <w:color w:val="ED3034"/>
          <w:sz w:val="48"/>
        </w:rPr>
      </w:pPr>
      <w:r>
        <w:rPr>
          <w:rFonts w:ascii="Arial" w:hAnsi="Arial"/>
          <w:b/>
          <w:color w:val="ED3034"/>
          <w:sz w:val="48"/>
        </w:rPr>
        <w:t>Part D: Project Activities</w:t>
      </w:r>
    </w:p>
    <w:p>
      <w:pPr>
        <w:pStyle w:val="TextBody"/>
        <w:bidi w:val="0"/>
        <w:jc w:val="left"/>
        <w:rPr>
          <w:rFonts w:ascii="Arial" w:hAnsi="Arial"/>
          <w:color w:val="000000"/>
          <w:sz w:val="21"/>
        </w:rPr>
      </w:pPr>
      <w:r>
        <w:rPr>
          <w:rFonts w:ascii="Arial" w:hAnsi="Arial"/>
          <w:color w:val="000000"/>
          <w:sz w:val="21"/>
        </w:rPr>
        <w:t>Patheon proposes to execute the project activities as described below.</w:t>
      </w:r>
    </w:p>
    <w:p>
      <w:pPr>
        <w:pStyle w:val="TextBody"/>
        <w:bidi w:val="0"/>
        <w:spacing w:before="280" w:after="283"/>
        <w:jc w:val="left"/>
        <w:rPr>
          <w:rFonts w:ascii="Times New Roman" w:hAnsi="Times New Roman"/>
          <w:sz w:val="20"/>
        </w:rPr>
      </w:pPr>
      <w:r>
        <w:rPr>
          <w:rFonts w:ascii="Arial" w:hAnsi="Arial"/>
          <w:b/>
          <w:color w:val="FF0000"/>
          <w:sz w:val="28"/>
        </w:rPr>
        <w:t>1.</w:t>
      </w:r>
      <w:r>
        <w:rPr>
          <w:rFonts w:ascii="Times New Roman" w:hAnsi="Times New Roman"/>
          <w:color w:val="ED3034"/>
          <w:sz w:val="20"/>
        </w:rPr>
        <w:t xml:space="preserve"> </w:t>
      </w:r>
      <w:r>
        <w:rPr>
          <w:rFonts w:ascii="Arial" w:hAnsi="Arial"/>
          <w:b/>
          <w:color w:val="ED3034"/>
          <w:sz w:val="28"/>
        </w:rPr>
        <w:t>Project Start Up and</w:t>
      </w:r>
      <w:r>
        <w:rPr>
          <w:rFonts w:ascii="Times New Roman" w:hAnsi="Times New Roman"/>
          <w:color w:val="FF0000"/>
          <w:sz w:val="20"/>
        </w:rPr>
        <w:t xml:space="preserve"> </w:t>
      </w:r>
      <w:r>
        <w:rPr>
          <w:rFonts w:ascii="Arial" w:hAnsi="Arial"/>
          <w:b/>
          <w:color w:val="FF0000"/>
          <w:sz w:val="28"/>
        </w:rPr>
        <w:t>Technology Transfer</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15" w:after="283"/>
        <w:jc w:val="left"/>
        <w:rPr>
          <w:rFonts w:ascii="Times New Roman" w:hAnsi="Times New Roman"/>
          <w:sz w:val="20"/>
        </w:rPr>
      </w:pPr>
      <w:r>
        <w:rPr>
          <w:rFonts w:ascii="Arial" w:hAnsi="Arial"/>
          <w:b/>
          <w:color w:val="FF0000"/>
          <w:sz w:val="28"/>
        </w:rPr>
        <w:t>2.</w:t>
      </w:r>
      <w:r>
        <w:rPr>
          <w:rFonts w:ascii="Times New Roman" w:hAnsi="Times New Roman"/>
          <w:color w:val="ED3034"/>
          <w:sz w:val="20"/>
        </w:rPr>
        <w:t xml:space="preserve"> </w:t>
      </w:r>
      <w:r>
        <w:rPr>
          <w:rFonts w:ascii="Arial" w:hAnsi="Arial"/>
          <w:b/>
          <w:color w:val="ED3034"/>
          <w:sz w:val="28"/>
        </w:rPr>
        <w:t>Analytical and Microbiological Services</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28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74"/>
        <w:jc w:val="left"/>
        <w:rPr/>
      </w:pPr>
      <w:r>
        <w:rPr/>
        <w:drawing>
          <wp:inline distT="0" distB="0" distL="0" distR="0">
            <wp:extent cx="1743075" cy="37147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66"/>
                    <a:stretch>
                      <a:fillRect/>
                    </a:stretch>
                  </pic:blipFill>
                  <pic:spPr bwMode="auto">
                    <a:xfrm>
                      <a:off x="0" y="0"/>
                      <a:ext cx="1743075" cy="3714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ED3034"/>
          <w:sz w:val="27"/>
        </w:rPr>
        <w:t xml:space="preserve">[***]/ [***] Bulk Drug Product </w:t>
        <w:br/>
      </w:r>
      <w:r>
        <w:rPr>
          <w:rFonts w:ascii="Arial" w:hAnsi="Arial"/>
          <w:b/>
          <w:color w:val="FF0000"/>
          <w:sz w:val="27"/>
        </w:rPr>
        <w:t>3.</w:t>
      </w:r>
      <w:r>
        <w:rPr>
          <w:rFonts w:ascii="Times New Roman" w:hAnsi="Times New Roman"/>
          <w:color w:val="ED3034"/>
          <w:sz w:val="20"/>
        </w:rPr>
        <w:t xml:space="preserve"> </w:t>
      </w:r>
      <w:r>
        <w:rPr>
          <w:rFonts w:ascii="Arial" w:hAnsi="Arial"/>
          <w:b/>
          <w:color w:val="ED3034"/>
          <w:sz w:val="27"/>
        </w:rPr>
        <w:t>[***] Engineering Batch</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0" w:after="236"/>
        <w:jc w:val="left"/>
        <w:rPr/>
      </w:pPr>
      <w:r>
        <w:rPr/>
        <w:t> </w:t>
      </w:r>
    </w:p>
    <w:p>
      <w:pPr>
        <w:pStyle w:val="TextBody"/>
        <w:bidi w:val="0"/>
        <w:jc w:val="left"/>
        <w:rPr>
          <w:rFonts w:ascii="Times New Roman" w:hAnsi="Times New Roman"/>
          <w:sz w:val="20"/>
        </w:rPr>
      </w:pPr>
      <w:r>
        <w:rPr>
          <w:rFonts w:ascii="Arial" w:hAnsi="Arial"/>
          <w:b/>
          <w:color w:val="FF0000"/>
          <w:sz w:val="28"/>
        </w:rPr>
        <w:t>4.</w:t>
      </w:r>
      <w:r>
        <w:rPr>
          <w:rFonts w:ascii="Times New Roman" w:hAnsi="Times New Roman"/>
          <w:color w:val="ED3034"/>
          <w:sz w:val="20"/>
        </w:rPr>
        <w:t xml:space="preserve"> </w:t>
      </w:r>
      <w:r>
        <w:rPr>
          <w:rFonts w:ascii="Arial" w:hAnsi="Arial"/>
          <w:b/>
          <w:color w:val="ED3034"/>
          <w:sz w:val="28"/>
        </w:rPr>
        <w:t>Stability Study – [***] Engineering Batch</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30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1"/>
        <w:jc w:val="left"/>
        <w:rPr/>
      </w:pPr>
      <w:r>
        <w:rPr/>
        <w:drawing>
          <wp:inline distT="0" distB="0" distL="0" distR="0">
            <wp:extent cx="1743075" cy="371475"/>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67"/>
                    <a:stretch>
                      <a:fillRect/>
                    </a:stretch>
                  </pic:blipFill>
                  <pic:spPr bwMode="auto">
                    <a:xfrm>
                      <a:off x="0" y="0"/>
                      <a:ext cx="1743075" cy="3714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FF0000"/>
          <w:sz w:val="28"/>
        </w:rPr>
        <w:t>5.</w:t>
      </w:r>
      <w:r>
        <w:rPr>
          <w:rFonts w:ascii="Times New Roman" w:hAnsi="Times New Roman"/>
          <w:color w:val="ED3034"/>
          <w:sz w:val="20"/>
        </w:rPr>
        <w:t xml:space="preserve"> </w:t>
      </w:r>
      <w:r>
        <w:rPr>
          <w:rFonts w:ascii="Arial" w:hAnsi="Arial"/>
          <w:b/>
          <w:color w:val="ED3034"/>
          <w:sz w:val="28"/>
        </w:rPr>
        <w:t>[***] Engineering Batch</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31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0"/>
        <w:jc w:val="left"/>
        <w:rPr/>
      </w:pPr>
      <w:r>
        <w:rPr/>
        <w:drawing>
          <wp:inline distT="0" distB="0" distL="0" distR="0">
            <wp:extent cx="1743075" cy="371475"/>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68"/>
                    <a:stretch>
                      <a:fillRect/>
                    </a:stretch>
                  </pic:blipFill>
                  <pic:spPr bwMode="auto">
                    <a:xfrm>
                      <a:off x="0" y="0"/>
                      <a:ext cx="1743075" cy="3714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FF0000"/>
          <w:sz w:val="28"/>
        </w:rPr>
        <w:t>6.</w:t>
      </w:r>
      <w:r>
        <w:rPr>
          <w:rFonts w:ascii="Times New Roman" w:hAnsi="Times New Roman"/>
          <w:color w:val="ED3034"/>
          <w:sz w:val="20"/>
        </w:rPr>
        <w:t xml:space="preserve"> </w:t>
      </w:r>
      <w:r>
        <w:rPr>
          <w:rFonts w:ascii="Arial" w:hAnsi="Arial"/>
          <w:b/>
          <w:color w:val="ED3034"/>
          <w:sz w:val="28"/>
        </w:rPr>
        <w:t>[***] Clinical Trial Material (CTM) Manufacturing</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0" w:after="240"/>
        <w:jc w:val="left"/>
        <w:rPr/>
      </w:pPr>
      <w:r>
        <w:rPr/>
        <w:t> </w:t>
      </w:r>
    </w:p>
    <w:p>
      <w:pPr>
        <w:pStyle w:val="TextBody"/>
        <w:bidi w:val="0"/>
        <w:jc w:val="left"/>
        <w:rPr>
          <w:rFonts w:ascii="Times New Roman" w:hAnsi="Times New Roman"/>
          <w:sz w:val="20"/>
        </w:rPr>
      </w:pPr>
      <w:r>
        <w:rPr>
          <w:rFonts w:ascii="Arial" w:hAnsi="Arial"/>
          <w:b/>
          <w:color w:val="FF0000"/>
          <w:sz w:val="27"/>
        </w:rPr>
        <w:t>7.</w:t>
      </w:r>
      <w:r>
        <w:rPr>
          <w:rFonts w:ascii="Times New Roman" w:hAnsi="Times New Roman"/>
          <w:color w:val="ED3034"/>
          <w:sz w:val="20"/>
        </w:rPr>
        <w:t xml:space="preserve"> </w:t>
      </w:r>
      <w:r>
        <w:rPr>
          <w:rFonts w:ascii="Arial" w:hAnsi="Arial"/>
          <w:b/>
          <w:color w:val="ED3034"/>
          <w:sz w:val="27"/>
        </w:rPr>
        <w:t>Stability Study – [***] CTM Batch</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6" w:after="283"/>
        <w:jc w:val="left"/>
        <w:rPr>
          <w:rFonts w:ascii="Times New Roman" w:hAnsi="Times New Roman"/>
          <w:sz w:val="20"/>
        </w:rPr>
      </w:pPr>
      <w:r>
        <w:rPr>
          <w:rFonts w:ascii="Arial" w:hAnsi="Arial"/>
          <w:b/>
          <w:color w:val="FF0000"/>
          <w:sz w:val="28"/>
        </w:rPr>
        <w:t>8.</w:t>
      </w:r>
      <w:r>
        <w:rPr>
          <w:rFonts w:ascii="Times New Roman" w:hAnsi="Times New Roman"/>
          <w:color w:val="ED3034"/>
          <w:sz w:val="20"/>
        </w:rPr>
        <w:t xml:space="preserve"> </w:t>
      </w:r>
      <w:r>
        <w:rPr>
          <w:rFonts w:ascii="Arial" w:hAnsi="Arial"/>
          <w:b/>
          <w:color w:val="ED3034"/>
          <w:sz w:val="28"/>
        </w:rPr>
        <w:t>[***] cGMP Reference Standard Generation</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6" w:after="283"/>
        <w:jc w:val="left"/>
        <w:rPr>
          <w:rFonts w:ascii="Times New Roman" w:hAnsi="Times New Roman"/>
          <w:sz w:val="20"/>
        </w:rPr>
      </w:pPr>
      <w:r>
        <w:rPr>
          <w:rFonts w:ascii="Arial" w:hAnsi="Arial"/>
          <w:b/>
          <w:color w:val="FF0000"/>
          <w:sz w:val="28"/>
        </w:rPr>
        <w:t>9.</w:t>
      </w:r>
      <w:r>
        <w:rPr>
          <w:rFonts w:ascii="Times New Roman" w:hAnsi="Times New Roman"/>
          <w:color w:val="ED3034"/>
          <w:sz w:val="20"/>
        </w:rPr>
        <w:t xml:space="preserve"> </w:t>
      </w:r>
      <w:r>
        <w:rPr>
          <w:rFonts w:ascii="Arial" w:hAnsi="Arial"/>
          <w:b/>
          <w:color w:val="ED3034"/>
          <w:sz w:val="28"/>
        </w:rPr>
        <w:t>[***] Clinical Trial Material (CTM) Manufacturing</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0" w:after="217"/>
        <w:jc w:val="left"/>
        <w:rPr/>
      </w:pPr>
      <w:r>
        <w:rPr/>
        <w:t> </w:t>
      </w:r>
    </w:p>
    <w:p>
      <w:pPr>
        <w:pStyle w:val="TextBody"/>
        <w:bidi w:val="0"/>
        <w:jc w:val="left"/>
        <w:rPr>
          <w:rFonts w:ascii="Times New Roman" w:hAnsi="Times New Roman"/>
          <w:sz w:val="20"/>
        </w:rPr>
      </w:pPr>
      <w:r>
        <w:rPr>
          <w:rFonts w:ascii="Arial" w:hAnsi="Arial"/>
          <w:b/>
          <w:color w:val="FF0000"/>
          <w:sz w:val="28"/>
        </w:rPr>
        <w:t>10.</w:t>
      </w:r>
      <w:r>
        <w:rPr>
          <w:rFonts w:ascii="Times New Roman" w:hAnsi="Times New Roman"/>
          <w:color w:val="ED3034"/>
          <w:sz w:val="20"/>
        </w:rPr>
        <w:t xml:space="preserve"> </w:t>
      </w:r>
      <w:r>
        <w:rPr>
          <w:rFonts w:ascii="Arial" w:hAnsi="Arial"/>
          <w:b/>
          <w:color w:val="ED3034"/>
          <w:sz w:val="28"/>
        </w:rPr>
        <w:t>[***] cGMP Reference Standard Generation</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6" w:after="283"/>
        <w:jc w:val="left"/>
        <w:rPr>
          <w:rFonts w:ascii="Times New Roman" w:hAnsi="Times New Roman"/>
          <w:sz w:val="20"/>
        </w:rPr>
      </w:pPr>
      <w:r>
        <w:rPr>
          <w:rFonts w:ascii="Arial" w:hAnsi="Arial"/>
          <w:b/>
          <w:color w:val="FF0000"/>
          <w:sz w:val="28"/>
        </w:rPr>
        <w:t>11.</w:t>
      </w:r>
      <w:r>
        <w:rPr>
          <w:rFonts w:ascii="Times New Roman" w:hAnsi="Times New Roman"/>
          <w:color w:val="ED3034"/>
          <w:sz w:val="20"/>
        </w:rPr>
        <w:t xml:space="preserve"> </w:t>
      </w:r>
      <w:r>
        <w:rPr>
          <w:rFonts w:ascii="Arial" w:hAnsi="Arial"/>
          <w:b/>
          <w:color w:val="ED3034"/>
          <w:sz w:val="28"/>
        </w:rPr>
        <w:t>Process and CQA Risk Assessment and PC Study Planning</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94" w:after="283"/>
        <w:jc w:val="left"/>
        <w:rPr>
          <w:rFonts w:ascii="Times New Roman" w:hAnsi="Times New Roman"/>
          <w:sz w:val="20"/>
        </w:rPr>
      </w:pPr>
      <w:r>
        <w:rPr>
          <w:rFonts w:ascii="Arial" w:hAnsi="Arial"/>
          <w:b/>
          <w:color w:val="FF0000"/>
          <w:sz w:val="28"/>
        </w:rPr>
        <w:t>12.</w:t>
      </w:r>
      <w:r>
        <w:rPr>
          <w:rFonts w:ascii="Times New Roman" w:hAnsi="Times New Roman"/>
          <w:color w:val="ED3034"/>
          <w:sz w:val="20"/>
        </w:rPr>
        <w:t xml:space="preserve"> </w:t>
      </w:r>
      <w:r>
        <w:rPr>
          <w:rFonts w:ascii="Arial" w:hAnsi="Arial"/>
          <w:b/>
          <w:color w:val="ED3034"/>
          <w:sz w:val="28"/>
        </w:rPr>
        <w:t>Scale Down Model Evaluation and Qualification</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14" w:after="283"/>
        <w:jc w:val="left"/>
        <w:rPr>
          <w:rFonts w:ascii="Times New Roman" w:hAnsi="Times New Roman"/>
          <w:sz w:val="20"/>
        </w:rPr>
      </w:pPr>
      <w:r>
        <w:rPr>
          <w:rFonts w:ascii="Arial" w:hAnsi="Arial"/>
          <w:b/>
          <w:color w:val="FF0000"/>
          <w:sz w:val="28"/>
        </w:rPr>
        <w:t>13.</w:t>
      </w:r>
      <w:r>
        <w:rPr>
          <w:rFonts w:ascii="Times New Roman" w:hAnsi="Times New Roman"/>
          <w:color w:val="ED3034"/>
          <w:sz w:val="20"/>
        </w:rPr>
        <w:t xml:space="preserve"> </w:t>
      </w:r>
      <w:r>
        <w:rPr>
          <w:rFonts w:ascii="Arial" w:hAnsi="Arial"/>
          <w:b/>
          <w:color w:val="ED3034"/>
          <w:sz w:val="28"/>
        </w:rPr>
        <w:t>Process Characterization Studies</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84" w:after="283"/>
        <w:jc w:val="left"/>
        <w:rPr>
          <w:rFonts w:ascii="Times New Roman" w:hAnsi="Times New Roman"/>
          <w:sz w:val="20"/>
        </w:rPr>
      </w:pPr>
      <w:r>
        <w:rPr>
          <w:rFonts w:ascii="Arial" w:hAnsi="Arial"/>
          <w:b/>
          <w:color w:val="FF0000"/>
          <w:sz w:val="28"/>
        </w:rPr>
        <w:t>14.</w:t>
      </w:r>
      <w:r>
        <w:rPr>
          <w:rFonts w:ascii="Times New Roman" w:hAnsi="Times New Roman"/>
          <w:color w:val="ED3034"/>
          <w:sz w:val="20"/>
        </w:rPr>
        <w:t xml:space="preserve"> </w:t>
      </w:r>
      <w:r>
        <w:rPr>
          <w:rFonts w:ascii="Arial" w:hAnsi="Arial"/>
          <w:b/>
          <w:color w:val="ED3034"/>
          <w:sz w:val="28"/>
        </w:rPr>
        <w:t>Process Validation Master Plan</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40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5"/>
        <w:jc w:val="left"/>
        <w:rPr/>
      </w:pPr>
      <w:r>
        <w:rPr/>
        <w:drawing>
          <wp:inline distT="0" distB="0" distL="0" distR="0">
            <wp:extent cx="1743075" cy="371475"/>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69"/>
                    <a:stretch>
                      <a:fillRect/>
                    </a:stretch>
                  </pic:blipFill>
                  <pic:spPr bwMode="auto">
                    <a:xfrm>
                      <a:off x="0" y="0"/>
                      <a:ext cx="1743075" cy="3714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FF0000"/>
          <w:sz w:val="28"/>
        </w:rPr>
        <w:t>15.</w:t>
      </w:r>
      <w:r>
        <w:rPr>
          <w:rFonts w:ascii="Times New Roman" w:hAnsi="Times New Roman"/>
          <w:color w:val="ED3034"/>
          <w:sz w:val="20"/>
        </w:rPr>
        <w:t xml:space="preserve"> </w:t>
      </w:r>
      <w:r>
        <w:rPr>
          <w:rFonts w:ascii="Arial" w:hAnsi="Arial"/>
          <w:b/>
          <w:color w:val="ED3034"/>
          <w:sz w:val="28"/>
        </w:rPr>
        <w:t>Process Validation Protocol</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15" w:after="283"/>
        <w:jc w:val="left"/>
        <w:rPr>
          <w:rFonts w:ascii="Times New Roman" w:hAnsi="Times New Roman"/>
          <w:sz w:val="20"/>
        </w:rPr>
      </w:pPr>
      <w:r>
        <w:rPr>
          <w:rFonts w:ascii="Arial" w:hAnsi="Arial"/>
          <w:b/>
          <w:color w:val="FF0000"/>
          <w:sz w:val="28"/>
        </w:rPr>
        <w:t>16.</w:t>
      </w:r>
      <w:r>
        <w:rPr>
          <w:rFonts w:ascii="Times New Roman" w:hAnsi="Times New Roman"/>
          <w:color w:val="ED3034"/>
          <w:sz w:val="20"/>
        </w:rPr>
        <w:t xml:space="preserve"> </w:t>
      </w:r>
      <w:r>
        <w:rPr>
          <w:rFonts w:ascii="Arial" w:hAnsi="Arial"/>
          <w:b/>
          <w:color w:val="ED3034"/>
          <w:sz w:val="28"/>
        </w:rPr>
        <w:t>Final FMEA and Parameter Designation</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41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9"/>
        <w:jc w:val="left"/>
        <w:rPr/>
      </w:pPr>
      <w:r>
        <w:rPr/>
        <w:drawing>
          <wp:inline distT="0" distB="0" distL="0" distR="0">
            <wp:extent cx="1743075" cy="371475"/>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70"/>
                    <a:stretch>
                      <a:fillRect/>
                    </a:stretch>
                  </pic:blipFill>
                  <pic:spPr bwMode="auto">
                    <a:xfrm>
                      <a:off x="0" y="0"/>
                      <a:ext cx="1743075" cy="3714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FF0000"/>
          <w:sz w:val="27"/>
        </w:rPr>
        <w:t>17.</w:t>
      </w:r>
      <w:r>
        <w:rPr>
          <w:rFonts w:ascii="Times New Roman" w:hAnsi="Times New Roman"/>
          <w:color w:val="EC2231"/>
          <w:sz w:val="20"/>
        </w:rPr>
        <w:t xml:space="preserve"> </w:t>
      </w:r>
      <w:r>
        <w:rPr>
          <w:rFonts w:ascii="Arial" w:hAnsi="Arial"/>
          <w:b/>
          <w:color w:val="EC2231"/>
          <w:sz w:val="27"/>
        </w:rPr>
        <w:t>[***]</w:t>
      </w:r>
      <w:r>
        <w:rPr>
          <w:rFonts w:ascii="Times New Roman" w:hAnsi="Times New Roman"/>
          <w:color w:val="ED3034"/>
          <w:sz w:val="20"/>
        </w:rPr>
        <w:t xml:space="preserve"> </w:t>
      </w:r>
      <w:r>
        <w:rPr>
          <w:rFonts w:ascii="Arial" w:hAnsi="Arial"/>
          <w:b/>
          <w:color w:val="ED3034"/>
          <w:sz w:val="27"/>
        </w:rPr>
        <w:t>PPQ Manufacturing</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0" w:after="245"/>
        <w:jc w:val="left"/>
        <w:rPr/>
      </w:pPr>
      <w:r>
        <w:rPr/>
        <w:t> </w:t>
      </w:r>
    </w:p>
    <w:p>
      <w:pPr>
        <w:pStyle w:val="TextBody"/>
        <w:bidi w:val="0"/>
        <w:jc w:val="left"/>
        <w:rPr>
          <w:rFonts w:ascii="Times New Roman" w:hAnsi="Times New Roman"/>
          <w:sz w:val="20"/>
        </w:rPr>
      </w:pPr>
      <w:r>
        <w:rPr>
          <w:rFonts w:ascii="Arial" w:hAnsi="Arial"/>
          <w:b/>
          <w:color w:val="FF0000"/>
          <w:sz w:val="27"/>
        </w:rPr>
        <w:t>18.</w:t>
      </w:r>
      <w:r>
        <w:rPr>
          <w:rFonts w:ascii="Times New Roman" w:hAnsi="Times New Roman"/>
          <w:color w:val="ED3034"/>
          <w:sz w:val="20"/>
        </w:rPr>
        <w:t xml:space="preserve"> </w:t>
      </w:r>
      <w:r>
        <w:rPr>
          <w:rFonts w:ascii="Arial" w:hAnsi="Arial"/>
          <w:b/>
          <w:color w:val="ED3034"/>
          <w:sz w:val="27"/>
        </w:rPr>
        <w:t>Stability Study – [***] PPQ Batch</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15" w:after="283"/>
        <w:jc w:val="left"/>
        <w:rPr>
          <w:rFonts w:ascii="Times New Roman" w:hAnsi="Times New Roman"/>
          <w:sz w:val="20"/>
        </w:rPr>
      </w:pPr>
      <w:r>
        <w:rPr>
          <w:rFonts w:ascii="Arial" w:hAnsi="Arial"/>
          <w:b/>
          <w:color w:val="FF0000"/>
          <w:sz w:val="28"/>
        </w:rPr>
        <w:t>19.</w:t>
      </w:r>
      <w:r>
        <w:rPr>
          <w:rFonts w:ascii="Times New Roman" w:hAnsi="Times New Roman"/>
          <w:color w:val="ED3034"/>
          <w:sz w:val="20"/>
        </w:rPr>
        <w:t xml:space="preserve"> </w:t>
      </w:r>
      <w:r>
        <w:rPr>
          <w:rFonts w:ascii="Arial" w:hAnsi="Arial"/>
          <w:b/>
          <w:color w:val="ED3034"/>
          <w:sz w:val="28"/>
        </w:rPr>
        <w:t>[***] PPQ Manufacturing</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0" w:after="236"/>
        <w:jc w:val="left"/>
        <w:rPr/>
      </w:pPr>
      <w:r>
        <w:rPr/>
        <w:t> </w:t>
      </w:r>
    </w:p>
    <w:p>
      <w:pPr>
        <w:pStyle w:val="TextBody"/>
        <w:bidi w:val="0"/>
        <w:jc w:val="left"/>
        <w:rPr>
          <w:rFonts w:ascii="Times New Roman" w:hAnsi="Times New Roman"/>
          <w:sz w:val="20"/>
        </w:rPr>
      </w:pPr>
      <w:r>
        <w:rPr>
          <w:rFonts w:ascii="Arial" w:hAnsi="Arial"/>
          <w:b/>
          <w:color w:val="FF0000"/>
          <w:sz w:val="28"/>
        </w:rPr>
        <w:t>20.</w:t>
      </w:r>
      <w:r>
        <w:rPr>
          <w:rFonts w:ascii="Times New Roman" w:hAnsi="Times New Roman"/>
          <w:color w:val="ED3034"/>
          <w:sz w:val="20"/>
        </w:rPr>
        <w:t xml:space="preserve"> </w:t>
      </w:r>
      <w:r>
        <w:rPr>
          <w:rFonts w:ascii="Arial" w:hAnsi="Arial"/>
          <w:b/>
          <w:color w:val="ED3034"/>
          <w:sz w:val="28"/>
        </w:rPr>
        <w:t>PPQ Support Studies</w:t>
      </w:r>
    </w:p>
    <w:p>
      <w:pPr>
        <w:pStyle w:val="TextBody"/>
        <w:bidi w:val="0"/>
        <w:spacing w:before="243" w:after="283"/>
        <w:jc w:val="both"/>
        <w:rPr>
          <w:rFonts w:ascii="Arial" w:hAnsi="Arial"/>
          <w:b/>
          <w:color w:val="000000"/>
          <w:sz w:val="21"/>
        </w:rPr>
      </w:pPr>
      <w:r>
        <w:rPr>
          <w:rFonts w:ascii="Arial" w:hAnsi="Arial"/>
          <w:b/>
          <w:color w:val="000000"/>
          <w:sz w:val="21"/>
        </w:rPr>
        <w:t>[***]</w:t>
      </w:r>
    </w:p>
    <w:p>
      <w:pPr>
        <w:pStyle w:val="TextBody"/>
        <w:bidi w:val="0"/>
        <w:spacing w:before="37" w:after="283"/>
        <w:jc w:val="left"/>
        <w:rPr>
          <w:rFonts w:ascii="Arial" w:hAnsi="Arial"/>
          <w:b/>
          <w:color w:val="000000"/>
          <w:sz w:val="17"/>
        </w:rPr>
      </w:pPr>
      <w:r>
        <w:rPr>
          <w:rFonts w:ascii="Arial" w:hAnsi="Arial"/>
          <w:b/>
          <w:color w:val="000000"/>
          <w:sz w:val="17"/>
        </w:rPr>
        <w:t>Page 45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5"/>
        <w:ind w:left="7646" w:right="264" w:hanging="0"/>
        <w:jc w:val="left"/>
        <w:rPr/>
      </w:pPr>
      <w:r>
        <w:rPr/>
        <w:drawing>
          <wp:inline distT="0" distB="0" distL="0" distR="0">
            <wp:extent cx="1743075" cy="371475"/>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71"/>
                    <a:stretch>
                      <a:fillRect/>
                    </a:stretch>
                  </pic:blipFill>
                  <pic:spPr bwMode="auto">
                    <a:xfrm>
                      <a:off x="0" y="0"/>
                      <a:ext cx="1743075" cy="371475"/>
                    </a:xfrm>
                    <a:prstGeom prst="rect">
                      <a:avLst/>
                    </a:prstGeom>
                  </pic:spPr>
                </pic:pic>
              </a:graphicData>
            </a:graphic>
          </wp:inline>
        </w:drawing>
      </w:r>
    </w:p>
    <w:p>
      <w:pPr>
        <w:pStyle w:val="TextBody"/>
        <w:bidi w:val="0"/>
        <w:ind w:left="216" w:right="0" w:hanging="0"/>
        <w:jc w:val="left"/>
        <w:rPr>
          <w:rFonts w:ascii="Times New Roman" w:hAnsi="Times New Roman"/>
          <w:sz w:val="20"/>
        </w:rPr>
      </w:pPr>
      <w:r>
        <w:rPr>
          <w:rFonts w:ascii="Arial" w:hAnsi="Arial"/>
          <w:b/>
          <w:color w:val="FF0000"/>
          <w:sz w:val="28"/>
        </w:rPr>
        <w:t>21.</w:t>
      </w:r>
      <w:r>
        <w:rPr>
          <w:rFonts w:ascii="Times New Roman" w:hAnsi="Times New Roman"/>
          <w:color w:val="ED3034"/>
          <w:sz w:val="20"/>
        </w:rPr>
        <w:t xml:space="preserve"> </w:t>
      </w:r>
      <w:r>
        <w:rPr>
          <w:rFonts w:ascii="Arial" w:hAnsi="Arial"/>
          <w:b/>
          <w:color w:val="ED3034"/>
          <w:sz w:val="28"/>
        </w:rPr>
        <w:t>Process Validation Documentation</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81" w:after="283"/>
        <w:ind w:left="216" w:right="0" w:hanging="0"/>
        <w:jc w:val="left"/>
        <w:rPr>
          <w:rFonts w:ascii="Times New Roman" w:hAnsi="Times New Roman"/>
          <w:sz w:val="20"/>
        </w:rPr>
      </w:pPr>
      <w:r>
        <w:rPr>
          <w:rFonts w:ascii="Arial" w:hAnsi="Arial"/>
          <w:b/>
          <w:color w:val="FF0000"/>
          <w:sz w:val="28"/>
        </w:rPr>
        <w:t>22.</w:t>
      </w:r>
      <w:r>
        <w:rPr>
          <w:rFonts w:ascii="Times New Roman" w:hAnsi="Times New Roman"/>
          <w:color w:val="ED3034"/>
          <w:sz w:val="20"/>
        </w:rPr>
        <w:t xml:space="preserve"> </w:t>
      </w:r>
      <w:r>
        <w:rPr>
          <w:rFonts w:ascii="Arial" w:hAnsi="Arial"/>
          <w:b/>
          <w:color w:val="ED3034"/>
          <w:sz w:val="28"/>
        </w:rPr>
        <w:t>[***] Clinical Trial Material (CTM) OLE Batch Manufacturing</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0" w:after="236"/>
        <w:jc w:val="left"/>
        <w:rPr/>
      </w:pPr>
      <w:r>
        <w:rPr/>
        <w:t> </w:t>
      </w:r>
    </w:p>
    <w:p>
      <w:pPr>
        <w:pStyle w:val="TextBody"/>
        <w:bidi w:val="0"/>
        <w:ind w:left="144" w:right="0" w:hanging="0"/>
        <w:jc w:val="left"/>
        <w:rPr>
          <w:rFonts w:ascii="Times New Roman" w:hAnsi="Times New Roman"/>
          <w:sz w:val="20"/>
        </w:rPr>
      </w:pPr>
      <w:r>
        <w:rPr>
          <w:rFonts w:ascii="Arial" w:hAnsi="Arial"/>
          <w:b/>
          <w:color w:val="FF0000"/>
          <w:sz w:val="28"/>
        </w:rPr>
        <w:t>23.</w:t>
      </w:r>
      <w:r>
        <w:rPr>
          <w:rFonts w:ascii="Times New Roman" w:hAnsi="Times New Roman"/>
          <w:color w:val="ED3034"/>
          <w:sz w:val="20"/>
        </w:rPr>
        <w:t xml:space="preserve"> </w:t>
      </w:r>
      <w:r>
        <w:rPr>
          <w:rFonts w:ascii="Arial" w:hAnsi="Arial"/>
          <w:b/>
          <w:color w:val="ED3034"/>
          <w:sz w:val="28"/>
        </w:rPr>
        <w:t>Stability Study – [***] OLE Batch</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16" w:after="283"/>
        <w:ind w:left="216" w:right="0" w:hanging="0"/>
        <w:jc w:val="left"/>
        <w:rPr>
          <w:rFonts w:ascii="Times New Roman" w:hAnsi="Times New Roman"/>
          <w:sz w:val="20"/>
        </w:rPr>
      </w:pPr>
      <w:r>
        <w:rPr>
          <w:rFonts w:ascii="Arial" w:hAnsi="Arial"/>
          <w:b/>
          <w:color w:val="FF0000"/>
          <w:sz w:val="28"/>
        </w:rPr>
        <w:t>24.</w:t>
      </w:r>
      <w:r>
        <w:rPr>
          <w:rFonts w:ascii="Times New Roman" w:hAnsi="Times New Roman"/>
          <w:color w:val="ED3034"/>
          <w:sz w:val="20"/>
        </w:rPr>
        <w:t xml:space="preserve"> </w:t>
      </w:r>
      <w:r>
        <w:rPr>
          <w:rFonts w:ascii="Arial" w:hAnsi="Arial"/>
          <w:b/>
          <w:color w:val="ED3034"/>
          <w:sz w:val="28"/>
        </w:rPr>
        <w:t>[***] Clinical Trial Material (CTM) OLE Manufacturing</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0" w:after="720"/>
        <w:jc w:val="left"/>
        <w:rPr/>
      </w:pPr>
      <w:r>
        <w:rPr/>
        <w:t> </w:t>
      </w:r>
    </w:p>
    <w:p>
      <w:pPr>
        <w:pStyle w:val="TextBody"/>
        <w:bidi w:val="0"/>
        <w:spacing w:before="435" w:after="165"/>
        <w:jc w:val="left"/>
        <w:rPr>
          <w:rFonts w:ascii="Times New Roman" w:hAnsi="Times New Roman"/>
          <w:sz w:val="20"/>
        </w:rPr>
      </w:pPr>
      <w:r>
        <w:rPr>
          <w:rFonts w:ascii="Arial" w:hAnsi="Arial"/>
          <w:color w:val="000000"/>
          <w:sz w:val="13"/>
        </w:rPr>
        <w:t xml:space="preserve">13 </w:t>
      </w:r>
      <w:r>
        <w:rPr>
          <w:rFonts w:ascii="Arial" w:hAnsi="Arial"/>
          <w:color w:val="000000"/>
          <w:sz w:val="16"/>
        </w:rPr>
        <w:t>Final in-process testing is to be determined by the transferred process and will be executed under a Change of Scope agreement.</w:t>
      </w:r>
    </w:p>
    <w:p>
      <w:pPr>
        <w:pStyle w:val="TextBody"/>
        <w:bidi w:val="0"/>
        <w:spacing w:before="114" w:after="283"/>
        <w:jc w:val="left"/>
        <w:rPr>
          <w:rFonts w:ascii="Arial" w:hAnsi="Arial"/>
          <w:b/>
          <w:color w:val="000000"/>
          <w:sz w:val="17"/>
        </w:rPr>
      </w:pPr>
      <w:r>
        <w:rPr>
          <w:rFonts w:ascii="Arial" w:hAnsi="Arial"/>
          <w:b/>
          <w:color w:val="000000"/>
          <w:sz w:val="17"/>
        </w:rPr>
        <w:t>[***] Arcturus Therapeutics</w:t>
      </w:r>
    </w:p>
    <w:p>
      <w:pPr>
        <w:pStyle w:val="TextBody"/>
        <w:bidi w:val="0"/>
        <w:spacing w:before="37" w:after="283"/>
        <w:jc w:val="left"/>
        <w:rPr>
          <w:rFonts w:ascii="Arial" w:hAnsi="Arial"/>
          <w:b/>
          <w:color w:val="000000"/>
          <w:sz w:val="17"/>
        </w:rPr>
      </w:pPr>
      <w:r>
        <w:rPr>
          <w:rFonts w:ascii="Arial" w:hAnsi="Arial"/>
          <w:b/>
          <w:color w:val="000000"/>
          <w:sz w:val="17"/>
        </w:rPr>
        <w:t>[***] [***]</w:t>
      </w:r>
    </w:p>
    <w:p>
      <w:pPr>
        <w:pStyle w:val="TextBody"/>
        <w:bidi w:val="0"/>
        <w:spacing w:before="37" w:after="283"/>
        <w:jc w:val="left"/>
        <w:rPr>
          <w:rFonts w:ascii="Arial" w:hAnsi="Arial"/>
          <w:b/>
          <w:color w:val="000000"/>
          <w:sz w:val="17"/>
        </w:rPr>
      </w:pPr>
      <w:r>
        <w:rPr>
          <w:rFonts w:ascii="Arial" w:hAnsi="Arial"/>
          <w:b/>
          <w:color w:val="000000"/>
          <w:sz w:val="17"/>
        </w:rPr>
        <w:t>Confidential Page 49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65"/>
        <w:ind w:left="7646" w:right="264" w:hanging="0"/>
        <w:jc w:val="left"/>
        <w:rPr/>
      </w:pPr>
      <w:r>
        <w:rPr/>
        <w:drawing>
          <wp:inline distT="0" distB="0" distL="0" distR="0">
            <wp:extent cx="1743075" cy="371475"/>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72"/>
                    <a:stretch>
                      <a:fillRect/>
                    </a:stretch>
                  </pic:blipFill>
                  <pic:spPr bwMode="auto">
                    <a:xfrm>
                      <a:off x="0" y="0"/>
                      <a:ext cx="1743075" cy="371475"/>
                    </a:xfrm>
                    <a:prstGeom prst="rect">
                      <a:avLst/>
                    </a:prstGeom>
                  </pic:spPr>
                </pic:pic>
              </a:graphicData>
            </a:graphic>
          </wp:inline>
        </w:drawing>
      </w:r>
    </w:p>
    <w:p>
      <w:pPr>
        <w:pStyle w:val="TextBody"/>
        <w:bidi w:val="0"/>
        <w:ind w:left="216" w:right="0" w:hanging="0"/>
        <w:jc w:val="left"/>
        <w:rPr>
          <w:rFonts w:ascii="Arial" w:hAnsi="Arial"/>
          <w:b/>
          <w:color w:val="ED3034"/>
          <w:sz w:val="28"/>
        </w:rPr>
      </w:pPr>
      <w:r>
        <w:rPr>
          <w:rFonts w:ascii="Arial" w:hAnsi="Arial"/>
          <w:b/>
          <w:color w:val="ED3034"/>
          <w:sz w:val="28"/>
        </w:rPr>
        <w:t>[***] Drug Product Fill and Finish ([***] line, [***])</w:t>
      </w:r>
    </w:p>
    <w:p>
      <w:pPr>
        <w:pStyle w:val="TextBody"/>
        <w:bidi w:val="0"/>
        <w:spacing w:before="250" w:after="283"/>
        <w:ind w:left="216" w:right="0" w:hanging="0"/>
        <w:jc w:val="left"/>
        <w:rPr>
          <w:rFonts w:ascii="Times New Roman" w:hAnsi="Times New Roman"/>
          <w:sz w:val="20"/>
        </w:rPr>
      </w:pPr>
      <w:r>
        <w:rPr>
          <w:rFonts w:ascii="Arial" w:hAnsi="Arial"/>
          <w:b/>
          <w:color w:val="FF0000"/>
          <w:sz w:val="29"/>
        </w:rPr>
        <w:t>3.</w:t>
      </w:r>
      <w:r>
        <w:rPr>
          <w:rFonts w:ascii="Times New Roman" w:hAnsi="Times New Roman"/>
          <w:color w:val="ED3034"/>
          <w:sz w:val="20"/>
        </w:rPr>
        <w:t xml:space="preserve"> </w:t>
      </w:r>
      <w:r>
        <w:rPr>
          <w:rFonts w:ascii="Arial" w:hAnsi="Arial"/>
          <w:b/>
          <w:color w:val="ED3034"/>
          <w:sz w:val="28"/>
        </w:rPr>
        <w:t>Technical Transfer Document Clinical – Bulk [***] to Drug Product</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13" w:after="283"/>
        <w:ind w:left="216" w:right="0" w:hanging="0"/>
        <w:jc w:val="left"/>
        <w:rPr>
          <w:rFonts w:ascii="Times New Roman" w:hAnsi="Times New Roman"/>
          <w:sz w:val="20"/>
        </w:rPr>
      </w:pPr>
      <w:r>
        <w:rPr>
          <w:rFonts w:ascii="Arial" w:hAnsi="Arial"/>
          <w:b/>
          <w:color w:val="FF0000"/>
          <w:sz w:val="28"/>
        </w:rPr>
        <w:t>4.</w:t>
      </w:r>
      <w:r>
        <w:rPr>
          <w:rFonts w:ascii="Times New Roman" w:hAnsi="Times New Roman"/>
          <w:color w:val="ED3034"/>
          <w:sz w:val="20"/>
        </w:rPr>
        <w:t xml:space="preserve"> </w:t>
      </w:r>
      <w:r>
        <w:rPr>
          <w:rFonts w:ascii="Arial" w:hAnsi="Arial"/>
          <w:b/>
          <w:color w:val="ED3034"/>
          <w:sz w:val="28"/>
        </w:rPr>
        <w:t>Visual Inspection Assessment – Active and Placebo</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14" w:after="283"/>
        <w:ind w:left="216" w:right="0" w:hanging="0"/>
        <w:jc w:val="left"/>
        <w:rPr>
          <w:rFonts w:ascii="Times New Roman" w:hAnsi="Times New Roman"/>
          <w:sz w:val="20"/>
        </w:rPr>
      </w:pPr>
      <w:r>
        <w:rPr>
          <w:rFonts w:ascii="Arial" w:hAnsi="Arial"/>
          <w:b/>
          <w:color w:val="FF0000"/>
          <w:sz w:val="28"/>
        </w:rPr>
        <w:t>5.</w:t>
      </w:r>
      <w:r>
        <w:rPr>
          <w:rFonts w:ascii="Times New Roman" w:hAnsi="Times New Roman"/>
          <w:color w:val="ED3034"/>
          <w:sz w:val="20"/>
        </w:rPr>
        <w:t xml:space="preserve"> </w:t>
      </w:r>
      <w:r>
        <w:rPr>
          <w:rFonts w:ascii="Arial" w:hAnsi="Arial"/>
          <w:b/>
          <w:color w:val="ED3034"/>
          <w:sz w:val="28"/>
        </w:rPr>
        <w:t>Filter Validation – Patheon Support – Active and Placebo</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19" w:after="283"/>
        <w:ind w:left="216" w:right="0" w:hanging="0"/>
        <w:jc w:val="left"/>
        <w:rPr>
          <w:rFonts w:ascii="Times New Roman" w:hAnsi="Times New Roman"/>
          <w:sz w:val="20"/>
        </w:rPr>
      </w:pPr>
      <w:r>
        <w:rPr>
          <w:rFonts w:ascii="Arial" w:hAnsi="Arial"/>
          <w:b/>
          <w:color w:val="FF0000"/>
          <w:sz w:val="28"/>
        </w:rPr>
        <w:t>6.</w:t>
      </w:r>
      <w:r>
        <w:rPr>
          <w:rFonts w:ascii="Times New Roman" w:hAnsi="Times New Roman"/>
          <w:color w:val="ED3034"/>
          <w:sz w:val="20"/>
        </w:rPr>
        <w:t xml:space="preserve"> </w:t>
      </w:r>
      <w:r>
        <w:rPr>
          <w:rFonts w:ascii="Arial" w:hAnsi="Arial"/>
          <w:b/>
          <w:color w:val="ED3034"/>
          <w:sz w:val="28"/>
        </w:rPr>
        <w:t>Extractables &amp; Leachables Studies – Patheon Support – Active and Placebo</w:t>
      </w:r>
    </w:p>
    <w:p>
      <w:pPr>
        <w:pStyle w:val="TextBody"/>
        <w:bidi w:val="0"/>
        <w:spacing w:before="243"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313" w:after="283"/>
        <w:ind w:left="216" w:right="0" w:hanging="0"/>
        <w:jc w:val="left"/>
        <w:rPr>
          <w:rFonts w:ascii="Times New Roman" w:hAnsi="Times New Roman"/>
          <w:sz w:val="20"/>
        </w:rPr>
      </w:pPr>
      <w:r>
        <w:rPr>
          <w:rFonts w:ascii="Arial" w:hAnsi="Arial"/>
          <w:b/>
          <w:color w:val="FF0000"/>
          <w:sz w:val="28"/>
        </w:rPr>
        <w:t>7.</w:t>
      </w:r>
      <w:r>
        <w:rPr>
          <w:rFonts w:ascii="Times New Roman" w:hAnsi="Times New Roman"/>
          <w:color w:val="ED3034"/>
          <w:sz w:val="20"/>
        </w:rPr>
        <w:t xml:space="preserve"> </w:t>
      </w:r>
      <w:r>
        <w:rPr>
          <w:rFonts w:ascii="Arial" w:hAnsi="Arial"/>
          <w:b/>
          <w:color w:val="ED3034"/>
          <w:sz w:val="28"/>
        </w:rPr>
        <w:t>Component Machinability Trial and CCI Validation</w:t>
      </w:r>
    </w:p>
    <w:p>
      <w:pPr>
        <w:pStyle w:val="TextBody"/>
        <w:bidi w:val="0"/>
        <w:spacing w:before="304" w:after="283"/>
        <w:ind w:left="216" w:right="0" w:hanging="0"/>
        <w:jc w:val="left"/>
        <w:rPr>
          <w:rFonts w:ascii="Arial" w:hAnsi="Arial"/>
          <w:b/>
          <w:color w:val="ED3034"/>
          <w:sz w:val="21"/>
        </w:rPr>
      </w:pPr>
      <w:r>
        <w:rPr>
          <w:rFonts w:ascii="Arial" w:hAnsi="Arial"/>
          <w:b/>
          <w:color w:val="ED3034"/>
          <w:sz w:val="21"/>
        </w:rPr>
        <w:t>[***]</w:t>
      </w:r>
    </w:p>
    <w:p>
      <w:pPr>
        <w:pStyle w:val="TextBody"/>
        <w:bidi w:val="0"/>
        <w:spacing w:before="114" w:after="283"/>
        <w:ind w:left="216"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216"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216" w:right="0" w:hanging="0"/>
        <w:jc w:val="left"/>
        <w:rPr>
          <w:rFonts w:ascii="Arial" w:hAnsi="Arial"/>
          <w:b/>
          <w:color w:val="000000"/>
          <w:sz w:val="17"/>
        </w:rPr>
      </w:pPr>
      <w:r>
        <w:rPr>
          <w:rFonts w:ascii="Arial" w:hAnsi="Arial"/>
          <w:b/>
          <w:color w:val="000000"/>
          <w:sz w:val="17"/>
        </w:rPr>
        <w:t>Confidential Page 52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74"/>
        <w:ind w:left="7632" w:right="278" w:hanging="0"/>
        <w:jc w:val="left"/>
        <w:rPr/>
      </w:pPr>
      <w:r>
        <w:rPr/>
        <w:drawing>
          <wp:inline distT="0" distB="0" distL="0" distR="0">
            <wp:extent cx="1743075" cy="371475"/>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73"/>
                    <a:stretch>
                      <a:fillRect/>
                    </a:stretch>
                  </pic:blipFill>
                  <pic:spPr bwMode="auto">
                    <a:xfrm>
                      <a:off x="0" y="0"/>
                      <a:ext cx="1743075" cy="371475"/>
                    </a:xfrm>
                    <a:prstGeom prst="rect">
                      <a:avLst/>
                    </a:prstGeom>
                  </pic:spPr>
                </pic:pic>
              </a:graphicData>
            </a:graphic>
          </wp:inline>
        </w:drawing>
      </w:r>
    </w:p>
    <w:p>
      <w:pPr>
        <w:pStyle w:val="TextBody"/>
        <w:bidi w:val="0"/>
        <w:ind w:left="144" w:right="0" w:hanging="0"/>
        <w:jc w:val="left"/>
        <w:rPr>
          <w:rFonts w:ascii="Times New Roman" w:hAnsi="Times New Roman"/>
          <w:sz w:val="20"/>
        </w:rPr>
      </w:pPr>
      <w:r>
        <w:rPr>
          <w:rFonts w:ascii="Arial" w:hAnsi="Arial"/>
          <w:b/>
          <w:color w:val="FF0000"/>
          <w:sz w:val="27"/>
        </w:rPr>
        <w:t>8.</w:t>
      </w:r>
      <w:r>
        <w:rPr>
          <w:rFonts w:ascii="Times New Roman" w:hAnsi="Times New Roman"/>
          <w:color w:val="ED3034"/>
          <w:sz w:val="20"/>
        </w:rPr>
        <w:t xml:space="preserve"> </w:t>
      </w:r>
      <w:r>
        <w:rPr>
          <w:rFonts w:ascii="Arial" w:hAnsi="Arial"/>
          <w:b/>
          <w:color w:val="ED3034"/>
          <w:sz w:val="27"/>
        </w:rPr>
        <w:t>Active Engineering Batch</w:t>
      </w:r>
    </w:p>
    <w:p>
      <w:pPr>
        <w:pStyle w:val="TextBody"/>
        <w:bidi w:val="0"/>
        <w:spacing w:before="0" w:after="236"/>
        <w:jc w:val="left"/>
        <w:rPr/>
      </w:pPr>
      <w:r>
        <w:rPr/>
        <w:t> </w:t>
      </w:r>
    </w:p>
    <w:p>
      <w:pPr>
        <w:pStyle w:val="TextBody"/>
        <w:bidi w:val="0"/>
        <w:spacing w:before="22"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236"/>
        <w:jc w:val="left"/>
        <w:rPr/>
      </w:pPr>
      <w:r>
        <w:rPr/>
        <w:t> </w:t>
      </w:r>
    </w:p>
    <w:p>
      <w:pPr>
        <w:pStyle w:val="TextBody"/>
        <w:bidi w:val="0"/>
        <w:ind w:left="144" w:right="0" w:hanging="0"/>
        <w:jc w:val="left"/>
        <w:rPr>
          <w:rFonts w:ascii="Times New Roman" w:hAnsi="Times New Roman"/>
          <w:sz w:val="20"/>
        </w:rPr>
      </w:pPr>
      <w:r>
        <w:rPr>
          <w:rFonts w:ascii="Arial" w:hAnsi="Arial"/>
          <w:b/>
          <w:color w:val="FF0000"/>
          <w:sz w:val="28"/>
        </w:rPr>
        <w:t>9.</w:t>
      </w:r>
      <w:r>
        <w:rPr>
          <w:rFonts w:ascii="Times New Roman" w:hAnsi="Times New Roman"/>
          <w:color w:val="ED3034"/>
          <w:sz w:val="20"/>
        </w:rPr>
        <w:t xml:space="preserve"> </w:t>
      </w:r>
      <w:r>
        <w:rPr>
          <w:rFonts w:ascii="Arial" w:hAnsi="Arial"/>
          <w:b/>
          <w:color w:val="ED3034"/>
          <w:sz w:val="28"/>
        </w:rPr>
        <w:t>Stability – Engineering Batch – Drug Product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22" w:after="283"/>
        <w:ind w:left="216" w:right="0" w:hanging="0"/>
        <w:jc w:val="left"/>
        <w:rPr/>
      </w:pPr>
      <w:r>
        <w:rPr/>
        <w:t> </w:t>
      </w:r>
    </w:p>
    <w:p>
      <w:pPr>
        <w:pStyle w:val="TextBody"/>
        <w:bidi w:val="0"/>
        <w:spacing w:before="322" w:after="283"/>
        <w:ind w:left="216" w:right="0" w:hanging="0"/>
        <w:jc w:val="left"/>
        <w:rPr>
          <w:rFonts w:ascii="Times New Roman" w:hAnsi="Times New Roman"/>
          <w:sz w:val="20"/>
        </w:rPr>
      </w:pPr>
      <w:r>
        <w:rPr>
          <w:rFonts w:ascii="Arial" w:hAnsi="Arial"/>
          <w:b/>
          <w:color w:val="FF0000"/>
          <w:sz w:val="28"/>
        </w:rPr>
        <w:t>10.</w:t>
      </w:r>
      <w:r>
        <w:rPr>
          <w:rFonts w:ascii="Times New Roman" w:hAnsi="Times New Roman"/>
          <w:color w:val="ED3034"/>
          <w:sz w:val="20"/>
        </w:rPr>
        <w:t xml:space="preserve"> </w:t>
      </w:r>
      <w:r>
        <w:rPr>
          <w:rFonts w:ascii="Arial" w:hAnsi="Arial"/>
          <w:b/>
          <w:color w:val="ED3034"/>
          <w:sz w:val="28"/>
        </w:rPr>
        <w:t>Phase III Clinical Trial Material (CTM) Batch – Active</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241"/>
        <w:jc w:val="left"/>
        <w:rPr/>
      </w:pPr>
      <w:r>
        <w:rPr/>
        <w:t> </w:t>
      </w:r>
    </w:p>
    <w:p>
      <w:pPr>
        <w:pStyle w:val="TextBody"/>
        <w:bidi w:val="0"/>
        <w:spacing w:before="0" w:after="241"/>
        <w:jc w:val="left"/>
        <w:rPr/>
      </w:pPr>
      <w:r>
        <w:rPr/>
        <w:t> </w:t>
      </w:r>
    </w:p>
    <w:p>
      <w:pPr>
        <w:pStyle w:val="TextBody"/>
        <w:bidi w:val="0"/>
        <w:ind w:left="144" w:right="0" w:hanging="0"/>
        <w:jc w:val="left"/>
        <w:rPr>
          <w:rFonts w:ascii="Times New Roman" w:hAnsi="Times New Roman"/>
          <w:sz w:val="20"/>
        </w:rPr>
      </w:pPr>
      <w:r>
        <w:rPr>
          <w:rFonts w:ascii="Arial" w:hAnsi="Arial"/>
          <w:b/>
          <w:color w:val="FF0000"/>
          <w:sz w:val="28"/>
        </w:rPr>
        <w:t>11.</w:t>
      </w:r>
      <w:r>
        <w:rPr>
          <w:rFonts w:ascii="Times New Roman" w:hAnsi="Times New Roman"/>
          <w:color w:val="ED3034"/>
          <w:sz w:val="20"/>
        </w:rPr>
        <w:t xml:space="preserve"> </w:t>
      </w:r>
      <w:r>
        <w:rPr>
          <w:rFonts w:ascii="Arial" w:hAnsi="Arial"/>
          <w:b/>
          <w:color w:val="ED3034"/>
          <w:sz w:val="28"/>
        </w:rPr>
        <w:t>Stability – Phase III Clinical Trial Material (CTM) Batch – Drug Product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18" w:after="283"/>
        <w:ind w:left="216" w:right="0" w:hanging="0"/>
        <w:jc w:val="left"/>
        <w:rPr/>
      </w:pPr>
      <w:r>
        <w:rPr/>
        <w:t> </w:t>
      </w:r>
    </w:p>
    <w:p>
      <w:pPr>
        <w:pStyle w:val="TextBody"/>
        <w:bidi w:val="0"/>
        <w:spacing w:before="318" w:after="283"/>
        <w:ind w:left="216" w:right="0" w:hanging="0"/>
        <w:jc w:val="left"/>
        <w:rPr>
          <w:rFonts w:ascii="Times New Roman" w:hAnsi="Times New Roman"/>
          <w:sz w:val="20"/>
        </w:rPr>
      </w:pPr>
      <w:r>
        <w:rPr>
          <w:rFonts w:ascii="Arial" w:hAnsi="Arial"/>
          <w:b/>
          <w:color w:val="FF0000"/>
          <w:sz w:val="28"/>
        </w:rPr>
        <w:t>12.</w:t>
      </w:r>
      <w:r>
        <w:rPr>
          <w:rFonts w:ascii="Times New Roman" w:hAnsi="Times New Roman"/>
          <w:color w:val="ED3034"/>
          <w:sz w:val="20"/>
        </w:rPr>
        <w:t xml:space="preserve"> </w:t>
      </w:r>
      <w:r>
        <w:rPr>
          <w:rFonts w:ascii="Arial" w:hAnsi="Arial"/>
          <w:b/>
          <w:color w:val="ED3034"/>
          <w:sz w:val="28"/>
        </w:rPr>
        <w:t>Vial size preliminary comparative study</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344"/>
        <w:jc w:val="left"/>
        <w:rPr/>
      </w:pPr>
      <w:r>
        <w:rPr/>
        <w:t> </w:t>
      </w:r>
    </w:p>
    <w:p>
      <w:pPr>
        <w:pStyle w:val="TextBody"/>
        <w:bidi w:val="0"/>
        <w:ind w:left="216" w:right="0" w:hanging="0"/>
        <w:jc w:val="left"/>
        <w:rPr/>
      </w:pPr>
      <w:r>
        <w:rPr/>
        <w:t> </w:t>
      </w:r>
    </w:p>
    <w:p>
      <w:pPr>
        <w:pStyle w:val="TextBody"/>
        <w:bidi w:val="0"/>
        <w:spacing w:before="11" w:after="283"/>
        <w:ind w:left="216" w:right="0" w:hanging="0"/>
        <w:jc w:val="left"/>
        <w:rPr>
          <w:rFonts w:ascii="Times New Roman" w:hAnsi="Times New Roman"/>
          <w:sz w:val="20"/>
        </w:rPr>
      </w:pPr>
      <w:r>
        <w:rPr>
          <w:rFonts w:ascii="Arial" w:hAnsi="Arial"/>
          <w:b/>
          <w:color w:val="FF0000"/>
          <w:sz w:val="28"/>
        </w:rPr>
        <w:t>13.</w:t>
      </w:r>
      <w:r>
        <w:rPr>
          <w:rFonts w:ascii="Times New Roman" w:hAnsi="Times New Roman"/>
          <w:color w:val="ED3034"/>
          <w:sz w:val="20"/>
        </w:rPr>
        <w:t xml:space="preserve"> </w:t>
      </w:r>
      <w:r>
        <w:rPr>
          <w:rFonts w:ascii="Arial" w:hAnsi="Arial"/>
          <w:b/>
          <w:color w:val="ED3034"/>
          <w:sz w:val="28"/>
        </w:rPr>
        <w:t>Placebo Engineering Batch</w:t>
      </w:r>
    </w:p>
    <w:p>
      <w:pPr>
        <w:pStyle w:val="TextBody"/>
        <w:bidi w:val="0"/>
        <w:spacing w:before="0" w:after="240"/>
        <w:jc w:val="left"/>
        <w:rPr/>
      </w:pPr>
      <w:r>
        <w:rPr/>
        <w:t> </w:t>
      </w:r>
    </w:p>
    <w:p>
      <w:pPr>
        <w:pStyle w:val="TextBody"/>
        <w:bidi w:val="0"/>
        <w:spacing w:before="1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240"/>
        <w:jc w:val="left"/>
        <w:rPr/>
      </w:pPr>
      <w:r>
        <w:rPr/>
        <w:t> </w:t>
      </w:r>
    </w:p>
    <w:p>
      <w:pPr>
        <w:pStyle w:val="TextBody"/>
        <w:bidi w:val="0"/>
        <w:ind w:left="216" w:right="0" w:hanging="0"/>
        <w:jc w:val="left"/>
        <w:rPr>
          <w:rFonts w:ascii="Arial" w:hAnsi="Arial"/>
          <w:b/>
          <w:color w:val="FF0000"/>
          <w:sz w:val="28"/>
        </w:rPr>
      </w:pPr>
      <w:r>
        <w:rPr>
          <w:rFonts w:ascii="Arial" w:hAnsi="Arial"/>
          <w:b/>
          <w:color w:val="FF0000"/>
          <w:sz w:val="28"/>
        </w:rPr>
        <w:t>14. Placebo CTM Batches Manufacture</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240"/>
        <w:jc w:val="left"/>
        <w:rPr/>
      </w:pPr>
      <w:r>
        <w:rPr/>
        <w:t> </w:t>
      </w:r>
    </w:p>
    <w:p>
      <w:pPr>
        <w:pStyle w:val="TextBody"/>
        <w:bidi w:val="0"/>
        <w:ind w:left="216" w:right="0" w:hanging="0"/>
        <w:jc w:val="left"/>
        <w:rPr>
          <w:rFonts w:ascii="Times New Roman" w:hAnsi="Times New Roman"/>
          <w:sz w:val="20"/>
        </w:rPr>
      </w:pPr>
      <w:r>
        <w:rPr>
          <w:rFonts w:ascii="Arial" w:hAnsi="Arial"/>
          <w:b/>
          <w:color w:val="FF0000"/>
          <w:sz w:val="28"/>
        </w:rPr>
        <w:t>15.</w:t>
      </w:r>
      <w:r>
        <w:rPr>
          <w:rFonts w:ascii="Times New Roman" w:hAnsi="Times New Roman"/>
          <w:color w:val="ED3034"/>
          <w:sz w:val="20"/>
        </w:rPr>
        <w:t xml:space="preserve"> </w:t>
      </w:r>
      <w:r>
        <w:rPr>
          <w:rFonts w:ascii="Arial" w:hAnsi="Arial"/>
          <w:b/>
          <w:color w:val="ED3034"/>
          <w:sz w:val="28"/>
        </w:rPr>
        <w:t>Validation Documentation</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14" w:after="283"/>
        <w:ind w:left="216" w:right="0" w:hanging="0"/>
        <w:jc w:val="left"/>
        <w:rPr>
          <w:rFonts w:ascii="Times New Roman" w:hAnsi="Times New Roman"/>
          <w:sz w:val="20"/>
        </w:rPr>
      </w:pPr>
      <w:r>
        <w:rPr>
          <w:rFonts w:ascii="Arial" w:hAnsi="Arial"/>
          <w:b/>
          <w:color w:val="FF0000"/>
          <w:sz w:val="28"/>
        </w:rPr>
        <w:t>16.</w:t>
      </w:r>
      <w:r>
        <w:rPr>
          <w:rFonts w:ascii="Times New Roman" w:hAnsi="Times New Roman"/>
          <w:color w:val="ED3034"/>
          <w:sz w:val="20"/>
        </w:rPr>
        <w:t xml:space="preserve"> </w:t>
      </w:r>
      <w:r>
        <w:rPr>
          <w:rFonts w:ascii="Arial" w:hAnsi="Arial"/>
          <w:b/>
          <w:color w:val="ED3034"/>
          <w:sz w:val="28"/>
        </w:rPr>
        <w:t>PPQ Batches</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344"/>
        <w:jc w:val="left"/>
        <w:rPr/>
      </w:pPr>
      <w:r>
        <w:rPr/>
        <w:t> </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63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6" w:after="283"/>
        <w:ind w:left="144" w:right="0" w:hanging="0"/>
        <w:jc w:val="left"/>
        <w:rPr>
          <w:rFonts w:ascii="Times New Roman" w:hAnsi="Times New Roman"/>
          <w:sz w:val="20"/>
        </w:rPr>
      </w:pPr>
      <w:r>
        <w:rPr>
          <w:rFonts w:ascii="Arial" w:hAnsi="Arial"/>
          <w:b/>
          <w:color w:val="FF0000"/>
          <w:sz w:val="28"/>
        </w:rPr>
        <w:t>17.</w:t>
      </w:r>
      <w:r>
        <w:rPr>
          <w:rFonts w:ascii="Times New Roman" w:hAnsi="Times New Roman"/>
          <w:color w:val="ED3034"/>
          <w:sz w:val="20"/>
        </w:rPr>
        <w:t xml:space="preserve"> </w:t>
      </w:r>
      <w:r>
        <w:rPr>
          <w:rFonts w:ascii="Arial" w:hAnsi="Arial"/>
          <w:b/>
          <w:color w:val="ED3034"/>
          <w:sz w:val="28"/>
        </w:rPr>
        <w:t>Process Validation – Support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291" w:after="283"/>
        <w:jc w:val="left"/>
        <w:rPr/>
      </w:pPr>
      <w:r>
        <w:rPr/>
        <w:t> </w:t>
      </w:r>
    </w:p>
    <w:p>
      <w:pPr>
        <w:pStyle w:val="TextBody"/>
        <w:bidi w:val="0"/>
        <w:spacing w:before="324" w:after="283"/>
        <w:ind w:left="144" w:right="0" w:hanging="0"/>
        <w:jc w:val="left"/>
        <w:rPr>
          <w:rFonts w:ascii="Times New Roman" w:hAnsi="Times New Roman"/>
          <w:sz w:val="20"/>
        </w:rPr>
      </w:pPr>
      <w:r>
        <w:rPr>
          <w:rFonts w:ascii="Arial" w:hAnsi="Arial"/>
          <w:b/>
          <w:color w:val="FF0000"/>
          <w:sz w:val="28"/>
        </w:rPr>
        <w:t>18.</w:t>
      </w:r>
      <w:r>
        <w:rPr>
          <w:rFonts w:ascii="Times New Roman" w:hAnsi="Times New Roman"/>
          <w:color w:val="ED3034"/>
          <w:sz w:val="20"/>
        </w:rPr>
        <w:t xml:space="preserve"> </w:t>
      </w:r>
      <w:r>
        <w:rPr>
          <w:rFonts w:ascii="Arial" w:hAnsi="Arial"/>
          <w:b/>
          <w:color w:val="ED3034"/>
          <w:sz w:val="28"/>
        </w:rPr>
        <w:t>Stability – PPQ Batches – Drug Product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24" w:after="283"/>
        <w:ind w:left="144" w:right="0" w:hanging="0"/>
        <w:jc w:val="left"/>
        <w:rPr/>
      </w:pPr>
      <w:r>
        <w:rPr/>
        <w:t> </w:t>
      </w:r>
    </w:p>
    <w:p>
      <w:pPr>
        <w:pStyle w:val="TextBody"/>
        <w:bidi w:val="0"/>
        <w:spacing w:before="0" w:after="236"/>
        <w:jc w:val="left"/>
        <w:rPr/>
      </w:pPr>
      <w:r>
        <w:rPr/>
        <w:t> </w:t>
      </w:r>
    </w:p>
    <w:p>
      <w:pPr>
        <w:pStyle w:val="TextBody"/>
        <w:bidi w:val="0"/>
        <w:ind w:left="216" w:right="0" w:hanging="0"/>
        <w:jc w:val="left"/>
        <w:rPr>
          <w:rFonts w:ascii="Times New Roman" w:hAnsi="Times New Roman"/>
          <w:sz w:val="20"/>
        </w:rPr>
      </w:pPr>
      <w:r>
        <w:rPr>
          <w:rFonts w:ascii="Arial" w:hAnsi="Arial"/>
          <w:b/>
          <w:color w:val="FF0000"/>
          <w:sz w:val="28"/>
        </w:rPr>
        <w:t>19.</w:t>
      </w:r>
      <w:r>
        <w:rPr>
          <w:rFonts w:ascii="Times New Roman" w:hAnsi="Times New Roman"/>
          <w:color w:val="ED3034"/>
          <w:sz w:val="20"/>
        </w:rPr>
        <w:t xml:space="preserve"> </w:t>
      </w:r>
      <w:r>
        <w:rPr>
          <w:rFonts w:ascii="Arial" w:hAnsi="Arial"/>
          <w:b/>
          <w:color w:val="ED3034"/>
          <w:sz w:val="28"/>
        </w:rPr>
        <w:t>OLE Active Batches Manufacture – Drug Product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03" w:after="287"/>
        <w:ind w:left="144" w:right="0" w:hanging="0"/>
        <w:jc w:val="left"/>
        <w:rPr>
          <w:rFonts w:ascii="Arial" w:hAnsi="Arial"/>
          <w:color w:val="000000"/>
          <w:sz w:val="21"/>
        </w:rPr>
      </w:pPr>
      <w:r>
        <w:rPr>
          <w:rFonts w:ascii="Arial" w:hAnsi="Arial"/>
          <w:color w:val="000000"/>
          <w:sz w:val="21"/>
        </w:rPr>
        <w:t>The following In-Process and Finished Product testing will be performed (one set per batch):</w:t>
      </w:r>
    </w:p>
    <w:p>
      <w:pPr>
        <w:pStyle w:val="TextBody"/>
        <w:bidi w:val="0"/>
        <w:ind w:left="216" w:right="216" w:hanging="0"/>
        <w:jc w:val="both"/>
        <w:rPr>
          <w:rFonts w:ascii="Arial" w:hAnsi="Arial"/>
          <w:color w:val="000000"/>
          <w:sz w:val="21"/>
        </w:rPr>
      </w:pPr>
      <w:r>
        <w:rPr>
          <w:rFonts w:ascii="Arial" w:hAnsi="Arial"/>
          <w:color w:val="000000"/>
          <w:sz w:val="21"/>
        </w:rPr>
        <w:t>[***]</w:t>
      </w:r>
    </w:p>
    <w:p>
      <w:pPr>
        <w:pStyle w:val="TextBody"/>
        <w:bidi w:val="0"/>
        <w:spacing w:before="303" w:after="287"/>
        <w:ind w:left="144" w:right="0" w:hanging="0"/>
        <w:jc w:val="left"/>
        <w:rPr/>
      </w:pPr>
      <w:r>
        <w:rPr/>
        <w:t> </w:t>
      </w:r>
    </w:p>
    <w:p>
      <w:pPr>
        <w:pStyle w:val="TextBody"/>
        <w:bidi w:val="0"/>
        <w:spacing w:before="0" w:after="371"/>
        <w:jc w:val="left"/>
        <w:rPr/>
      </w:pPr>
      <w:r>
        <w:rPr/>
        <w:t> </w:t>
      </w:r>
    </w:p>
    <w:p>
      <w:pPr>
        <w:pStyle w:val="TextBody"/>
        <w:bidi w:val="0"/>
        <w:ind w:left="144" w:right="0" w:hanging="0"/>
        <w:jc w:val="left"/>
        <w:rPr>
          <w:rFonts w:ascii="Times New Roman" w:hAnsi="Times New Roman"/>
          <w:sz w:val="20"/>
        </w:rPr>
      </w:pPr>
      <w:r>
        <w:rPr>
          <w:rFonts w:ascii="Arial" w:hAnsi="Arial"/>
          <w:b/>
          <w:color w:val="FF0000"/>
          <w:sz w:val="28"/>
        </w:rPr>
        <w:t>20.</w:t>
      </w:r>
      <w:r>
        <w:rPr>
          <w:rFonts w:ascii="Times New Roman" w:hAnsi="Times New Roman"/>
          <w:color w:val="ED3034"/>
          <w:sz w:val="20"/>
        </w:rPr>
        <w:t xml:space="preserve"> </w:t>
      </w:r>
      <w:r>
        <w:rPr>
          <w:rFonts w:ascii="Arial" w:hAnsi="Arial"/>
          <w:b/>
          <w:color w:val="ED3034"/>
          <w:sz w:val="28"/>
        </w:rPr>
        <w:t>Stability – OLE Batches – Drug Product</w:t>
      </w:r>
    </w:p>
    <w:p>
      <w:pPr>
        <w:pStyle w:val="TextBody"/>
        <w:bidi w:val="0"/>
        <w:spacing w:before="193" w:after="283"/>
        <w:ind w:left="144" w:right="0" w:hanging="0"/>
        <w:jc w:val="left"/>
        <w:rPr>
          <w:rFonts w:ascii="Arial" w:hAnsi="Arial"/>
          <w:b/>
          <w:color w:val="ED3034"/>
          <w:sz w:val="21"/>
        </w:rPr>
      </w:pPr>
      <w:r>
        <w:rPr>
          <w:rFonts w:ascii="Arial" w:hAnsi="Arial"/>
          <w:b/>
          <w:color w:val="ED3034"/>
          <w:sz w:val="21"/>
        </w:rPr>
        <w:t>Goal:</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312" w:after="283"/>
        <w:ind w:left="144" w:right="0" w:hanging="0"/>
        <w:jc w:val="left"/>
        <w:rPr>
          <w:rFonts w:ascii="Arial" w:hAnsi="Arial"/>
          <w:b/>
          <w:color w:val="ED3034"/>
          <w:sz w:val="21"/>
        </w:rPr>
      </w:pPr>
      <w:r>
        <w:rPr>
          <w:rFonts w:ascii="Arial" w:hAnsi="Arial"/>
          <w:b/>
          <w:color w:val="ED3034"/>
          <w:sz w:val="21"/>
        </w:rPr>
        <w:t>Deliverables:</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187" w:after="283"/>
        <w:ind w:left="144" w:right="0" w:hanging="0"/>
        <w:jc w:val="left"/>
        <w:rPr>
          <w:rFonts w:ascii="Arial" w:hAnsi="Arial"/>
          <w:b/>
          <w:color w:val="ED3034"/>
          <w:sz w:val="21"/>
        </w:rPr>
      </w:pPr>
      <w:r>
        <w:rPr>
          <w:rFonts w:ascii="Arial" w:hAnsi="Arial"/>
          <w:b/>
          <w:color w:val="ED3034"/>
          <w:sz w:val="21"/>
        </w:rPr>
        <w:t>Scope:</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297" w:after="258"/>
        <w:ind w:left="144" w:right="0" w:hanging="0"/>
        <w:jc w:val="left"/>
        <w:rPr>
          <w:rFonts w:ascii="Arial" w:hAnsi="Arial"/>
          <w:color w:val="000000"/>
          <w:sz w:val="21"/>
        </w:rPr>
      </w:pPr>
      <w:r>
        <w:rPr>
          <w:rFonts w:ascii="Arial" w:hAnsi="Arial"/>
          <w:color w:val="000000"/>
          <w:sz w:val="21"/>
        </w:rPr>
        <w:t>The following stability testing is proposed for samples at each pull point:</w:t>
      </w:r>
    </w:p>
    <w:p>
      <w:pPr>
        <w:pStyle w:val="TextBody"/>
        <w:bidi w:val="0"/>
        <w:ind w:left="216" w:right="216" w:hanging="0"/>
        <w:jc w:val="both"/>
        <w:rPr>
          <w:rFonts w:ascii="Arial" w:hAnsi="Arial"/>
          <w:color w:val="000000"/>
          <w:sz w:val="21"/>
        </w:rPr>
      </w:pPr>
      <w:r>
        <w:rPr>
          <w:rFonts w:ascii="Arial" w:hAnsi="Arial"/>
          <w:color w:val="000000"/>
          <w:sz w:val="21"/>
        </w:rPr>
        <w:t>[***]</w:t>
      </w:r>
    </w:p>
    <w:p>
      <w:pPr>
        <w:pStyle w:val="TextBody"/>
        <w:bidi w:val="0"/>
        <w:spacing w:before="297" w:after="258"/>
        <w:ind w:left="144" w:right="0" w:hanging="0"/>
        <w:jc w:val="left"/>
        <w:rPr/>
      </w:pPr>
      <w:r>
        <w:rPr/>
        <w:t> </w:t>
      </w:r>
    </w:p>
    <w:p>
      <w:pPr>
        <w:pStyle w:val="TextBody"/>
        <w:bidi w:val="0"/>
        <w:spacing w:before="0" w:after="720"/>
        <w:jc w:val="left"/>
        <w:rPr/>
      </w:pPr>
      <w:r>
        <w:rPr/>
        <w:t> </w:t>
      </w:r>
    </w:p>
    <w:p>
      <w:pPr>
        <w:pStyle w:val="TextBody"/>
        <w:bidi w:val="0"/>
        <w:spacing w:before="114" w:after="283"/>
        <w:ind w:left="144" w:right="0" w:hanging="0"/>
        <w:jc w:val="left"/>
        <w:rPr>
          <w:rFonts w:ascii="Arial" w:hAnsi="Arial"/>
          <w:color w:val="000000"/>
          <w:sz w:val="17"/>
        </w:rPr>
      </w:pPr>
      <w:r>
        <w:rPr>
          <w:rFonts w:ascii="Arial" w:hAnsi="Arial"/>
          <w:color w:val="000000"/>
          <w:sz w:val="17"/>
        </w:rPr>
        <w:t>[***] Arcturus Therapeutics</w:t>
      </w:r>
    </w:p>
    <w:p>
      <w:pPr>
        <w:pStyle w:val="TextBody"/>
        <w:bidi w:val="0"/>
        <w:spacing w:before="37" w:after="283"/>
        <w:ind w:left="144" w:right="0" w:hanging="0"/>
        <w:jc w:val="left"/>
        <w:rPr>
          <w:rFonts w:ascii="Arial" w:hAnsi="Arial"/>
          <w:color w:val="000000"/>
          <w:sz w:val="17"/>
        </w:rPr>
      </w:pPr>
      <w:r>
        <w:rPr>
          <w:rFonts w:ascii="Arial" w:hAnsi="Arial"/>
          <w:color w:val="000000"/>
          <w:sz w:val="17"/>
        </w:rPr>
        <w:t>[***] [***]</w:t>
      </w:r>
    </w:p>
    <w:p>
      <w:pPr>
        <w:pStyle w:val="TextBody"/>
        <w:bidi w:val="0"/>
        <w:spacing w:before="37" w:after="283"/>
        <w:ind w:left="144" w:right="0" w:hanging="0"/>
        <w:jc w:val="left"/>
        <w:rPr>
          <w:rFonts w:ascii="Arial" w:hAnsi="Arial"/>
          <w:color w:val="000000"/>
          <w:sz w:val="17"/>
        </w:rPr>
      </w:pPr>
      <w:r>
        <w:rPr>
          <w:rFonts w:ascii="Arial" w:hAnsi="Arial"/>
          <w:color w:val="000000"/>
          <w:sz w:val="17"/>
        </w:rPr>
        <w:t>Confidential Page 68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668" w:right="242" w:hanging="0"/>
        <w:jc w:val="left"/>
        <w:rPr/>
      </w:pPr>
      <w:r>
        <w:rPr/>
        <w:drawing>
          <wp:inline distT="0" distB="0" distL="0" distR="0">
            <wp:extent cx="1743075" cy="37147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74"/>
                    <a:stretch>
                      <a:fillRect/>
                    </a:stretch>
                  </pic:blipFill>
                  <pic:spPr bwMode="auto">
                    <a:xfrm>
                      <a:off x="0" y="0"/>
                      <a:ext cx="1743075" cy="371475"/>
                    </a:xfrm>
                    <a:prstGeom prst="rect">
                      <a:avLst/>
                    </a:prstGeom>
                  </pic:spPr>
                </pic:pic>
              </a:graphicData>
            </a:graphic>
          </wp:inline>
        </w:drawing>
      </w:r>
    </w:p>
    <w:p>
      <w:pPr>
        <w:pStyle w:val="TextBody"/>
        <w:bidi w:val="0"/>
        <w:ind w:left="216" w:right="0" w:hanging="0"/>
        <w:jc w:val="left"/>
        <w:rPr>
          <w:rFonts w:ascii="Arial" w:hAnsi="Arial"/>
          <w:b/>
          <w:color w:val="ED3034"/>
          <w:sz w:val="48"/>
        </w:rPr>
      </w:pPr>
      <w:r>
        <w:rPr>
          <w:rFonts w:ascii="Arial" w:hAnsi="Arial"/>
          <w:b/>
          <w:color w:val="ED3034"/>
          <w:sz w:val="48"/>
        </w:rPr>
        <w:t>Part E: DP Fill and Finish ([***] line)</w:t>
      </w:r>
    </w:p>
    <w:p>
      <w:pPr>
        <w:pStyle w:val="TextBody"/>
        <w:bidi w:val="0"/>
        <w:spacing w:before="31" w:after="283"/>
        <w:ind w:left="504" w:right="0" w:hanging="0"/>
        <w:jc w:val="left"/>
        <w:rPr>
          <w:rFonts w:ascii="Arial" w:hAnsi="Arial"/>
          <w:b/>
          <w:color w:val="ED3034"/>
          <w:sz w:val="48"/>
        </w:rPr>
      </w:pPr>
      <w:r>
        <w:rPr>
          <w:rFonts w:ascii="Arial" w:hAnsi="Arial"/>
          <w:b/>
          <w:color w:val="ED3034"/>
          <w:sz w:val="48"/>
        </w:rPr>
        <w:t>Equipment Requirements</w:t>
      </w:r>
    </w:p>
    <w:p>
      <w:pPr>
        <w:pStyle w:val="TextBody"/>
        <w:bidi w:val="0"/>
        <w:spacing w:before="248" w:after="283"/>
        <w:ind w:left="216" w:right="0" w:hanging="0"/>
        <w:jc w:val="left"/>
        <w:rPr>
          <w:rFonts w:ascii="Arial" w:hAnsi="Arial"/>
          <w:b/>
          <w:color w:val="ED3034"/>
          <w:sz w:val="28"/>
        </w:rPr>
      </w:pPr>
      <w:r>
        <w:rPr>
          <w:rFonts w:ascii="Arial" w:hAnsi="Arial"/>
          <w:b/>
          <w:color w:val="ED3034"/>
          <w:sz w:val="28"/>
        </w:rPr>
        <w:t>Assuming to use an already qualified primary packaging configuration:</w:t>
      </w:r>
    </w:p>
    <w:p>
      <w:pPr>
        <w:pStyle w:val="TextBody"/>
        <w:bidi w:val="0"/>
        <w:spacing w:before="249" w:after="249"/>
        <w:ind w:left="216" w:right="216" w:hanging="0"/>
        <w:jc w:val="both"/>
        <w:rPr>
          <w:rFonts w:ascii="Arial" w:hAnsi="Arial"/>
          <w:color w:val="000000"/>
          <w:sz w:val="21"/>
        </w:rPr>
      </w:pPr>
      <w:r>
        <w:rPr>
          <w:rFonts w:ascii="Arial" w:hAnsi="Arial"/>
          <w:color w:val="000000"/>
          <w:sz w:val="21"/>
        </w:rPr>
        <w:t>Any equipment requirements will be discussed, evaluated and agreed with Arcturus. Based on the technical assumptions, the following equipment has been identified to support the scope of this project. Estimates given are subject to change pending design of the manufacturing process and would be confirmed at the time of placing an order. All equipment purchased will be Patheon owned materials.</w:t>
      </w:r>
    </w:p>
    <w:p>
      <w:pPr>
        <w:pStyle w:val="TextBody"/>
        <w:bidi w:val="0"/>
        <w:spacing w:before="9" w:after="283"/>
        <w:ind w:left="216" w:right="216" w:hanging="0"/>
        <w:jc w:val="both"/>
        <w:rPr>
          <w:rFonts w:ascii="Arial" w:hAnsi="Arial"/>
          <w:color w:val="000000"/>
          <w:sz w:val="21"/>
        </w:rPr>
      </w:pPr>
      <w:r>
        <w:rPr>
          <w:rFonts w:ascii="Arial" w:hAnsi="Arial"/>
          <w:color w:val="000000"/>
          <w:sz w:val="21"/>
        </w:rPr>
        <w:t>[***]</w:t>
      </w:r>
    </w:p>
    <w:p>
      <w:pPr>
        <w:pStyle w:val="TextBody"/>
        <w:bidi w:val="0"/>
        <w:spacing w:before="249" w:after="249"/>
        <w:ind w:left="216" w:right="216" w:hanging="0"/>
        <w:jc w:val="both"/>
        <w:rPr/>
      </w:pPr>
      <w:r>
        <w:rPr/>
        <w:t> </w:t>
      </w:r>
    </w:p>
    <w:p>
      <w:pPr>
        <w:pStyle w:val="TextBody"/>
        <w:bidi w:val="0"/>
        <w:jc w:val="left"/>
        <w:rPr/>
      </w:pPr>
      <w:r>
        <w:rPr/>
        <w:t> </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114" w:after="283"/>
        <w:ind w:left="216"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216"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216" w:right="0" w:hanging="0"/>
        <w:jc w:val="left"/>
        <w:rPr>
          <w:rFonts w:ascii="Arial" w:hAnsi="Arial"/>
          <w:b/>
          <w:color w:val="000000"/>
          <w:sz w:val="17"/>
        </w:rPr>
      </w:pPr>
      <w:r>
        <w:rPr>
          <w:rFonts w:ascii="Arial" w:hAnsi="Arial"/>
          <w:b/>
          <w:color w:val="000000"/>
          <w:sz w:val="17"/>
        </w:rPr>
        <w:t>Confidential Page 69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670" w:right="240" w:hanging="0"/>
        <w:jc w:val="left"/>
        <w:rPr/>
      </w:pPr>
      <w:r>
        <w:rPr/>
        <w:drawing>
          <wp:inline distT="0" distB="0" distL="0" distR="0">
            <wp:extent cx="1743075" cy="37147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75"/>
                    <a:stretch>
                      <a:fillRect/>
                    </a:stretch>
                  </pic:blipFill>
                  <pic:spPr bwMode="auto">
                    <a:xfrm>
                      <a:off x="0" y="0"/>
                      <a:ext cx="1743075" cy="371475"/>
                    </a:xfrm>
                    <a:prstGeom prst="rect">
                      <a:avLst/>
                    </a:prstGeom>
                  </pic:spPr>
                </pic:pic>
              </a:graphicData>
            </a:graphic>
          </wp:inline>
        </w:drawing>
      </w:r>
    </w:p>
    <w:p>
      <w:pPr>
        <w:pStyle w:val="TextBody"/>
        <w:bidi w:val="0"/>
        <w:spacing w:before="0" w:after="290"/>
        <w:ind w:left="216" w:right="1944" w:hanging="0"/>
        <w:jc w:val="left"/>
        <w:rPr>
          <w:rFonts w:ascii="Arial" w:hAnsi="Arial"/>
          <w:b/>
          <w:color w:val="ED3034"/>
          <w:sz w:val="48"/>
        </w:rPr>
      </w:pPr>
      <w:r>
        <w:rPr>
          <w:rFonts w:ascii="Arial" w:hAnsi="Arial"/>
          <w:b/>
          <w:color w:val="ED3034"/>
          <w:sz w:val="48"/>
        </w:rPr>
        <w:t>Appendix I: Process Characterization Associated Studies</w:t>
      </w:r>
    </w:p>
    <w:p>
      <w:pPr>
        <w:pStyle w:val="TextBody"/>
        <w:bidi w:val="0"/>
        <w:ind w:left="216" w:right="216" w:hanging="0"/>
        <w:jc w:val="left"/>
        <w:rPr>
          <w:rFonts w:ascii="Arial" w:hAnsi="Arial"/>
          <w:color w:val="000000"/>
          <w:sz w:val="21"/>
        </w:rPr>
      </w:pPr>
      <w:r>
        <w:rPr>
          <w:rFonts w:ascii="Arial" w:hAnsi="Arial"/>
          <w:color w:val="000000"/>
          <w:sz w:val="21"/>
        </w:rPr>
        <w:t>Below outlines some examples of process characterization studies and associated activities that may be required for finalizing the process control strategy. The exact studies to be performed will be jointly with Client based on the outcome of the Process Validation Master Plan and defined in a Change Order.</w:t>
      </w:r>
    </w:p>
    <w:p>
      <w:pPr>
        <w:pStyle w:val="TextBody"/>
        <w:bidi w:val="0"/>
        <w:spacing w:before="316" w:after="283"/>
        <w:ind w:left="216" w:right="0" w:hanging="0"/>
        <w:jc w:val="left"/>
        <w:rPr>
          <w:rFonts w:ascii="Arial" w:hAnsi="Arial"/>
          <w:b/>
          <w:color w:val="ED3034"/>
          <w:sz w:val="21"/>
        </w:rPr>
      </w:pPr>
      <w:r>
        <w:rPr>
          <w:rFonts w:ascii="Arial" w:hAnsi="Arial"/>
          <w:b/>
          <w:color w:val="ED3034"/>
          <w:sz w:val="21"/>
        </w:rPr>
        <w:t>Bulk Drug Substance</w:t>
      </w:r>
    </w:p>
    <w:p>
      <w:pPr>
        <w:pStyle w:val="TextBody"/>
        <w:bidi w:val="0"/>
        <w:spacing w:before="154" w:after="283"/>
        <w:ind w:left="576" w:right="0" w:hanging="0"/>
        <w:jc w:val="left"/>
        <w:rPr>
          <w:rFonts w:ascii="Times New Roman" w:hAnsi="Times New Roman"/>
          <w:color w:val="000000"/>
          <w:sz w:val="21"/>
        </w:rPr>
      </w:pPr>
      <w:r>
        <w:rPr>
          <w:rFonts w:ascii="Times New Roman" w:hAnsi="Times New Roman"/>
          <w:color w:val="000000"/>
          <w:sz w:val="21"/>
        </w:rPr>
        <w:t>·</w:t>
      </w:r>
    </w:p>
    <w:p>
      <w:pPr>
        <w:pStyle w:val="TextBody"/>
        <w:bidi w:val="0"/>
        <w:spacing w:before="154" w:after="283"/>
        <w:jc w:val="left"/>
        <w:rPr>
          <w:rFonts w:ascii="Arial" w:hAnsi="Arial"/>
          <w:b/>
          <w:color w:val="000000"/>
          <w:sz w:val="21"/>
        </w:rPr>
      </w:pPr>
      <w:r>
        <w:rPr>
          <w:rFonts w:ascii="Arial" w:hAnsi="Arial"/>
          <w:b/>
          <w:color w:val="000000"/>
          <w:sz w:val="21"/>
        </w:rPr>
        <w:t>[***]</w:t>
      </w:r>
    </w:p>
    <w:p>
      <w:pPr>
        <w:pStyle w:val="TextBody"/>
        <w:bidi w:val="0"/>
        <w:spacing w:before="139" w:after="283"/>
        <w:ind w:left="216" w:right="0" w:hanging="0"/>
        <w:jc w:val="left"/>
        <w:rPr>
          <w:rFonts w:ascii="Arial" w:hAnsi="Arial"/>
          <w:b/>
          <w:color w:val="ED3034"/>
          <w:sz w:val="21"/>
        </w:rPr>
      </w:pPr>
      <w:r>
        <w:rPr>
          <w:rFonts w:ascii="Arial" w:hAnsi="Arial"/>
          <w:b/>
          <w:color w:val="ED3034"/>
          <w:sz w:val="21"/>
        </w:rPr>
        <w:t>Bulk Drug Product Studies</w:t>
      </w:r>
    </w:p>
    <w:p>
      <w:pPr>
        <w:pStyle w:val="TextBody"/>
        <w:bidi w:val="0"/>
        <w:spacing w:before="155" w:after="283"/>
        <w:ind w:left="576" w:right="0" w:hanging="0"/>
        <w:jc w:val="left"/>
        <w:rPr>
          <w:rFonts w:ascii="Times New Roman" w:hAnsi="Times New Roman"/>
          <w:color w:val="000000"/>
          <w:sz w:val="21"/>
        </w:rPr>
      </w:pPr>
      <w:r>
        <w:rPr>
          <w:rFonts w:ascii="Times New Roman" w:hAnsi="Times New Roman"/>
          <w:color w:val="000000"/>
          <w:sz w:val="21"/>
        </w:rPr>
        <w:t>·</w:t>
      </w:r>
    </w:p>
    <w:p>
      <w:pPr>
        <w:pStyle w:val="TextBody"/>
        <w:bidi w:val="0"/>
        <w:spacing w:before="155" w:after="283"/>
        <w:jc w:val="left"/>
        <w:rPr>
          <w:rFonts w:ascii="Arial" w:hAnsi="Arial"/>
          <w:b/>
          <w:color w:val="000000"/>
          <w:sz w:val="21"/>
        </w:rPr>
      </w:pPr>
      <w:r>
        <w:rPr>
          <w:rFonts w:ascii="Arial" w:hAnsi="Arial"/>
          <w:b/>
          <w:color w:val="000000"/>
          <w:sz w:val="21"/>
        </w:rPr>
        <w:t>[***]</w:t>
      </w:r>
    </w:p>
    <w:p>
      <w:pPr>
        <w:pStyle w:val="TextBody"/>
        <w:bidi w:val="0"/>
        <w:spacing w:before="139" w:after="283"/>
        <w:ind w:left="216" w:right="0" w:hanging="0"/>
        <w:jc w:val="left"/>
        <w:rPr>
          <w:rFonts w:ascii="Arial" w:hAnsi="Arial"/>
          <w:b/>
          <w:color w:val="ED3034"/>
          <w:sz w:val="21"/>
        </w:rPr>
      </w:pPr>
      <w:r>
        <w:rPr>
          <w:rFonts w:ascii="Arial" w:hAnsi="Arial"/>
          <w:b/>
          <w:color w:val="ED3034"/>
          <w:sz w:val="21"/>
        </w:rPr>
        <w:t>Supporting Activities</w:t>
      </w:r>
    </w:p>
    <w:p>
      <w:pPr>
        <w:pStyle w:val="TextBody"/>
        <w:bidi w:val="0"/>
        <w:spacing w:before="0" w:after="720"/>
        <w:jc w:val="left"/>
        <w:rPr>
          <w:rFonts w:ascii="Arial" w:hAnsi="Arial"/>
          <w:b/>
          <w:color w:val="000000"/>
          <w:sz w:val="21"/>
        </w:rPr>
      </w:pPr>
      <w:r>
        <w:rPr>
          <w:rFonts w:ascii="Arial" w:hAnsi="Arial"/>
          <w:b/>
          <w:color w:val="000000"/>
          <w:sz w:val="21"/>
        </w:rPr>
        <w:t>[***]</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70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670" w:right="240" w:hanging="0"/>
        <w:jc w:val="left"/>
        <w:rPr/>
      </w:pPr>
      <w:r>
        <w:rPr/>
        <w:drawing>
          <wp:inline distT="0" distB="0" distL="0" distR="0">
            <wp:extent cx="1743075" cy="37147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76"/>
                    <a:stretch>
                      <a:fillRect/>
                    </a:stretch>
                  </pic:blipFill>
                  <pic:spPr bwMode="auto">
                    <a:xfrm>
                      <a:off x="0" y="0"/>
                      <a:ext cx="1743075" cy="371475"/>
                    </a:xfrm>
                    <a:prstGeom prst="rect">
                      <a:avLst/>
                    </a:prstGeom>
                  </pic:spPr>
                </pic:pic>
              </a:graphicData>
            </a:graphic>
          </wp:inline>
        </w:drawing>
      </w:r>
    </w:p>
    <w:p>
      <w:pPr>
        <w:pStyle w:val="TextBody"/>
        <w:bidi w:val="0"/>
        <w:ind w:left="216" w:right="0" w:hanging="0"/>
        <w:jc w:val="left"/>
        <w:rPr>
          <w:rFonts w:ascii="Arial" w:hAnsi="Arial"/>
          <w:b/>
          <w:color w:val="ED3034"/>
          <w:sz w:val="48"/>
        </w:rPr>
      </w:pPr>
      <w:r>
        <w:rPr>
          <w:rFonts w:ascii="Arial" w:hAnsi="Arial"/>
          <w:b/>
          <w:color w:val="ED3034"/>
          <w:sz w:val="48"/>
        </w:rPr>
        <w:t>Appendix II: Additional Information</w:t>
      </w:r>
    </w:p>
    <w:p>
      <w:pPr>
        <w:pStyle w:val="TextBody"/>
        <w:bidi w:val="0"/>
        <w:spacing w:before="374" w:after="368"/>
        <w:ind w:left="216" w:right="0" w:hanging="0"/>
        <w:jc w:val="left"/>
        <w:rPr>
          <w:rFonts w:ascii="Arial" w:hAnsi="Arial"/>
          <w:b/>
          <w:color w:val="4B4D4B"/>
          <w:sz w:val="29"/>
        </w:rPr>
      </w:pPr>
      <w:r>
        <w:rPr>
          <w:rFonts w:ascii="Arial" w:hAnsi="Arial"/>
          <w:b/>
          <w:color w:val="4B4D4B"/>
          <w:sz w:val="29"/>
        </w:rPr>
        <w:t>PPQ Support Studies</w:t>
      </w:r>
    </w:p>
    <w:p>
      <w:pPr>
        <w:pStyle w:val="TextBody"/>
        <w:bidi w:val="0"/>
        <w:ind w:left="216" w:right="216" w:hanging="0"/>
        <w:jc w:val="both"/>
        <w:rPr>
          <w:rFonts w:ascii="Arial" w:hAnsi="Arial"/>
          <w:color w:val="000000"/>
          <w:sz w:val="21"/>
        </w:rPr>
      </w:pPr>
      <w:r>
        <w:rPr>
          <w:rFonts w:ascii="Arial" w:hAnsi="Arial"/>
          <w:color w:val="000000"/>
          <w:sz w:val="21"/>
        </w:rPr>
        <w:t>[***]</w:t>
      </w:r>
    </w:p>
    <w:p>
      <w:pPr>
        <w:pStyle w:val="TextBody"/>
        <w:bidi w:val="0"/>
        <w:spacing w:before="327" w:after="283"/>
        <w:ind w:left="216" w:right="0" w:hanging="0"/>
        <w:jc w:val="left"/>
        <w:rPr>
          <w:rFonts w:ascii="Arial" w:hAnsi="Arial"/>
          <w:b/>
          <w:color w:val="4B4D4B"/>
          <w:sz w:val="29"/>
        </w:rPr>
      </w:pPr>
      <w:r>
        <w:rPr>
          <w:rFonts w:ascii="Arial" w:hAnsi="Arial"/>
          <w:b/>
          <w:color w:val="4B4D4B"/>
          <w:sz w:val="29"/>
        </w:rPr>
        <w:t>PPQ Batches/Commercial agreements</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136" w:after="720"/>
        <w:jc w:val="left"/>
        <w:rPr/>
      </w:pPr>
      <w:r>
        <w:rPr/>
        <w:t> </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71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75"/>
        <w:ind w:left="7648" w:right="262" w:hanging="0"/>
        <w:jc w:val="left"/>
        <w:rPr/>
      </w:pPr>
      <w:r>
        <w:rPr/>
        <w:drawing>
          <wp:inline distT="0" distB="0" distL="0" distR="0">
            <wp:extent cx="1743075" cy="37147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77"/>
                    <a:stretch>
                      <a:fillRect/>
                    </a:stretch>
                  </pic:blipFill>
                  <pic:spPr bwMode="auto">
                    <a:xfrm>
                      <a:off x="0" y="0"/>
                      <a:ext cx="1743075" cy="371475"/>
                    </a:xfrm>
                    <a:prstGeom prst="rect">
                      <a:avLst/>
                    </a:prstGeom>
                  </pic:spPr>
                </pic:pic>
              </a:graphicData>
            </a:graphic>
          </wp:inline>
        </w:drawing>
      </w:r>
    </w:p>
    <w:p>
      <w:pPr>
        <w:pStyle w:val="TextBody"/>
        <w:bidi w:val="0"/>
        <w:spacing w:before="0" w:after="413"/>
        <w:ind w:left="216" w:right="0" w:hanging="0"/>
        <w:jc w:val="left"/>
        <w:rPr>
          <w:rFonts w:ascii="Arial" w:hAnsi="Arial"/>
          <w:b/>
          <w:color w:val="4B4D4B"/>
          <w:sz w:val="29"/>
        </w:rPr>
      </w:pPr>
      <w:r>
        <w:rPr>
          <w:rFonts w:ascii="Arial" w:hAnsi="Arial"/>
          <w:b/>
          <w:color w:val="4B4D4B"/>
          <w:sz w:val="29"/>
        </w:rPr>
        <w:t>Shipment Support</w:t>
      </w:r>
    </w:p>
    <w:p>
      <w:pPr>
        <w:pStyle w:val="TextBody"/>
        <w:pBdr>
          <w:top w:val="single" w:sz="5" w:space="5" w:color="000000"/>
          <w:left w:val="single" w:sz="5" w:space="3" w:color="000000"/>
          <w:bottom w:val="single" w:sz="5" w:space="6" w:color="000000"/>
          <w:right w:val="single" w:sz="5" w:space="1" w:color="000000"/>
        </w:pBdr>
        <w:bidi w:val="0"/>
        <w:ind w:left="72" w:right="0" w:hanging="0"/>
        <w:jc w:val="center"/>
        <w:rPr>
          <w:rFonts w:ascii="Arial" w:hAnsi="Arial"/>
          <w:b/>
          <w:color w:val="000000"/>
          <w:sz w:val="32"/>
        </w:rPr>
      </w:pPr>
      <w:r>
        <w:rPr>
          <w:rFonts w:ascii="Arial" w:hAnsi="Arial"/>
          <w:b/>
          <w:color w:val="000000"/>
          <w:sz w:val="32"/>
        </w:rPr>
        <w:t>STANDARD SHIPMENT SUPPORT</w:t>
      </w:r>
    </w:p>
    <w:tbl>
      <w:tblPr>
        <w:tblW w:w="2260" w:type="dxa"/>
        <w:jc w:val="left"/>
        <w:tblInd w:w="0" w:type="dxa"/>
        <w:tblLayout w:type="fixed"/>
        <w:tblCellMar>
          <w:top w:w="28" w:type="dxa"/>
          <w:left w:w="28" w:type="dxa"/>
          <w:bottom w:w="28" w:type="dxa"/>
          <w:right w:w="28" w:type="dxa"/>
        </w:tblCellMar>
      </w:tblPr>
      <w:tblGrid>
        <w:gridCol w:w="1254"/>
        <w:gridCol w:w="1006"/>
      </w:tblGrid>
      <w:tr>
        <w:trPr/>
        <w:tc>
          <w:tcPr>
            <w:tcW w:w="12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254" w:type="dxa"/>
            <w:tcBorders>
              <w:top w:val="single" w:sz="5" w:space="0" w:color="000000"/>
              <w:left w:val="single" w:sz="5" w:space="0" w:color="000000"/>
              <w:bottom w:val="single" w:sz="5" w:space="0" w:color="000000"/>
              <w:right w:val="single" w:sz="5" w:space="0" w:color="000000"/>
            </w:tcBorders>
            <w:shd w:fill="D9D9D9" w:val="clear"/>
            <w:vAlign w:val="center"/>
          </w:tcPr>
          <w:p>
            <w:pPr>
              <w:pStyle w:val="TableContents"/>
              <w:bidi w:val="0"/>
              <w:spacing w:before="189" w:after="182"/>
              <w:ind w:left="0" w:right="758" w:hanging="0"/>
              <w:jc w:val="right"/>
              <w:rPr>
                <w:rFonts w:ascii="Arial" w:hAnsi="Arial"/>
                <w:b/>
                <w:color w:val="000000"/>
                <w:sz w:val="21"/>
              </w:rPr>
            </w:pPr>
            <w:r>
              <w:rPr>
                <w:rFonts w:ascii="Arial" w:hAnsi="Arial"/>
                <w:b/>
                <w:color w:val="000000"/>
                <w:sz w:val="21"/>
              </w:rPr>
              <w:t>[***]</w:t>
            </w:r>
          </w:p>
        </w:tc>
        <w:tc>
          <w:tcPr>
            <w:tcW w:w="1006" w:type="dxa"/>
            <w:tcBorders>
              <w:top w:val="single" w:sz="5" w:space="0" w:color="000000"/>
              <w:bottom w:val="single" w:sz="5" w:space="0" w:color="000000"/>
              <w:right w:val="single" w:sz="5" w:space="0" w:color="000000"/>
            </w:tcBorders>
            <w:shd w:fill="D9D9D9" w:val="clear"/>
            <w:tcMar>
              <w:left w:w="0" w:type="dxa"/>
            </w:tcMar>
            <w:vAlign w:val="center"/>
          </w:tcPr>
          <w:p>
            <w:pPr>
              <w:pStyle w:val="TableContents"/>
              <w:bidi w:val="0"/>
              <w:spacing w:before="0" w:after="42"/>
              <w:jc w:val="center"/>
              <w:rPr>
                <w:rFonts w:ascii="Times New Roman" w:hAnsi="Times New Roman"/>
                <w:sz w:val="19"/>
              </w:rPr>
            </w:pPr>
            <w:r>
              <w:rPr>
                <w:rFonts w:ascii="Arial" w:hAnsi="Arial"/>
                <w:b/>
                <w:color w:val="000000"/>
                <w:sz w:val="19"/>
              </w:rPr>
              <w:t xml:space="preserve">$[***] </w:t>
            </w:r>
            <w:r>
              <w:rPr>
                <w:rFonts w:ascii="Arial" w:hAnsi="Arial"/>
                <w:b/>
                <w:color w:val="000000"/>
                <w:sz w:val="18"/>
              </w:rPr>
              <w:t xml:space="preserve">Per </w:t>
              <w:br/>
              <w:t>Shipment</w:t>
            </w:r>
          </w:p>
        </w:tc>
      </w:tr>
    </w:tbl>
    <w:p>
      <w:pPr>
        <w:pStyle w:val="TextBody"/>
        <w:bidi w:val="0"/>
        <w:spacing w:before="32" w:after="283"/>
        <w:ind w:left="72" w:right="360" w:hanging="0"/>
        <w:jc w:val="left"/>
        <w:rPr>
          <w:rFonts w:ascii="Arial" w:hAnsi="Arial"/>
          <w:b/>
          <w:color w:val="000000"/>
          <w:sz w:val="21"/>
        </w:rPr>
      </w:pPr>
      <w:r>
        <w:rPr>
          <w:rFonts w:ascii="Arial" w:hAnsi="Arial"/>
          <w:b/>
          <w:color w:val="000000"/>
          <w:sz w:val="21"/>
        </w:rPr>
        <w: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267" w:after="75"/>
        <w:ind w:left="72" w:right="216" w:hanging="0"/>
        <w:jc w:val="left"/>
        <w:rPr/>
      </w:pPr>
      <w:r>
        <w:rPr/>
        <w:t> </w:t>
      </w:r>
    </w:p>
    <w:p>
      <w:pPr>
        <w:pStyle w:val="TextBody"/>
        <w:bidi w:val="0"/>
        <w:spacing w:before="97" w:after="283"/>
        <w:jc w:val="left"/>
        <w:rPr/>
      </w:pPr>
      <w:r>
        <w:rPr/>
        <w:t> </w:t>
      </w:r>
    </w:p>
    <w:p>
      <w:pPr>
        <w:pStyle w:val="TextBody"/>
        <w:bidi w:val="0"/>
        <w:spacing w:before="0" w:after="464"/>
        <w:jc w:val="left"/>
        <w:rPr/>
      </w:pPr>
      <w:r>
        <w:rPr/>
        <w:t> </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72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75"/>
        <w:ind w:left="7663" w:right="247" w:hanging="0"/>
        <w:jc w:val="left"/>
        <w:rPr/>
      </w:pPr>
      <w:r>
        <w:rPr/>
        <w:drawing>
          <wp:inline distT="0" distB="0" distL="0" distR="0">
            <wp:extent cx="1743075" cy="37147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78"/>
                    <a:stretch>
                      <a:fillRect/>
                    </a:stretch>
                  </pic:blipFill>
                  <pic:spPr bwMode="auto">
                    <a:xfrm>
                      <a:off x="0" y="0"/>
                      <a:ext cx="1743075" cy="371475"/>
                    </a:xfrm>
                    <a:prstGeom prst="rect">
                      <a:avLst/>
                    </a:prstGeom>
                  </pic:spPr>
                </pic:pic>
              </a:graphicData>
            </a:graphic>
          </wp:inline>
        </w:drawing>
      </w:r>
    </w:p>
    <w:p>
      <w:pPr>
        <w:pStyle w:val="TextBody"/>
        <w:bidi w:val="0"/>
        <w:ind w:left="216" w:right="0" w:hanging="0"/>
        <w:jc w:val="left"/>
        <w:rPr>
          <w:rFonts w:ascii="Arial" w:hAnsi="Arial"/>
          <w:b/>
          <w:color w:val="4B4D4B"/>
          <w:sz w:val="29"/>
        </w:rPr>
      </w:pPr>
      <w:r>
        <w:rPr>
          <w:rFonts w:ascii="Arial" w:hAnsi="Arial"/>
          <w:b/>
          <w:color w:val="4B4D4B"/>
          <w:sz w:val="29"/>
        </w:rPr>
        <w:t>Cancellation Fees</w:t>
      </w:r>
    </w:p>
    <w:p>
      <w:pPr>
        <w:pStyle w:val="TextBody"/>
        <w:bidi w:val="0"/>
        <w:spacing w:before="258" w:after="283"/>
        <w:ind w:left="216" w:right="216" w:hanging="0"/>
        <w:jc w:val="both"/>
        <w:rPr>
          <w:rFonts w:ascii="Arial" w:hAnsi="Arial"/>
          <w:b/>
          <w:color w:val="000000"/>
          <w:sz w:val="21"/>
        </w:rPr>
      </w:pPr>
      <w:r>
        <w:rPr>
          <w:rFonts w:ascii="Arial" w:hAnsi="Arial"/>
          <w:b/>
          <w:color w:val="000000"/>
          <w:sz w:val="21"/>
        </w:rPr>
        <w:t>[***]</w:t>
      </w:r>
    </w:p>
    <w:p>
      <w:pPr>
        <w:pStyle w:val="TextBody"/>
        <w:bidi w:val="0"/>
        <w:spacing w:before="258" w:after="283"/>
        <w:ind w:left="216" w:right="216" w:hanging="0"/>
        <w:jc w:val="both"/>
        <w:rPr>
          <w:rFonts w:ascii="Arial" w:hAnsi="Arial"/>
          <w:color w:val="000000"/>
          <w:sz w:val="21"/>
        </w:rPr>
      </w:pPr>
      <w:r>
        <w:rPr>
          <w:rFonts w:ascii="Arial" w:hAnsi="Arial"/>
          <w:color w:val="000000"/>
          <w:sz w:val="21"/>
        </w:rPr>
        <w:t>[***]</w:t>
      </w:r>
    </w:p>
    <w:p>
      <w:pPr>
        <w:pStyle w:val="TextBody"/>
        <w:bidi w:val="0"/>
        <w:spacing w:before="0" w:after="720"/>
        <w:jc w:val="left"/>
        <w:rPr/>
      </w:pPr>
      <w:r>
        <w:rPr/>
        <w:t> </w:t>
      </w:r>
    </w:p>
    <w:p>
      <w:pPr>
        <w:pStyle w:val="TextBody"/>
        <w:bidi w:val="0"/>
        <w:spacing w:before="116" w:after="283"/>
        <w:ind w:left="144" w:right="0" w:hanging="0"/>
        <w:jc w:val="left"/>
        <w:rPr>
          <w:rFonts w:ascii="Arial" w:hAnsi="Arial"/>
          <w:b/>
          <w:color w:val="000000"/>
          <w:sz w:val="16"/>
        </w:rPr>
      </w:pPr>
      <w:r>
        <w:rPr>
          <w:rFonts w:ascii="Arial" w:hAnsi="Arial"/>
          <w:b/>
          <w:color w:val="000000"/>
          <w:sz w:val="16"/>
        </w:rPr>
        <w:t>[***] Arcturus Therapeutics</w:t>
      </w:r>
    </w:p>
    <w:p>
      <w:pPr>
        <w:pStyle w:val="TextBody"/>
        <w:bidi w:val="0"/>
        <w:spacing w:before="39" w:after="283"/>
        <w:ind w:left="144" w:right="0" w:hanging="0"/>
        <w:jc w:val="left"/>
        <w:rPr>
          <w:rFonts w:ascii="Arial" w:hAnsi="Arial"/>
          <w:b/>
          <w:color w:val="000000"/>
          <w:sz w:val="16"/>
        </w:rPr>
      </w:pPr>
      <w:r>
        <w:rPr>
          <w:rFonts w:ascii="Arial" w:hAnsi="Arial"/>
          <w:b/>
          <w:color w:val="000000"/>
          <w:sz w:val="16"/>
        </w:rPr>
        <w:t>[***] [***]</w:t>
      </w:r>
    </w:p>
    <w:p>
      <w:pPr>
        <w:pStyle w:val="TextBody"/>
        <w:bidi w:val="0"/>
        <w:spacing w:before="39" w:after="283"/>
        <w:ind w:left="144" w:right="0" w:hanging="0"/>
        <w:jc w:val="left"/>
        <w:rPr>
          <w:rFonts w:ascii="Arial" w:hAnsi="Arial"/>
          <w:b/>
          <w:color w:val="000000"/>
          <w:sz w:val="16"/>
        </w:rPr>
      </w:pPr>
      <w:r>
        <w:rPr>
          <w:rFonts w:ascii="Arial" w:hAnsi="Arial"/>
          <w:b/>
          <w:color w:val="000000"/>
          <w:sz w:val="16"/>
        </w:rPr>
        <w:t>Confidential Page 73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646" w:right="264" w:hanging="0"/>
        <w:jc w:val="left"/>
        <w:rPr/>
      </w:pPr>
      <w:r>
        <w:rPr/>
        <w:drawing>
          <wp:inline distT="0" distB="0" distL="0" distR="0">
            <wp:extent cx="1743075" cy="371475"/>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79"/>
                    <a:stretch>
                      <a:fillRect/>
                    </a:stretch>
                  </pic:blipFill>
                  <pic:spPr bwMode="auto">
                    <a:xfrm>
                      <a:off x="0" y="0"/>
                      <a:ext cx="1743075" cy="371475"/>
                    </a:xfrm>
                    <a:prstGeom prst="rect">
                      <a:avLst/>
                    </a:prstGeom>
                  </pic:spPr>
                </pic:pic>
              </a:graphicData>
            </a:graphic>
          </wp:inline>
        </w:drawing>
      </w:r>
    </w:p>
    <w:p>
      <w:pPr>
        <w:pStyle w:val="TextBody"/>
        <w:bidi w:val="0"/>
        <w:spacing w:before="0" w:after="190"/>
        <w:ind w:left="144" w:right="0" w:hanging="0"/>
        <w:jc w:val="left"/>
        <w:rPr>
          <w:rFonts w:ascii="Arial" w:hAnsi="Arial"/>
          <w:b/>
          <w:color w:val="ED3034"/>
          <w:sz w:val="48"/>
        </w:rPr>
      </w:pPr>
      <w:r>
        <w:rPr>
          <w:rFonts w:ascii="Arial" w:hAnsi="Arial"/>
          <w:b/>
          <w:color w:val="ED3034"/>
          <w:sz w:val="48"/>
        </w:rPr>
        <w:t>Part F: Standard Assumptions</w:t>
      </w:r>
    </w:p>
    <w:p>
      <w:pPr>
        <w:pStyle w:val="TextBody"/>
        <w:bidi w:val="0"/>
        <w:spacing w:before="0" w:after="190"/>
        <w:ind w:left="144" w:right="0" w:hanging="0"/>
        <w:jc w:val="left"/>
        <w:rPr>
          <w:rFonts w:ascii="Arial" w:hAnsi="Arial"/>
          <w:b/>
          <w:color w:val="ED3034"/>
          <w:sz w:val="48"/>
        </w:rPr>
      </w:pPr>
      <w:r>
        <w:rPr>
          <w:rFonts w:ascii="Arial" w:hAnsi="Arial"/>
          <w:b/>
          <w:color w:val="ED3034"/>
          <w:sz w:val="48"/>
        </w:rPr>
        <w:t>[***]</w:t>
      </w:r>
    </w:p>
    <w:p>
      <w:pPr>
        <w:pStyle w:val="TextBody"/>
        <w:bidi w:val="0"/>
        <w:spacing w:before="0" w:after="720"/>
        <w:jc w:val="left"/>
        <w:rPr/>
      </w:pPr>
      <w:r>
        <w:rPr/>
        <w:t> </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76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Exhibit 10.40</w:t>
      </w:r>
    </w:p>
    <w:p>
      <w:pPr>
        <w:pStyle w:val="TextBody"/>
        <w:bidi w:val="0"/>
        <w:spacing w:before="14" w:after="295"/>
        <w:ind w:left="7660" w:right="250" w:hanging="0"/>
        <w:jc w:val="left"/>
        <w:rPr/>
      </w:pPr>
      <w:r>
        <w:rPr/>
        <w:drawing>
          <wp:inline distT="0" distB="0" distL="0" distR="0">
            <wp:extent cx="1743075" cy="37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80"/>
                    <a:stretch>
                      <a:fillRect/>
                    </a:stretch>
                  </pic:blipFill>
                  <pic:spPr bwMode="auto">
                    <a:xfrm>
                      <a:off x="0" y="0"/>
                      <a:ext cx="1743075" cy="371475"/>
                    </a:xfrm>
                    <a:prstGeom prst="rect">
                      <a:avLst/>
                    </a:prstGeom>
                  </pic:spPr>
                </pic:pic>
              </a:graphicData>
            </a:graphic>
          </wp:inline>
        </w:drawing>
      </w:r>
    </w:p>
    <w:p>
      <w:pPr>
        <w:pStyle w:val="TextBody"/>
        <w:bidi w:val="0"/>
        <w:spacing w:before="0" w:after="317"/>
        <w:ind w:left="216" w:right="0" w:hanging="0"/>
        <w:jc w:val="left"/>
        <w:rPr>
          <w:rFonts w:ascii="Arial" w:hAnsi="Arial"/>
          <w:b/>
          <w:color w:val="ED3034"/>
          <w:sz w:val="48"/>
        </w:rPr>
      </w:pPr>
      <w:r>
        <w:rPr>
          <w:rFonts w:ascii="Arial" w:hAnsi="Arial"/>
          <w:b/>
          <w:color w:val="ED3034"/>
          <w:sz w:val="48"/>
        </w:rPr>
        <w:t>Part G: Proposal Revision History</w:t>
      </w:r>
    </w:p>
    <w:p>
      <w:pPr>
        <w:pStyle w:val="TextBody"/>
        <w:bidi w:val="0"/>
        <w:spacing w:before="0" w:after="317"/>
        <w:ind w:left="216" w:right="0" w:hanging="0"/>
        <w:jc w:val="left"/>
        <w:rPr>
          <w:rFonts w:ascii="Arial" w:hAnsi="Arial"/>
          <w:b/>
          <w:color w:val="ED3034"/>
          <w:sz w:val="48"/>
        </w:rPr>
      </w:pPr>
      <w:r>
        <w:rPr>
          <w:rFonts w:ascii="Arial" w:hAnsi="Arial"/>
          <w:b/>
          <w:color w:val="ED3034"/>
          <w:sz w:val="48"/>
        </w:rPr>
        <w:t>[***]</w:t>
      </w:r>
    </w:p>
    <w:p>
      <w:pPr>
        <w:pStyle w:val="TextBody"/>
        <w:bidi w:val="0"/>
        <w:spacing w:before="0" w:after="720"/>
        <w:jc w:val="left"/>
        <w:rPr/>
      </w:pPr>
      <w:r>
        <w:rPr/>
        <w:t> </w:t>
      </w:r>
    </w:p>
    <w:p>
      <w:pPr>
        <w:pStyle w:val="TextBody"/>
        <w:bidi w:val="0"/>
        <w:spacing w:before="114" w:after="283"/>
        <w:ind w:left="144" w:right="0" w:hanging="0"/>
        <w:jc w:val="left"/>
        <w:rPr>
          <w:rFonts w:ascii="Arial" w:hAnsi="Arial"/>
          <w:b/>
          <w:color w:val="000000"/>
          <w:sz w:val="17"/>
        </w:rPr>
      </w:pPr>
      <w:r>
        <w:rPr>
          <w:rFonts w:ascii="Arial" w:hAnsi="Arial"/>
          <w:b/>
          <w:color w:val="000000"/>
          <w:sz w:val="17"/>
        </w:rPr>
        <w:t>[***] Arcturus Therapeutics</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 [***]</w:t>
      </w:r>
    </w:p>
    <w:p>
      <w:pPr>
        <w:pStyle w:val="TextBody"/>
        <w:bidi w:val="0"/>
        <w:spacing w:before="37" w:after="283"/>
        <w:ind w:left="144" w:right="0" w:hanging="0"/>
        <w:jc w:val="left"/>
        <w:rPr>
          <w:rFonts w:ascii="Arial" w:hAnsi="Arial"/>
          <w:b/>
          <w:color w:val="000000"/>
          <w:sz w:val="17"/>
        </w:rPr>
      </w:pPr>
      <w:r>
        <w:rPr>
          <w:rFonts w:ascii="Arial" w:hAnsi="Arial"/>
          <w:b/>
          <w:color w:val="000000"/>
          <w:sz w:val="17"/>
        </w:rPr>
        <w:t>Confidential Page 77 of 77</w:t>
      </w:r>
    </w:p>
    <w:p>
      <w:pPr>
        <w:pStyle w:val="TextBody"/>
        <w:bidi w:val="0"/>
        <w:jc w:val="left"/>
        <w:rPr>
          <w:rFonts w:ascii="Arial" w:hAnsi="Arial"/>
          <w:color w:val="000000"/>
          <w:sz w:val="16"/>
        </w:rPr>
      </w:pPr>
      <w:r>
        <w:rPr>
          <w:rFonts w:ascii="Arial" w:hAnsi="Arial"/>
          <w:color w:val="000000"/>
          <w:sz w:val="16"/>
        </w:rPr>
        <w:t>DOCPROPERTY "CUS_DocIDChunk0" US_ACTIVE\138156141\V-2</w:t>
      </w:r>
    </w:p>
    <w:p>
      <w:pPr>
        <w:pStyle w:val="HorizontalLine"/>
        <w:pBdr>
          <w:bottom w:val="double" w:sz="2" w:space="0" w:color="808080"/>
        </w:pBdr>
        <w:bidi w:val="0"/>
        <w:spacing w:before="0" w:after="283"/>
        <w:jc w:val="left"/>
        <w:rPr/>
      </w:pPr>
      <w:r>
        <w:rPr/>
      </w:r>
    </w:p>
    <w:p>
      <w:pPr>
        <w:pStyle w:val="TextBody"/>
        <w:bidi w:val="0"/>
        <w:jc w:val="left"/>
        <w:rPr/>
      </w:pPr>
      <w:bookmarkStart w:id="27" w:name="arct-ex31_1.htm"/>
      <w:bookmarkStart w:id="28" w:name="ksarctex31_1"/>
      <w:bookmarkEnd w:id="27"/>
      <w:bookmarkEnd w:id="28"/>
      <w:r>
        <w:rPr/>
        <w:t> </w:t>
      </w:r>
      <w:r>
        <w:br w:type="page"/>
      </w:r>
    </w:p>
    <w:p>
      <w:pPr>
        <w:pStyle w:val="TextBody"/>
        <w:bidi w:val="0"/>
        <w:jc w:val="right"/>
        <w:rPr>
          <w:rFonts w:ascii="Times New Roman" w:hAnsi="Times New Roman"/>
          <w:b/>
          <w:color w:val="000000"/>
          <w:sz w:val="20"/>
        </w:rPr>
      </w:pPr>
      <w:bookmarkStart w:id="29" w:name="exhibit_index"/>
      <w:bookmarkEnd w:id="29"/>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rct-ex31_2.htm"/>
      <w:bookmarkStart w:id="31" w:name="ksarct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Dennis Mulroy,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1846"/>
        <w:gridCol w:w="109"/>
        <w:gridCol w:w="406"/>
        <w:gridCol w:w="37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Mulroy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Mulroy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rct-ex32_1.htm"/>
      <w:bookmarkStart w:id="33" w:name="ksarct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rct-ex32_2.htm"/>
      <w:bookmarkStart w:id="35" w:name="ksarct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Corporate Controller of Arcturus Therapeutics Holdings Inc. (the "Company"), hereby certifies on the date hereof, pursuant to 18 U.S.C. 1350(a), as adopted pursuant to Section 906 of The Sarbanes-Oxley Act of 2002, that the Quarterly Report on Form 10-Q for the period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1846"/>
        <w:gridCol w:w="109"/>
        <w:gridCol w:w="406"/>
        <w:gridCol w:w="37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Mulroy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Mulroy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768224/000119380522001786/e618047_ex1-2.htm" TargetMode="External"/><Relationship Id="rId5" Type="http://schemas.openxmlformats.org/officeDocument/2006/relationships/hyperlink" Target="https://www.sec.gov/Archives/edgar/data/1768224/000119380523001112/e618839_ex1-1.htm" TargetMode="External"/><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1566049/000119380518001024/e618195_ex99-2.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1566049/000156459018013460/arct-ex411_878.htm" TargetMode="External"/><Relationship Id="rId16" Type="http://schemas.openxmlformats.org/officeDocument/2006/relationships/hyperlink" Target="https://www.sec.gov/Archives/edgar/data/1768224/000156459019032166/arct-ex1016_165.htm" TargetMode="External"/><Relationship Id="rId17" Type="http://schemas.openxmlformats.org/officeDocument/2006/relationships/hyperlink" Target="https://www.sec.gov/Archives/edgar/data/1566049/000156459018013460/arct-ex414_877.htm" TargetMode="External"/><Relationship Id="rId18" Type="http://schemas.openxmlformats.org/officeDocument/2006/relationships/hyperlink" Target="https://www.sec.gov/Archives/edgar/data/1566049/000156459019011220/arct-ex1014_6.htm" TargetMode="External"/><Relationship Id="rId19" Type="http://schemas.openxmlformats.org/officeDocument/2006/relationships/hyperlink" Target="https://www.sec.gov/Archives/edgar/data/1566049/000156459018013460/arct-ex46_882.htm" TargetMode="External"/><Relationship Id="rId20" Type="http://schemas.openxmlformats.org/officeDocument/2006/relationships/hyperlink" Target="https://www.sec.gov/Archives/edgar/data/1768224/000156459020011037/arct-ex1023_426.htm" TargetMode="External"/><Relationship Id="rId21" Type="http://schemas.openxmlformats.org/officeDocument/2006/relationships/hyperlink" Target="https://www.sec.gov/Archives/edgar/data/0001768224/000156459020011037/arct-ex1024_365.htm" TargetMode="External"/><Relationship Id="rId22" Type="http://schemas.openxmlformats.org/officeDocument/2006/relationships/hyperlink" Target="https://www.sec.gov/Archives/edgar/data/1768224/000156459020052527/arct-ex1033_98.htm" TargetMode="External"/><Relationship Id="rId23" Type="http://schemas.openxmlformats.org/officeDocument/2006/relationships/hyperlink" Target="https://www.sec.gov/Archives/edgar/data/0001768224/000119380520000940/e619825_ex4-3.htm" TargetMode="External"/><Relationship Id="rId24" Type="http://schemas.openxmlformats.org/officeDocument/2006/relationships/hyperlink" Target="https://www.sec.gov/Archives/edgar/data/1768224/000156459021009872/arct-ex1029_392.htm" TargetMode="External"/><Relationship Id="rId25" Type="http://schemas.openxmlformats.org/officeDocument/2006/relationships/hyperlink" Target="https://www.sec.gov/Archives/edgar/data/1768224/000156459021009872/arct-ex1030_393.htm" TargetMode="External"/><Relationship Id="rId26" Type="http://schemas.openxmlformats.org/officeDocument/2006/relationships/hyperlink" Target="https://www.sec.gov/Archives/edgar/data/1768224/000119380521000538/e620514_ex10-1.htm" TargetMode="External"/><Relationship Id="rId27" Type="http://schemas.openxmlformats.org/officeDocument/2006/relationships/hyperlink" Target="https://www.sec.gov/Archives/edgar/data/1768224/000119312519173808/d826633dex101.htm" TargetMode="External"/><Relationship Id="rId28" Type="http://schemas.openxmlformats.org/officeDocument/2006/relationships/hyperlink" Target="https://www.sec.gov/Archives/edgar/data/1768224/000119312519173808/d826633dex102.htm" TargetMode="External"/><Relationship Id="rId29" Type="http://schemas.openxmlformats.org/officeDocument/2006/relationships/hyperlink" Target="https://www.sec.gov/Archives/edgar/data/1768224/000119312519173808/d826633dex103.htm" TargetMode="External"/><Relationship Id="rId30" Type="http://schemas.openxmlformats.org/officeDocument/2006/relationships/hyperlink" Target="https://www.sec.gov/Archives/edgar/data/1768224/000119380521001468/e621018_ex4-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1768224/000156459021042750/arct-ex1032_47.htm" TargetMode="External"/><Relationship Id="rId33" Type="http://schemas.openxmlformats.org/officeDocument/2006/relationships/hyperlink" Target="https://www.sec.gov/Archives/edgar/data/1768224/000156459021042750/arct-ex1033_46.htm" TargetMode="External"/><Relationship Id="rId34" Type="http://schemas.openxmlformats.org/officeDocument/2006/relationships/hyperlink" Target="https://www.sec.gov/Archives/edgar/data/1768224/000119380522001014/e621778_ex10-1.htm" TargetMode="External"/><Relationship Id="rId35" Type="http://schemas.openxmlformats.org/officeDocument/2006/relationships/hyperlink" Target="https://www.sec.gov/Archives/edgar/data/1768224/000119380522001480/e617791_ex10-1.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095017022023969/arct-ex10_38.htm" TargetMode="External"/><Relationship Id="rId38" Type="http://schemas.openxmlformats.org/officeDocument/2006/relationships/hyperlink" Target="https://www.sec.gov/Archives/edgar/data/1768224/000095017023010380/arct-ex10_41.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9773/arct-ex10_28.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9.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30.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63778/arct-ex10_31.htm" TargetMode="External"/><Relationship Id="rId47" Type="http://schemas.openxmlformats.org/officeDocument/2006/relationships/hyperlink" Target="https://www.sec.gov/Archives/edgar/data/1768224/000095017023063778/arct-ex10_31.htm" TargetMode="External"/><Relationship Id="rId48" Type="http://schemas.openxmlformats.org/officeDocument/2006/relationships/hyperlink" Target="https://www.sec.gov/Archives/edgar/data/1768224/000095017023063778/arct-ex10_32.htm" TargetMode="External"/><Relationship Id="rId49" Type="http://schemas.openxmlformats.org/officeDocument/2006/relationships/hyperlink" Target="https://www.sec.gov/Archives/edgar/data/1768224/000095017023063778/arct-ex10_32.htm" TargetMode="External"/><Relationship Id="rId50" Type="http://schemas.openxmlformats.org/officeDocument/2006/relationships/hyperlink" Target="https://www.sec.gov/Archives/edgar/data/1768224/000095017024090905/arct-ex10_35.htm" TargetMode="External"/><Relationship Id="rId51" Type="http://schemas.openxmlformats.org/officeDocument/2006/relationships/hyperlink" Target="https://www.sec.gov/Archives/edgar/data/1768224/000095017024123469/arct-ex10_36.htm" TargetMode="External"/><Relationship Id="rId52" Type="http://schemas.openxmlformats.org/officeDocument/2006/relationships/hyperlink" Target="https://www.sec.gov/Archives/edgar/data/1768224/000119380525001734/e665044_ex10-1.htm" TargetMode="External"/><Relationship Id="rId53" Type="http://schemas.openxmlformats.org/officeDocument/2006/relationships/hyperlink" Target="https://www.sec.gov/Archives/edgar/data/1768224/000119380525001734/e665044_ex10-2.htm" TargetMode="External"/><Relationship Id="rId54" Type="http://schemas.openxmlformats.org/officeDocument/2006/relationships/hyperlink" Target="https://www.sec.gov/Archives/edgar/data/1768224/000119380526000573/e665435_ex10-1.htm" TargetMode="External"/><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6.jpeg"/><Relationship Id="rId63" Type="http://schemas.openxmlformats.org/officeDocument/2006/relationships/image" Target="media/image5.jpeg"/><Relationship Id="rId64" Type="http://schemas.openxmlformats.org/officeDocument/2006/relationships/image" Target="media/image7.jpeg"/><Relationship Id="rId65" Type="http://schemas.openxmlformats.org/officeDocument/2006/relationships/image" Target="media/image4.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image" Target="media/image5.jpeg"/><Relationship Id="rId69" Type="http://schemas.openxmlformats.org/officeDocument/2006/relationships/image" Target="media/image5.jpeg"/><Relationship Id="rId70" Type="http://schemas.openxmlformats.org/officeDocument/2006/relationships/image" Target="media/image5.jpeg"/><Relationship Id="rId71" Type="http://schemas.openxmlformats.org/officeDocument/2006/relationships/image" Target="media/image5.jpeg"/><Relationship Id="rId72" Type="http://schemas.openxmlformats.org/officeDocument/2006/relationships/image" Target="media/image5.jpeg"/><Relationship Id="rId73" Type="http://schemas.openxmlformats.org/officeDocument/2006/relationships/image" Target="media/image5.jpeg"/><Relationship Id="rId74" Type="http://schemas.openxmlformats.org/officeDocument/2006/relationships/image" Target="media/image5.jpeg"/><Relationship Id="rId75" Type="http://schemas.openxmlformats.org/officeDocument/2006/relationships/image" Target="media/image5.jpeg"/><Relationship Id="rId76" Type="http://schemas.openxmlformats.org/officeDocument/2006/relationships/image" Target="media/image5.jpeg"/><Relationship Id="rId77" Type="http://schemas.openxmlformats.org/officeDocument/2006/relationships/image" Target="media/image5.jpeg"/><Relationship Id="rId78" Type="http://schemas.openxmlformats.org/officeDocument/2006/relationships/image" Target="media/image5.jpeg"/><Relationship Id="rId79" Type="http://schemas.openxmlformats.org/officeDocument/2006/relationships/image" Target="media/image5.jpeg"/><Relationship Id="rId80" Type="http://schemas.openxmlformats.org/officeDocument/2006/relationships/image" Target="media/image5.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31233</Words>
  <Characters>176523</Characters>
  <CharactersWithSpaces>207573</CharactersWithSpaces>
  <Paragraphs>5203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