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November 2015 (Report No. 3)</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8"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jc w:val="center"/>
        <w:ind w:right="-1200"/>
        <w:spacing w:after="0"/>
        <w:rPr>
          <w:sz w:val="20"/>
          <w:szCs w:val="20"/>
          <w:color w:val="auto"/>
        </w:rPr>
      </w:pPr>
      <w:r>
        <w:rPr>
          <w:rFonts w:ascii="Arial" w:cs="Arial" w:eastAsia="Arial" w:hAnsi="Arial"/>
          <w:sz w:val="18"/>
          <w:szCs w:val="18"/>
          <w:color w:val="auto"/>
        </w:rPr>
        <w:t>132 Derech Menachem Begin</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Regulations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Regulations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right="200"/>
        <w:spacing w:after="0" w:line="279" w:lineRule="auto"/>
        <w:rPr>
          <w:sz w:val="20"/>
          <w:szCs w:val="20"/>
          <w:color w:val="auto"/>
        </w:rPr>
      </w:pPr>
      <w:r>
        <w:rPr>
          <w:rFonts w:ascii="Arial" w:cs="Arial" w:eastAsia="Arial" w:hAnsi="Arial"/>
          <w:sz w:val="17"/>
          <w:szCs w:val="17"/>
          <w:color w:val="auto"/>
        </w:rPr>
        <w:t>On November 13, 2015, the registrant entered into an underwriting agreement with Jefferies LLC and Barclays Capital Inc., as representatives of the underwriters named therein, or the Underwriting Agreement, for a firm commitment public offering of 6,175,000 ordinary shares. The price to the public is $6.50 per ordinary share and aggregate gross proceeds of the offering are $40,137,500. The registrant’s press release containing additional details of the offering is filed as Exhibit 99.1 hereto, and the Underwriting Agreement is filed as Exhibit 1.1.</w:t>
      </w:r>
    </w:p>
    <w:p>
      <w:pPr>
        <w:spacing w:after="0" w:line="17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This Report of Foreign Private Issuer on Form 6-K and the attached exhibits are incorporated by reference into the Registration Statements on Form F-3 (File No. 333-197411) and Forms S-8 (File No. 333-194875 and File No. 333-202394) of the registrant, filed with the Securities and Exchange Commission, to be a part thereof from the date on which this report is submitted, to the extent not superseded by documents or reports subsequently filed or furnished.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4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100" w:type="dxa"/>
            <w:vAlign w:val="bottom"/>
          </w:tcPr>
          <w:p>
            <w:pPr>
              <w:spacing w:after="0"/>
              <w:rPr>
                <w:sz w:val="17"/>
                <w:szCs w:val="17"/>
                <w:color w:val="auto"/>
              </w:rPr>
            </w:pPr>
          </w:p>
        </w:tc>
      </w:tr>
      <w:tr>
        <w:trPr>
          <w:trHeight w:val="438"/>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w w:val="90"/>
              </w:rPr>
              <w:t>Underwriting Agreement, dated November 13, 2015, between the registrant and Jefferies LLC and Barclays Capital Inc., as representatives of the</w:t>
            </w:r>
          </w:p>
        </w:tc>
      </w:tr>
      <w:tr>
        <w:trPr>
          <w:trHeight w:val="230"/>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underwriters named therein.</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Opinion of Zysman Aharoni Gayer &amp; Co., Law Offices.</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Consent of Zysman Aharoni Gayer &amp; Co., Law Offices (included in Exhibit 5.1).</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10640" w:type="dxa"/>
            <w:vAlign w:val="bottom"/>
            <w:gridSpan w:val="3"/>
          </w:tcPr>
          <w:p>
            <w:pPr>
              <w:ind w:left="160"/>
              <w:spacing w:after="0"/>
              <w:rPr>
                <w:sz w:val="20"/>
                <w:szCs w:val="20"/>
                <w:color w:val="auto"/>
              </w:rPr>
            </w:pPr>
            <w:r>
              <w:rPr>
                <w:rFonts w:ascii="Arial" w:cs="Arial" w:eastAsia="Arial" w:hAnsi="Arial"/>
                <w:sz w:val="18"/>
                <w:szCs w:val="18"/>
                <w:color w:val="auto"/>
              </w:rPr>
              <w:t>Press Release dated November 13, 2015.</w:t>
            </w:r>
          </w:p>
        </w:tc>
      </w:tr>
      <w:tr>
        <w:trPr>
          <w:trHeight w:val="39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SIGNATURES</w:t>
            </w:r>
          </w:p>
        </w:tc>
        <w:tc>
          <w:tcPr>
            <w:tcW w:w="5100" w:type="dxa"/>
            <w:vAlign w:val="bottom"/>
          </w:tcPr>
          <w:p>
            <w:pPr>
              <w:spacing w:after="0"/>
              <w:rPr>
                <w:sz w:val="24"/>
                <w:szCs w:val="24"/>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Dr. Yaron Daniely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9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 and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6,175,000 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Ordinary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November 13,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Alcobra Ltd., a corporation incorporated under the laws of the State of Israel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proposes to sell to the several Underwriters named in Schedule I hereto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xml:space="preserve">) an aggregate of 6,175,000 (the </w:t>
      </w:r>
      <w:r>
        <w:rPr>
          <w:rFonts w:ascii="Arial" w:cs="Arial" w:eastAsia="Arial" w:hAnsi="Arial"/>
          <w:sz w:val="18"/>
          <w:szCs w:val="18"/>
          <w:b w:val="1"/>
          <w:bCs w:val="1"/>
          <w:i w:val="1"/>
          <w:iCs w:val="1"/>
          <w:color w:val="auto"/>
        </w:rPr>
        <w:t>“Firm Shares”</w:t>
      </w:r>
      <w:r>
        <w:rPr>
          <w:rFonts w:ascii="Arial" w:cs="Arial" w:eastAsia="Arial" w:hAnsi="Arial"/>
          <w:sz w:val="18"/>
          <w:szCs w:val="18"/>
          <w:color w:val="auto"/>
        </w:rPr>
        <w:t xml:space="preserve">) Ordinary Shares, NIS 0.01 par value per share (the </w:t>
      </w:r>
      <w:r>
        <w:rPr>
          <w:rFonts w:ascii="Arial" w:cs="Arial" w:eastAsia="Arial" w:hAnsi="Arial"/>
          <w:sz w:val="18"/>
          <w:szCs w:val="18"/>
          <w:b w:val="1"/>
          <w:bCs w:val="1"/>
          <w:i w:val="1"/>
          <w:iCs w:val="1"/>
          <w:color w:val="auto"/>
        </w:rPr>
        <w:t>“Ordinary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 The Company has also granted to the several Underwriters an option to purchase up to 926,250 additional Ordinary Shares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terms and for the purposes set forth in Section 3 hereof (the </w:t>
      </w:r>
      <w:r>
        <w:rPr>
          <w:rFonts w:ascii="Arial" w:cs="Arial" w:eastAsia="Arial" w:hAnsi="Arial"/>
          <w:sz w:val="18"/>
          <w:szCs w:val="18"/>
          <w:b w:val="1"/>
          <w:bCs w:val="1"/>
          <w:i w:val="1"/>
          <w:iCs w:val="1"/>
          <w:color w:val="auto"/>
        </w:rPr>
        <w:t>“Option Shares”</w:t>
      </w:r>
      <w:r>
        <w:rPr>
          <w:rFonts w:ascii="Arial" w:cs="Arial" w:eastAsia="Arial" w:hAnsi="Arial"/>
          <w:sz w:val="18"/>
          <w:szCs w:val="18"/>
          <w:color w:val="auto"/>
        </w:rPr>
        <w:t xml:space="preserve">). The Firm Shares and any Option Shares purchased pursuant to this Underwriting Agreement are herein collectively called the </w:t>
      </w:r>
      <w:r>
        <w:rPr>
          <w:rFonts w:ascii="Arial" w:cs="Arial" w:eastAsia="Arial" w:hAnsi="Arial"/>
          <w:sz w:val="18"/>
          <w:szCs w:val="18"/>
          <w:b w:val="1"/>
          <w:bCs w:val="1"/>
          <w:i w:val="1"/>
          <w:iCs w:val="1"/>
          <w:color w:val="auto"/>
        </w:rPr>
        <w:t>“Securities.”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hereby confirms its agreement with respect to the sale of the Securities to the several Underwriters, for whom Jefferies LLC (“</w:t>
      </w:r>
      <w:r>
        <w:rPr>
          <w:rFonts w:ascii="Arial" w:cs="Arial" w:eastAsia="Arial" w:hAnsi="Arial"/>
          <w:sz w:val="18"/>
          <w:szCs w:val="18"/>
          <w:b w:val="1"/>
          <w:bCs w:val="1"/>
          <w:i w:val="1"/>
          <w:iCs w:val="1"/>
          <w:color w:val="auto"/>
        </w:rPr>
        <w:t>Jefferies</w:t>
      </w:r>
      <w:r>
        <w:rPr>
          <w:rFonts w:ascii="Arial" w:cs="Arial" w:eastAsia="Arial" w:hAnsi="Arial"/>
          <w:sz w:val="18"/>
          <w:szCs w:val="18"/>
          <w:color w:val="auto"/>
        </w:rPr>
        <w:t>”) and Barclays Capital Inc. (“</w:t>
      </w:r>
      <w:r>
        <w:rPr>
          <w:rFonts w:ascii="Arial" w:cs="Arial" w:eastAsia="Arial" w:hAnsi="Arial"/>
          <w:sz w:val="18"/>
          <w:szCs w:val="18"/>
          <w:b w:val="1"/>
          <w:bCs w:val="1"/>
          <w:i w:val="1"/>
          <w:iCs w:val="1"/>
          <w:color w:val="auto"/>
        </w:rPr>
        <w:t>Barclays</w:t>
      </w:r>
      <w:r>
        <w:rPr>
          <w:rFonts w:ascii="Arial" w:cs="Arial" w:eastAsia="Arial" w:hAnsi="Arial"/>
          <w:sz w:val="18"/>
          <w:szCs w:val="18"/>
          <w:color w:val="auto"/>
        </w:rPr>
        <w:t xml:space="preserve">”) are acting as representatives (the </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70" w:lineRule="auto"/>
        <w:tabs>
          <w:tab w:leader="none" w:pos="1742"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Registration Statement and Prospectus</w:t>
      </w:r>
      <w:r>
        <w:rPr>
          <w:rFonts w:ascii="Arial" w:cs="Arial" w:eastAsia="Arial" w:hAnsi="Arial"/>
          <w:sz w:val="17"/>
          <w:szCs w:val="17"/>
          <w:color w:val="auto"/>
        </w:rPr>
        <w:t>. The Company has prepared and filed with the Securities and Exchange Commission (the</w:t>
      </w:r>
      <w:r>
        <w:rPr>
          <w:rFonts w:ascii="Arial" w:cs="Arial" w:eastAsia="Arial" w:hAnsi="Arial"/>
          <w:sz w:val="17"/>
          <w:szCs w:val="17"/>
          <w:b w:val="1"/>
          <w:bCs w:val="1"/>
          <w:i w:val="1"/>
          <w:iCs w:val="1"/>
          <w:color w:val="auto"/>
        </w:rPr>
        <w:t xml:space="preserve"> “Commission”</w:t>
      </w:r>
      <w:r>
        <w:rPr>
          <w:rFonts w:ascii="Arial" w:cs="Arial" w:eastAsia="Arial" w:hAnsi="Arial"/>
          <w:sz w:val="17"/>
          <w:szCs w:val="17"/>
          <w:color w:val="auto"/>
        </w:rPr>
        <w:t>) a registration statement on Form F-3 (File No. 333-197411) under the Securities Act of 1933, as amended (the</w:t>
      </w:r>
      <w:r>
        <w:rPr>
          <w:rFonts w:ascii="Arial" w:cs="Arial" w:eastAsia="Arial" w:hAnsi="Arial"/>
          <w:sz w:val="17"/>
          <w:szCs w:val="17"/>
          <w:b w:val="1"/>
          <w:bCs w:val="1"/>
          <w:i w:val="1"/>
          <w:iCs w:val="1"/>
          <w:color w:val="auto"/>
        </w:rPr>
        <w:t xml:space="preserve"> “Securities Act”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Act”</w:t>
      </w:r>
      <w:r>
        <w:rPr>
          <w:rFonts w:ascii="Arial" w:cs="Arial" w:eastAsia="Arial" w:hAnsi="Arial"/>
          <w:sz w:val="17"/>
          <w:szCs w:val="17"/>
          <w:color w:val="auto"/>
        </w:rPr>
        <w: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rules and regulations (the </w:t>
      </w:r>
      <w:r>
        <w:rPr>
          <w:rFonts w:ascii="Arial" w:cs="Arial" w:eastAsia="Arial" w:hAnsi="Arial"/>
          <w:sz w:val="17"/>
          <w:szCs w:val="17"/>
          <w:b w:val="1"/>
          <w:bCs w:val="1"/>
          <w:i w:val="1"/>
          <w:iCs w:val="1"/>
          <w:color w:val="auto"/>
        </w:rPr>
        <w:t>“Rules and Regulations”</w:t>
      </w:r>
      <w:r>
        <w:rPr>
          <w:rFonts w:ascii="Arial" w:cs="Arial" w:eastAsia="Arial" w:hAnsi="Arial"/>
          <w:sz w:val="17"/>
          <w:szCs w:val="17"/>
          <w:color w:val="auto"/>
        </w:rPr>
        <w:t xml:space="preserve">) of the Commission thereunder, and such amendments to such registration statement as may have been required to the date of this Agreement. Such registration statement has been declared effective by the Commission. Each part of such registration statement, including the amendments, exhibits and any schedules thereto, the documents incorporated by reference therein pursuant to Item 6 of Form F-3 under the Securities Act and the documents and information otherwise deemed to be a part thereof or included therein by Rule 430B under the Securities Act (the </w:t>
      </w:r>
      <w:r>
        <w:rPr>
          <w:rFonts w:ascii="Arial" w:cs="Arial" w:eastAsia="Arial" w:hAnsi="Arial"/>
          <w:sz w:val="17"/>
          <w:szCs w:val="17"/>
          <w:b w:val="1"/>
          <w:bCs w:val="1"/>
          <w:i w:val="1"/>
          <w:iCs w:val="1"/>
          <w:color w:val="auto"/>
        </w:rPr>
        <w:t>“Rule 430B Information”</w:t>
      </w:r>
      <w:r>
        <w:rPr>
          <w:rFonts w:ascii="Arial" w:cs="Arial" w:eastAsia="Arial" w:hAnsi="Arial"/>
          <w:sz w:val="17"/>
          <w:szCs w:val="17"/>
          <w:color w:val="auto"/>
        </w:rPr>
        <w:t xml:space="preserve">) or otherwise pursuant to the Rules and Regulations, as of the time such registration statement became effective, is herein called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xml:space="preserve"> Any registration statement filed by the Company pursuant to Rule 462(b) under the Securities Act is called the “Rule 462(b) Registration Statement” and, from and after the date and time of filing of the Rule 462(b) Registration Statement, the term “Registration Statement” shall include the Rule 462(b)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both"/>
        <w:ind w:firstLine="648"/>
        <w:spacing w:after="0" w:line="270" w:lineRule="auto"/>
        <w:rPr>
          <w:sz w:val="20"/>
          <w:szCs w:val="20"/>
          <w:color w:val="auto"/>
        </w:rPr>
      </w:pPr>
      <w:r>
        <w:rPr>
          <w:rFonts w:ascii="Arial" w:cs="Arial" w:eastAsia="Arial" w:hAnsi="Arial"/>
          <w:sz w:val="17"/>
          <w:szCs w:val="17"/>
          <w:color w:val="auto"/>
        </w:rPr>
        <w:t xml:space="preserve">The prospectus in the form in which it has most recently been filed with the Commission on or prior to the date of this Agreement is herein called the </w:t>
      </w:r>
      <w:r>
        <w:rPr>
          <w:rFonts w:ascii="Arial" w:cs="Arial" w:eastAsia="Arial" w:hAnsi="Arial"/>
          <w:sz w:val="17"/>
          <w:szCs w:val="17"/>
          <w:b w:val="1"/>
          <w:bCs w:val="1"/>
          <w:i w:val="1"/>
          <w:iCs w:val="1"/>
          <w:color w:val="auto"/>
        </w:rPr>
        <w:t xml:space="preserve">“Base Prospectus.” </w:t>
      </w:r>
      <w:r>
        <w:rPr>
          <w:rFonts w:ascii="Arial" w:cs="Arial" w:eastAsia="Arial" w:hAnsi="Arial"/>
          <w:sz w:val="17"/>
          <w:szCs w:val="17"/>
          <w:color w:val="auto"/>
        </w:rPr>
        <w:t>Each preliminary prospectus supplement to the Base Prospectus (including the Base Prospectus as so supplemented), that describes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Securities and the offering thereof, that omitted the Rule 430B Information and that was used prior to the filing of the final prospectus supplement referred to in the following sentence is herein called a </w:t>
      </w:r>
      <w:r>
        <w:rPr>
          <w:rFonts w:ascii="Arial" w:cs="Arial" w:eastAsia="Arial" w:hAnsi="Arial"/>
          <w:sz w:val="17"/>
          <w:szCs w:val="17"/>
          <w:b w:val="1"/>
          <w:bCs w:val="1"/>
          <w:i w:val="1"/>
          <w:iCs w:val="1"/>
          <w:color w:val="auto"/>
        </w:rPr>
        <w:t>“Preliminary Prospectus.”</w:t>
      </w:r>
      <w:r>
        <w:rPr>
          <w:rFonts w:ascii="Arial" w:cs="Arial" w:eastAsia="Arial" w:hAnsi="Arial"/>
          <w:sz w:val="17"/>
          <w:szCs w:val="17"/>
          <w:color w:val="auto"/>
        </w:rPr>
        <w:t xml:space="preserve"> Promptly after execution and delivery of this Agreement, the Company will prepare and file with the Commission a final prospectus supplement to the Base Prospectus relating to the Securities and the offering thereof in accordance with the provisions Rule 430B and Rule 424(b) of the Rules and Regulations. Such final supplemental form of prospectus (including the Base Prospectus as so supplemented), in the form filed with the Commission pursuant to Rule 424(b) is herein called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xml:space="preserve"> Any reference herein to the Base Prospectus, any Preliminary Prospectus or the Prospectus shall be deemed to include the documents incorporated by reference therein pursuant to Item 6 of Form F-3 under the Securities Act as of the date of such prospectus.</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purposes of this Agreement, all references to the Registration Statement, the Rule 462(b) Registration Statement, the Base Prospectus, any Preliminary Prospectus, the Prospectus or any amendment or supplement to any of the foregoing shall be deemed to include the copy filed with the Commission pursuant to its Electronic Data Gathering, Analysis and Retrieval System or any successor system thereto (</w:t>
      </w:r>
      <w:r>
        <w:rPr>
          <w:rFonts w:ascii="Arial" w:cs="Arial" w:eastAsia="Arial" w:hAnsi="Arial"/>
          <w:sz w:val="16"/>
          <w:szCs w:val="16"/>
          <w:b w:val="1"/>
          <w:bCs w:val="1"/>
          <w:i w:val="1"/>
          <w:iCs w:val="1"/>
          <w:color w:val="auto"/>
        </w:rPr>
        <w:t>“EDGAR”</w:t>
      </w:r>
      <w:r>
        <w:rPr>
          <w:rFonts w:ascii="Arial" w:cs="Arial" w:eastAsia="Arial" w:hAnsi="Arial"/>
          <w:sz w:val="16"/>
          <w:szCs w:val="16"/>
          <w:color w:val="auto"/>
        </w:rPr>
        <w:t xml:space="preserve">). All references in this Agreement to financial statements and schedules and other information which is “described,” “contained,” “included” or “stated” in the Registration Statement, the Base Prospectus, any Preliminary Prospectus or the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Base Prospectus, any Preliminary Prospectus or the Prospectus, as the case may be; and all references in this Agreement to amendments or supplements to the Registration Statement, the Base Prospectus, any Preliminary Prospectus or the Prospectus shall be deemed to mean and include the subsequent filing of any document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which is deemed to be incorporated therein by reference therein or otherwise deemed by the Rules and Regulations to be a part thereof.</w:t>
      </w:r>
    </w:p>
    <w:p>
      <w:pPr>
        <w:spacing w:after="0" w:line="169" w:lineRule="exact"/>
        <w:rPr>
          <w:sz w:val="20"/>
          <w:szCs w:val="20"/>
          <w:color w:val="auto"/>
        </w:rPr>
      </w:pPr>
    </w:p>
    <w:p>
      <w:pPr>
        <w:ind w:left="1340" w:hanging="68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and Warranties of the Company.</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1"/>
          <w:numId w:val="2"/>
        </w:numPr>
        <w:rPr>
          <w:rFonts w:ascii="Arial" w:cs="Arial" w:eastAsia="Arial" w:hAnsi="Arial"/>
          <w:sz w:val="17"/>
          <w:szCs w:val="17"/>
          <w:color w:val="auto"/>
        </w:rPr>
      </w:pPr>
      <w:r>
        <w:rPr>
          <w:rFonts w:ascii="Arial" w:cs="Arial" w:eastAsia="Arial" w:hAnsi="Arial"/>
          <w:sz w:val="17"/>
          <w:szCs w:val="17"/>
          <w:i w:val="1"/>
          <w:iCs w:val="1"/>
          <w:u w:val="single" w:color="auto"/>
          <w:color w:val="auto"/>
        </w:rPr>
        <w:t>Representations and Warranties of the Company</w:t>
      </w:r>
      <w:r>
        <w:rPr>
          <w:rFonts w:ascii="Arial" w:cs="Arial" w:eastAsia="Arial" w:hAnsi="Arial"/>
          <w:sz w:val="17"/>
          <w:szCs w:val="17"/>
          <w:color w:val="auto"/>
        </w:rPr>
        <w:t>. The Company represents and warrants to, and agrees with, the several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Underwriters as follows: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 w:name="page5"/>
    <w:bookmarkEnd w:id="4"/>
    <w:p>
      <w:pPr>
        <w:jc w:val="both"/>
        <w:ind w:left="-540" w:firstLine="1293"/>
        <w:spacing w:after="0" w:line="287" w:lineRule="auto"/>
        <w:tabs>
          <w:tab w:leader="none" w:pos="1327" w:val="left"/>
        </w:tabs>
        <w:numPr>
          <w:ilvl w:val="0"/>
          <w:numId w:val="3"/>
        </w:numPr>
        <w:rPr>
          <w:rFonts w:ascii="Arial" w:cs="Arial" w:eastAsia="Arial" w:hAnsi="Arial"/>
          <w:sz w:val="16"/>
          <w:szCs w:val="16"/>
          <w:color w:val="auto"/>
        </w:rPr>
      </w:pPr>
      <w:r>
        <w:rPr>
          <w:rFonts w:ascii="Arial" w:cs="Arial" w:eastAsia="Arial" w:hAnsi="Arial"/>
          <w:sz w:val="16"/>
          <w:szCs w:val="16"/>
          <w:i w:val="1"/>
          <w:iCs w:val="1"/>
          <w:u w:val="single" w:color="auto"/>
          <w:color w:val="auto"/>
        </w:rPr>
        <w:t>Registration Statement and Prospectuses</w:t>
      </w:r>
      <w:r>
        <w:rPr>
          <w:rFonts w:ascii="Arial" w:cs="Arial" w:eastAsia="Arial" w:hAnsi="Arial"/>
          <w:sz w:val="16"/>
          <w:szCs w:val="16"/>
          <w:color w:val="auto"/>
        </w:rPr>
        <w:t>. No order preventing or suspending the use of any Preliminary Prospectus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(or any supplement thereto) has been issued by the Commission and no proceeding for that purpose has been initiated or is pending or, to the knowledge of the Company, threatened by the Commission. As of the time each part of the Registration Statement (or any post-effective amendment thereto) became or becomes effective (including each deemed effective date with respect to the Underwriters pursuant to Rule 430B or otherwise under the Securities Act), such part conformed or will conform in all material respects to the requirements of the Act and the Rules and Regulations. Upon its filing or first use within the meaning of the Rules and Regulations, each Preliminary Prospectus and the Prospectus (or any supplement to either) conformed or will conform in all material respects to the requirements of the Act and the Rules and Regulations. The Registration Statement and any post-effective amendment thereto has become effective under the Securities Act. The Company has complied to the Commission’s satisfaction with all requests of the Commission for additional or supplemental information. No stop order suspending the effectiveness of the Registration Statement</w:t>
      </w:r>
      <w:r>
        <w:rPr>
          <w:rFonts w:ascii="Arial" w:cs="Arial" w:eastAsia="Arial" w:hAnsi="Arial"/>
          <w:sz w:val="16"/>
          <w:szCs w:val="16"/>
          <w:b w:val="1"/>
          <w:bCs w:val="1"/>
          <w:color w:val="auto"/>
        </w:rPr>
        <w:t>,</w:t>
      </w:r>
      <w:r>
        <w:rPr>
          <w:rFonts w:ascii="Arial" w:cs="Arial" w:eastAsia="Arial" w:hAnsi="Arial"/>
          <w:sz w:val="16"/>
          <w:szCs w:val="16"/>
          <w:color w:val="auto"/>
        </w:rPr>
        <w:t xml:space="preserve"> any post-effective amendment or any part thereof is in effect and no proceedings for such purpose have been instituted or are pending or, to the knowledge of the Company, are threatened by the Commission.</w:t>
      </w:r>
    </w:p>
    <w:p>
      <w:pPr>
        <w:spacing w:after="0" w:line="172" w:lineRule="exact"/>
        <w:rPr>
          <w:rFonts w:ascii="Arial" w:cs="Arial" w:eastAsia="Arial" w:hAnsi="Arial"/>
          <w:sz w:val="16"/>
          <w:szCs w:val="16"/>
          <w:color w:val="auto"/>
        </w:rPr>
      </w:pPr>
    </w:p>
    <w:p>
      <w:pPr>
        <w:jc w:val="both"/>
        <w:ind w:left="-540" w:firstLine="1293"/>
        <w:spacing w:after="0" w:line="267" w:lineRule="auto"/>
        <w:tabs>
          <w:tab w:leader="none" w:pos="1377" w:val="left"/>
        </w:tabs>
        <w:numPr>
          <w:ilvl w:val="0"/>
          <w:numId w:val="3"/>
        </w:numPr>
        <w:rPr>
          <w:rFonts w:ascii="Arial" w:cs="Arial" w:eastAsia="Arial" w:hAnsi="Arial"/>
          <w:sz w:val="17"/>
          <w:szCs w:val="17"/>
          <w:color w:val="auto"/>
        </w:rPr>
      </w:pPr>
      <w:r>
        <w:rPr>
          <w:rFonts w:ascii="Arial" w:cs="Arial" w:eastAsia="Arial" w:hAnsi="Arial"/>
          <w:sz w:val="17"/>
          <w:szCs w:val="17"/>
          <w:i w:val="1"/>
          <w:iCs w:val="1"/>
          <w:u w:val="single" w:color="auto"/>
          <w:color w:val="auto"/>
        </w:rPr>
        <w:t>Accurate Disclosure</w:t>
      </w:r>
      <w:r>
        <w:rPr>
          <w:rFonts w:ascii="Arial" w:cs="Arial" w:eastAsia="Arial" w:hAnsi="Arial"/>
          <w:sz w:val="17"/>
          <w:szCs w:val="17"/>
          <w:color w:val="auto"/>
        </w:rPr>
        <w:t>. Each Preliminary Prospectus, at the time of filing thereof or the time of first use within the meaning</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Rules and Regulations, did not contain an untrue statement of a material fact or omit to state a material fact required to be stated therein or necessary to make the statements therein, in the light of the circumstances under which they were made, not misleading. Neither the Registration Statement nor any amendment thereto, at the effective time of each part thereof, at the First Closing Date (as defined below) or at any Option Closing Date (as defined below), contained, contains or will contain an untrue statement of a material fact or omitted, omits or will omit to state a material fact required to be stated therein or necessary to make the statements therein not misleading. As of the Time of Sale (as defined below), neither (A) the Time of Sale Disclosure Package (as defined below) nor (B) any issuer free writing prospectus (as defined below), when considered together with the Time of Sale Disclosure Package, included an untrue statement of a material fact or omitted to state a material fact necessary in order to make the statements therein, in light of the circumstances under which they were made, not misleading. Neither the Prospectus nor any supplement thereto, as of its issue date, at the time of any filing with the Commission pursuant to Rule 424(b) of the Rules and Regulations, at the First Closing Date or at any Option Closing, included, includes or will include an untrue statement of a material fact or omitted, omits or will omit to state a material fact necessary in order to make the statements therein, in light of the circumstances under which they were made, not misleading. The representations and warranties in this Section 2(a)(ii) shall not apply to statements in or omissions from any Preliminary Prospectus, the Registration Statement (or any amendment thereto), the Time of Sale Disclosure Package or the Prospectus (or any supplement thereto) made in reliance upon, and in conformity with, written information furnished to the Company by you, or by any Underwriter through you, specifically for use in the preparation of such document, it being understood and agreed that the only such information furnished by any Underwriter consists of the information described as such in Section 6(e).</w:t>
      </w: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 xml:space="preserve">Each reference to an </w:t>
      </w:r>
      <w:r>
        <w:rPr>
          <w:rFonts w:ascii="Arial" w:cs="Arial" w:eastAsia="Arial" w:hAnsi="Arial"/>
          <w:sz w:val="18"/>
          <w:szCs w:val="18"/>
          <w:b w:val="1"/>
          <w:bCs w:val="1"/>
          <w:i w:val="1"/>
          <w:iCs w:val="1"/>
          <w:color w:val="auto"/>
        </w:rPr>
        <w:t>“issuer free writing prospectus”</w:t>
      </w:r>
      <w:r>
        <w:rPr>
          <w:rFonts w:ascii="Arial" w:cs="Arial" w:eastAsia="Arial" w:hAnsi="Arial"/>
          <w:sz w:val="18"/>
          <w:szCs w:val="18"/>
          <w:color w:val="auto"/>
        </w:rPr>
        <w:t xml:space="preserve"> herein means an issuer free writing prospectus as defined in Rule 433 of the Rules and Regulations.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“Time of Sale Disclosure Package” </w:t>
      </w:r>
      <w:r>
        <w:rPr>
          <w:rFonts w:ascii="Arial" w:cs="Arial" w:eastAsia="Arial" w:hAnsi="Arial"/>
          <w:sz w:val="18"/>
          <w:szCs w:val="18"/>
          <w:color w:val="auto"/>
        </w:rPr>
        <w:t>means the Preliminary Prospectus dated November 12, 2015 any free writing prospectus set forth on Schedule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II and the information on Schedule III, all considered together.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Each reference to a </w:t>
      </w:r>
      <w:r>
        <w:rPr>
          <w:rFonts w:ascii="Arial" w:cs="Arial" w:eastAsia="Arial" w:hAnsi="Arial"/>
          <w:sz w:val="17"/>
          <w:szCs w:val="17"/>
          <w:b w:val="1"/>
          <w:bCs w:val="1"/>
          <w:i w:val="1"/>
          <w:iCs w:val="1"/>
          <w:color w:val="auto"/>
        </w:rPr>
        <w:t>“free writing prospectus”</w:t>
      </w:r>
      <w:r>
        <w:rPr>
          <w:rFonts w:ascii="Arial" w:cs="Arial" w:eastAsia="Arial" w:hAnsi="Arial"/>
          <w:sz w:val="17"/>
          <w:szCs w:val="17"/>
          <w:color w:val="auto"/>
        </w:rPr>
        <w:t xml:space="preserve"> herein means a free writing prospectus as defined in Rule 405 of the Rules and Regulations.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“Time of Sale” </w:t>
      </w:r>
      <w:r>
        <w:rPr>
          <w:rFonts w:ascii="Arial" w:cs="Arial" w:eastAsia="Arial" w:hAnsi="Arial"/>
          <w:sz w:val="18"/>
          <w:szCs w:val="18"/>
          <w:color w:val="auto"/>
        </w:rPr>
        <w:t>means 8:15 a.m. (Eastern time) on the date of this Agreement.</w:t>
      </w:r>
    </w:p>
    <w:p>
      <w:pPr>
        <w:spacing w:after="0" w:line="225" w:lineRule="exact"/>
        <w:rPr>
          <w:sz w:val="20"/>
          <w:szCs w:val="20"/>
          <w:color w:val="auto"/>
        </w:rPr>
      </w:pPr>
    </w:p>
    <w:p>
      <w:pPr>
        <w:jc w:val="both"/>
        <w:ind w:firstLine="1293"/>
        <w:spacing w:after="0" w:line="276" w:lineRule="auto"/>
        <w:tabs>
          <w:tab w:leader="none" w:pos="1926" w:val="left"/>
        </w:tabs>
        <w:numPr>
          <w:ilvl w:val="0"/>
          <w:numId w:val="4"/>
        </w:numPr>
        <w:rPr>
          <w:rFonts w:ascii="Arial" w:cs="Arial" w:eastAsia="Arial" w:hAnsi="Arial"/>
          <w:sz w:val="17"/>
          <w:szCs w:val="17"/>
          <w:color w:val="auto"/>
        </w:rPr>
      </w:pPr>
      <w:r>
        <w:rPr>
          <w:rFonts w:ascii="Arial" w:cs="Arial" w:eastAsia="Arial" w:hAnsi="Arial"/>
          <w:sz w:val="17"/>
          <w:szCs w:val="17"/>
          <w:i w:val="1"/>
          <w:iCs w:val="1"/>
          <w:u w:val="single" w:color="auto"/>
          <w:color w:val="auto"/>
        </w:rPr>
        <w:t>Issuer Free Writing Prospectuses</w:t>
      </w:r>
      <w:r>
        <w:rPr>
          <w:rFonts w:ascii="Arial" w:cs="Arial" w:eastAsia="Arial" w:hAnsi="Arial"/>
          <w:sz w:val="17"/>
          <w:szCs w:val="17"/>
          <w:color w:val="auto"/>
        </w:rPr>
        <w:t>. (A) Each Issuer Free Writing Prospectus does not include any information that conflicts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information contained in the Registration Statement, any Preliminary Prospectus or the Prospectus. The foregoing sentence does not apply to statements in or omissions from any Issuer Free Writing Prospectus based upon and in conformity with written information furnished to the Company by you or by any Underwriter through you specifically for use therein; it being understood and agreed that the only such information furnished by any Underwriter consists of the information described as such in Section 6(e).</w:t>
      </w:r>
    </w:p>
    <w:p>
      <w:pPr>
        <w:spacing w:after="0" w:line="173" w:lineRule="exact"/>
        <w:rPr>
          <w:sz w:val="20"/>
          <w:szCs w:val="20"/>
          <w:color w:val="auto"/>
        </w:rPr>
      </w:pPr>
    </w:p>
    <w:p>
      <w:pPr>
        <w:jc w:val="both"/>
        <w:ind w:firstLine="1293"/>
        <w:spacing w:after="0" w:line="255" w:lineRule="auto"/>
        <w:tabs>
          <w:tab w:leader="none" w:pos="190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(1) At the earliest time after the filing of the Registration Statement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Securities Act) of the Securities and (2) at the date hereof, the Company was not and is not an “ineligible issuer,” as defined in Rule 405 under the Securities Act, including the Company or any subsidiary in the preceding three years not having been convicted of a felony or misdemeanor or having been made the subject of a judicial or administrative decree or order as described in Rule 405 of the Rules and Regulations (without taking account of any determination by the Commission pursuant to Rule 405 of the Rules and Regulations that it is not necessary that the Company be considered an ineligible issuer), nor an “excluded issuer” as defined in Rule 164 under the Securities Act.</w:t>
      </w:r>
    </w:p>
    <w:p>
      <w:pPr>
        <w:spacing w:after="0" w:line="189" w:lineRule="exact"/>
        <w:rPr>
          <w:rFonts w:ascii="Arial" w:cs="Arial" w:eastAsia="Arial" w:hAnsi="Arial"/>
          <w:sz w:val="18"/>
          <w:szCs w:val="18"/>
          <w:color w:val="auto"/>
        </w:rPr>
      </w:pPr>
    </w:p>
    <w:p>
      <w:pPr>
        <w:ind w:firstLine="1293"/>
        <w:spacing w:after="0" w:line="277" w:lineRule="auto"/>
        <w:tabs>
          <w:tab w:leader="none" w:pos="1925"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Issuer Free Writing Prospectus satisfied, as of its issue date and at all subsequent times to the Time of Sale, all other conditions to use thereof as set forth in Rules 164 and 433 under the Securities Act.</w:t>
      </w:r>
    </w:p>
    <w:p>
      <w:pPr>
        <w:spacing w:after="0" w:line="170" w:lineRule="exact"/>
        <w:rPr>
          <w:sz w:val="20"/>
          <w:szCs w:val="20"/>
          <w:color w:val="auto"/>
        </w:rPr>
      </w:pPr>
    </w:p>
    <w:p>
      <w:pPr>
        <w:jc w:val="both"/>
        <w:ind w:firstLine="1293"/>
        <w:spacing w:after="0" w:line="257" w:lineRule="auto"/>
        <w:tabs>
          <w:tab w:leader="none" w:pos="2011"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No Other Offering Materials</w:t>
      </w:r>
      <w:r>
        <w:rPr>
          <w:rFonts w:ascii="Arial" w:cs="Arial" w:eastAsia="Arial" w:hAnsi="Arial"/>
          <w:sz w:val="18"/>
          <w:szCs w:val="18"/>
          <w:color w:val="auto"/>
        </w:rPr>
        <w:t>. The Company has not distributed and will not distribute any prospectus or other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 in connection with the offering and sale of the Securities other than any Preliminary Prospectus, the Time of Sale Disclosure Package or the Prospectus or other materials permitted by the Act to be distributed by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except as set forth on Schedule II, the Company has not made and will not make any offer relating to the Securities that would constitute a free writing prospectus, except in accordance with the provisions of Section 4(a)(xv) of this Agreement.</w:t>
      </w:r>
    </w:p>
    <w:p>
      <w:pPr>
        <w:spacing w:after="0" w:line="29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0" w:right="239" w:bottom="1440" w:gutter="0" w:footer="0" w:header="0"/>
        </w:sectPr>
      </w:pPr>
    </w:p>
    <w:bookmarkStart w:id="6" w:name="page7"/>
    <w:bookmarkEnd w:id="6"/>
    <w:p>
      <w:pPr>
        <w:jc w:val="both"/>
        <w:ind w:left="-540" w:firstLine="1293"/>
        <w:spacing w:after="0" w:line="285" w:lineRule="auto"/>
        <w:tabs>
          <w:tab w:leader="none" w:pos="1326" w:val="left"/>
        </w:tabs>
        <w:numPr>
          <w:ilvl w:val="0"/>
          <w:numId w:val="7"/>
        </w:numPr>
        <w:rPr>
          <w:rFonts w:ascii="Arial" w:cs="Arial" w:eastAsia="Arial" w:hAnsi="Arial"/>
          <w:sz w:val="16"/>
          <w:szCs w:val="16"/>
          <w:color w:val="auto"/>
        </w:rPr>
      </w:pPr>
      <w:r>
        <w:rPr>
          <w:rFonts w:ascii="Arial" w:cs="Arial" w:eastAsia="Arial" w:hAnsi="Arial"/>
          <w:sz w:val="16"/>
          <w:szCs w:val="16"/>
          <w:i w:val="1"/>
          <w:iCs w:val="1"/>
          <w:u w:val="single" w:color="auto"/>
          <w:color w:val="auto"/>
        </w:rPr>
        <w:t>Financial Statements</w:t>
      </w:r>
      <w:r>
        <w:rPr>
          <w:rFonts w:ascii="Arial" w:cs="Arial" w:eastAsia="Arial" w:hAnsi="Arial"/>
          <w:sz w:val="16"/>
          <w:szCs w:val="16"/>
          <w:color w:val="auto"/>
        </w:rPr>
        <w:t>. The financial statements of the Company, together with the related notes, set forth or incorporated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reference in the Registration Statement, the Time of Sale Disclosure Package and the Prospectus comply in all material respects with the requirements of the Securities Act and the Exchange Act and fairly present in all material respects the financial condition of the Company and its consolidated subsidiaries as of the dates indicated and the results of operations and changes in cash flows for the periods therein specified in conformity with generally accepted accounting principles in the United States consistently applied throughout the periods involved except as otherwise disclosed in the Registration Statement, the Time of Sale Disclosure Package and the Prospectus; the supporting schedules included in the Registration Statement present fairly in all material respects the information required to be stated therein; all non-GAAP financial information included in the Registration Statement, the Time of Sale Disclosure Package and the Prospectus complies in all material respects with the requirements of Regulation G and Item 10 of Regulation S-K under the Act; and, except as disclosed in the Time of Sale Disclosure Package and the Prospectus, there are no material off-balance sheet arrangements (as defined in Regulation S-K under the Act, Item 303(a)(4)(ii)) or any other relationships with unconsolidated entities or other persons, that may have a material current or, to the Company’s knowledge, material future effect on the Company’s financial condition, results of operations, liquidity, capital expenditures, capital resources or significant components of revenue or expenses. No other financial statements or schedules are required to be included in the Registration Statement, the Time of Sale Disclosure Package or the Prospectus. To the Company’s knowledge, Kost Forer Gabbay &amp; Kasierer (a Member of Ernst &amp; Young Global), which has expressed its opinion with respect to the financial statements and schedules filed as a part of the Registration Statement and included in the Registration Statement, the Time of Sale Disclosure Package and the Prospectus, is (x) an independent public accounting firm within the meaning of the Act and the Rules and Regulations, (y) a registered public accounting firm (as defined in Section 2(a)(12)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(z) not in violation of the auditor independence requirements of the Sarbanes-Oxley Act.</w:t>
      </w:r>
    </w:p>
    <w:p>
      <w:pPr>
        <w:spacing w:after="0" w:line="172" w:lineRule="exact"/>
        <w:rPr>
          <w:rFonts w:ascii="Arial" w:cs="Arial" w:eastAsia="Arial" w:hAnsi="Arial"/>
          <w:sz w:val="16"/>
          <w:szCs w:val="16"/>
          <w:color w:val="auto"/>
        </w:rPr>
      </w:pPr>
    </w:p>
    <w:p>
      <w:pPr>
        <w:jc w:val="both"/>
        <w:ind w:left="-540" w:firstLine="1293"/>
        <w:spacing w:after="0" w:line="288" w:lineRule="auto"/>
        <w:tabs>
          <w:tab w:leader="none" w:pos="1552" w:val="left"/>
        </w:tabs>
        <w:numPr>
          <w:ilvl w:val="0"/>
          <w:numId w:val="7"/>
        </w:numPr>
        <w:rPr>
          <w:rFonts w:ascii="Arial" w:cs="Arial" w:eastAsia="Arial" w:hAnsi="Arial"/>
          <w:sz w:val="16"/>
          <w:szCs w:val="16"/>
          <w:color w:val="auto"/>
        </w:rPr>
      </w:pPr>
      <w:r>
        <w:rPr>
          <w:rFonts w:ascii="Arial" w:cs="Arial" w:eastAsia="Arial" w:hAnsi="Arial"/>
          <w:sz w:val="16"/>
          <w:szCs w:val="16"/>
          <w:i w:val="1"/>
          <w:iCs w:val="1"/>
          <w:u w:val="single" w:color="auto"/>
          <w:color w:val="auto"/>
        </w:rPr>
        <w:t>Organization and Good Standing</w:t>
      </w:r>
      <w:r>
        <w:rPr>
          <w:rFonts w:ascii="Arial" w:cs="Arial" w:eastAsia="Arial" w:hAnsi="Arial"/>
          <w:sz w:val="16"/>
          <w:szCs w:val="16"/>
          <w:color w:val="auto"/>
        </w:rPr>
        <w:t>. Each of the Company and its subsidiaries has been duly organized and is validly</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as a corporation in good standing under the laws of its jurisdiction of incorporation. Each of the Company and its subsidiaries has full corporate power and authority to own its properties and conduct its business as currently being carried on and as described in the Registration Statement, the Time of Sale Disclosure Package and the Prospectus, and is duly qualified to do business as a foreign corporation in good standing in each jurisdiction in which it owns or leases real property or in which the conduct of its business makes such qualification necessary and in which the failure to so qualify would have, a material adverse effect upon the business, prospects, management, properties, operations, condition (financial or otherwise) or results of operations of the Company and its subsidiaries, taken as a whole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Each of the Company and its subsidiaries organized in Israel has not been designated as a “breaching company” (within the meaning of the Israeli Companies Law 5759-1999) by the Registrar of Companies of the State of Israel. The certificate of incorporation and articles of association of the each of the Company and its subsidiaries organized in Israel comply with the requirements of applicable Israeli law and are in full force and effect.</w:t>
      </w:r>
    </w:p>
    <w:p>
      <w:pPr>
        <w:spacing w:after="0" w:line="2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7" w:name="page8"/>
    <w:bookmarkEnd w:id="7"/>
    <w:p>
      <w:pPr>
        <w:jc w:val="both"/>
        <w:ind w:left="-540" w:firstLine="1293"/>
        <w:spacing w:after="0" w:line="270" w:lineRule="auto"/>
        <w:tabs>
          <w:tab w:leader="none" w:pos="1615" w:val="left"/>
        </w:tabs>
        <w:numPr>
          <w:ilvl w:val="0"/>
          <w:numId w:val="8"/>
        </w:numPr>
        <w:rPr>
          <w:rFonts w:ascii="Arial" w:cs="Arial" w:eastAsia="Arial" w:hAnsi="Arial"/>
          <w:sz w:val="17"/>
          <w:szCs w:val="17"/>
          <w:color w:val="auto"/>
        </w:rPr>
      </w:pPr>
      <w:r>
        <w:rPr>
          <w:rFonts w:ascii="Arial" w:cs="Arial" w:eastAsia="Arial" w:hAnsi="Arial"/>
          <w:sz w:val="17"/>
          <w:szCs w:val="17"/>
          <w:i w:val="1"/>
          <w:iCs w:val="1"/>
          <w:u w:val="single" w:color="auto"/>
          <w:color w:val="auto"/>
        </w:rPr>
        <w:t>Absence of Certain Events</w:t>
      </w:r>
      <w:r>
        <w:rPr>
          <w:rFonts w:ascii="Arial" w:cs="Arial" w:eastAsia="Arial" w:hAnsi="Arial"/>
          <w:sz w:val="17"/>
          <w:szCs w:val="17"/>
          <w:color w:val="auto"/>
        </w:rPr>
        <w:t>. Except as contemplated in the Time of Sale Disclosure Package and in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to the respective dates as of which information is given in the Time of Sale Disclosure Package, neither the Company nor any of its subsidiaries has incurred any material liabilities or obligations, direct or contingent, or entered into any material transactions, or declared or paid any dividends or made any distribution of any kind with respect to its capital stock; and there has not been any change in the capital stock (other than a change in the number of outstanding Ordinary Shares due to the issuance of shares upon the exercise of outstanding options or warrants or conversion of convertible securities), or any material change in the short-term or long-term debt (other than as a result of the conversion of convertible securities), or any issuance of options, warrants, convertible securities or other rights to purchase the capital stock, of the Company or any of its subsidiaries, or any material adverse change in the general affairs, condition (financial or otherwise), business, prospects, management, properties, operations or results of operations of the Company and its subsidiaries, taken as a whole (</w:t>
      </w:r>
      <w:r>
        <w:rPr>
          <w:rFonts w:ascii="Arial" w:cs="Arial" w:eastAsia="Arial" w:hAnsi="Arial"/>
          <w:sz w:val="17"/>
          <w:szCs w:val="17"/>
          <w:b w:val="1"/>
          <w:bCs w:val="1"/>
          <w:i w:val="1"/>
          <w:iCs w:val="1"/>
          <w:color w:val="auto"/>
        </w:rPr>
        <w:t>“Material Adverse Change”</w:t>
      </w:r>
      <w:r>
        <w:rPr>
          <w:rFonts w:ascii="Arial" w:cs="Arial" w:eastAsia="Arial" w:hAnsi="Arial"/>
          <w:sz w:val="17"/>
          <w:szCs w:val="17"/>
          <w:color w:val="auto"/>
        </w:rPr>
        <w:t>) or any development which could reasonably be expected to result in any Material Adverse Change.</w:t>
      </w:r>
    </w:p>
    <w:p>
      <w:pPr>
        <w:spacing w:after="0" w:line="177" w:lineRule="exact"/>
        <w:rPr>
          <w:rFonts w:ascii="Arial" w:cs="Arial" w:eastAsia="Arial" w:hAnsi="Arial"/>
          <w:sz w:val="17"/>
          <w:szCs w:val="17"/>
          <w:color w:val="auto"/>
        </w:rPr>
      </w:pPr>
    </w:p>
    <w:p>
      <w:pPr>
        <w:jc w:val="both"/>
        <w:ind w:left="-540" w:firstLine="1293"/>
        <w:spacing w:after="0" w:line="287" w:lineRule="auto"/>
        <w:tabs>
          <w:tab w:leader="none" w:pos="1544" w:val="left"/>
        </w:tabs>
        <w:numPr>
          <w:ilvl w:val="0"/>
          <w:numId w:val="8"/>
        </w:numPr>
        <w:rPr>
          <w:rFonts w:ascii="Arial" w:cs="Arial" w:eastAsia="Arial" w:hAnsi="Arial"/>
          <w:sz w:val="16"/>
          <w:szCs w:val="16"/>
          <w:color w:val="auto"/>
        </w:rPr>
      </w:pPr>
      <w:r>
        <w:rPr>
          <w:rFonts w:ascii="Arial" w:cs="Arial" w:eastAsia="Arial" w:hAnsi="Arial"/>
          <w:sz w:val="16"/>
          <w:szCs w:val="16"/>
          <w:i w:val="1"/>
          <w:iCs w:val="1"/>
          <w:u w:val="single" w:color="auto"/>
          <w:color w:val="auto"/>
        </w:rPr>
        <w:t>Absence of Proceedings</w:t>
      </w:r>
      <w:r>
        <w:rPr>
          <w:rFonts w:ascii="Arial" w:cs="Arial" w:eastAsia="Arial" w:hAnsi="Arial"/>
          <w:sz w:val="16"/>
          <w:szCs w:val="16"/>
          <w:color w:val="auto"/>
        </w:rPr>
        <w:t>. Except as set forth in the Time of Sale Disclosure Package and in the Prospectus, there is not</w:t>
      </w:r>
      <w:r>
        <w:rPr>
          <w:rFonts w:ascii="Arial" w:cs="Arial" w:eastAsia="Arial" w:hAnsi="Arial"/>
          <w:sz w:val="16"/>
          <w:szCs w:val="16"/>
          <w:i w:val="1"/>
          <w:iCs w:val="1"/>
          <w:color w:val="auto"/>
        </w:rPr>
        <w:t xml:space="preserve"> </w:t>
      </w:r>
      <w:r>
        <w:rPr>
          <w:rFonts w:ascii="Arial" w:cs="Arial" w:eastAsia="Arial" w:hAnsi="Arial"/>
          <w:sz w:val="16"/>
          <w:szCs w:val="16"/>
          <w:color w:val="auto"/>
        </w:rPr>
        <w:t>pending or, to the knowledge of the Company, threatened, any action, suit or proceeding (a) to which the Company or any of its subsidiaries is a party or (b) which has as the subject thereof any officer or director of the Company or any subsidiary, any employee benefit plan sponsored by the Company or any subsidiary or any property or assets owned or leased by the Company or any subsidiary before or by any court or Governmental Authority (as defined below), or any arbitrator, which, individually or in the aggregate, would reasonably be expected to result in a Material Adverse Change, or would materially and adversely affect the ability of the Company to perform its obligations under this Agreement or which are otherwise material in the context of the sale of the Securities.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Time of Sale Disclosure Package and Prospectus by the Act or by the Rules and Regulations and that have not been so described.</w:t>
      </w:r>
    </w:p>
    <w:p>
      <w:pPr>
        <w:spacing w:after="0" w:line="172" w:lineRule="exact"/>
        <w:rPr>
          <w:rFonts w:ascii="Arial" w:cs="Arial" w:eastAsia="Arial" w:hAnsi="Arial"/>
          <w:sz w:val="16"/>
          <w:szCs w:val="16"/>
          <w:color w:val="auto"/>
        </w:rPr>
      </w:pPr>
    </w:p>
    <w:p>
      <w:pPr>
        <w:jc w:val="both"/>
        <w:ind w:left="-540" w:firstLine="1293"/>
        <w:spacing w:after="0" w:line="264" w:lineRule="auto"/>
        <w:tabs>
          <w:tab w:leader="none" w:pos="1390" w:val="left"/>
        </w:tabs>
        <w:numPr>
          <w:ilvl w:val="0"/>
          <w:numId w:val="8"/>
        </w:numPr>
        <w:rPr>
          <w:rFonts w:ascii="Arial" w:cs="Arial" w:eastAsia="Arial" w:hAnsi="Arial"/>
          <w:sz w:val="18"/>
          <w:szCs w:val="18"/>
          <w:color w:val="auto"/>
        </w:rPr>
      </w:pPr>
      <w:r>
        <w:rPr>
          <w:rFonts w:ascii="Arial" w:cs="Arial" w:eastAsia="Arial" w:hAnsi="Arial"/>
          <w:sz w:val="18"/>
          <w:szCs w:val="18"/>
          <w:i w:val="1"/>
          <w:iCs w:val="1"/>
          <w:u w:val="single" w:color="auto"/>
          <w:color w:val="auto"/>
        </w:rPr>
        <w:t>Disclosure of Legal Matters</w:t>
      </w:r>
      <w:r>
        <w:rPr>
          <w:rFonts w:ascii="Arial" w:cs="Arial" w:eastAsia="Arial" w:hAnsi="Arial"/>
          <w:sz w:val="18"/>
          <w:szCs w:val="18"/>
          <w:color w:val="auto"/>
        </w:rPr>
        <w:t>. There are no statutes, regulations, contracts or documents that are required to be described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in the Time of Sale Disclosure Package or in the Prospectus or required to be filed as exhibits to the Registration Statement by the Securities Act or by the Rules and Regulations that have not been so described or filed.</w:t>
      </w:r>
    </w:p>
    <w:p>
      <w:pPr>
        <w:spacing w:after="0" w:line="2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8" w:name="page9"/>
    <w:bookmarkEnd w:id="8"/>
    <w:p>
      <w:pPr>
        <w:jc w:val="both"/>
        <w:ind w:left="-540" w:firstLine="1293"/>
        <w:spacing w:after="0" w:line="285" w:lineRule="auto"/>
        <w:tabs>
          <w:tab w:leader="none" w:pos="1326" w:val="left"/>
        </w:tabs>
        <w:numPr>
          <w:ilvl w:val="0"/>
          <w:numId w:val="9"/>
        </w:numPr>
        <w:rPr>
          <w:rFonts w:ascii="Arial" w:cs="Arial" w:eastAsia="Arial" w:hAnsi="Arial"/>
          <w:sz w:val="16"/>
          <w:szCs w:val="16"/>
          <w:color w:val="auto"/>
        </w:rPr>
      </w:pPr>
      <w:r>
        <w:rPr>
          <w:rFonts w:ascii="Arial" w:cs="Arial" w:eastAsia="Arial" w:hAnsi="Arial"/>
          <w:sz w:val="16"/>
          <w:szCs w:val="16"/>
          <w:i w:val="1"/>
          <w:iCs w:val="1"/>
          <w:u w:val="single" w:color="auto"/>
          <w:color w:val="auto"/>
        </w:rPr>
        <w:t>Authorization; No Conflicts; Authority</w:t>
      </w:r>
      <w:r>
        <w:rPr>
          <w:rFonts w:ascii="Arial" w:cs="Arial" w:eastAsia="Arial" w:hAnsi="Arial"/>
          <w:sz w:val="16"/>
          <w:szCs w:val="16"/>
          <w:color w:val="auto"/>
        </w:rPr>
        <w:t>. This Agreement has been duly authorized, executed and delivered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 The execution, delivery and performance of this Agreement and the consummation of the transactions 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Company’s Articles of Association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except in the case of clause (A) or (C) as would not result in a Material Adverse Effect. No consent, approval, authorization or order of, or registration or filing with any Governmental Authority is required to be obtained or made by the Company for the execution, delivery and performance of this Agreement or for the consummation of the transactions contemplated hereby, including the issuance or sale of the Securities by the Company, except such as may be required under the Act, the rules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or state securities or blue sky laws; and the Company has full power and authority to enter into this Agreement and to consummate the transactions contemplated hereby, including the authorization, issuance and sale of the Securities as contemplated by this Agreement. All corporate approvals on the part of the Company, including under Chapter 5 of Part VI of the Israeli Companies Law 5759-1999, for the offer or sale of Securities and the transactions contemplated hereby have been obtained.</w:t>
      </w:r>
    </w:p>
    <w:p>
      <w:pPr>
        <w:spacing w:after="0" w:line="170" w:lineRule="exact"/>
        <w:rPr>
          <w:rFonts w:ascii="Arial" w:cs="Arial" w:eastAsia="Arial" w:hAnsi="Arial"/>
          <w:sz w:val="16"/>
          <w:szCs w:val="16"/>
          <w:color w:val="auto"/>
        </w:rPr>
      </w:pPr>
    </w:p>
    <w:p>
      <w:pPr>
        <w:jc w:val="both"/>
        <w:ind w:left="-540" w:firstLine="1293"/>
        <w:spacing w:after="0" w:line="285" w:lineRule="auto"/>
        <w:tabs>
          <w:tab w:leader="none" w:pos="1592" w:val="left"/>
        </w:tabs>
        <w:numPr>
          <w:ilvl w:val="0"/>
          <w:numId w:val="9"/>
        </w:numPr>
        <w:rPr>
          <w:rFonts w:ascii="Arial" w:cs="Arial" w:eastAsia="Arial" w:hAnsi="Arial"/>
          <w:sz w:val="16"/>
          <w:szCs w:val="16"/>
          <w:color w:val="auto"/>
        </w:rPr>
      </w:pPr>
      <w:r>
        <w:rPr>
          <w:rFonts w:ascii="Arial" w:cs="Arial" w:eastAsia="Arial" w:hAnsi="Arial"/>
          <w:sz w:val="16"/>
          <w:szCs w:val="16"/>
          <w:i w:val="1"/>
          <w:iCs w:val="1"/>
          <w:u w:val="single" w:color="auto"/>
          <w:color w:val="auto"/>
        </w:rPr>
        <w:t>Capitalization; the Securities; Registration Rights</w:t>
      </w:r>
      <w:r>
        <w:rPr>
          <w:rFonts w:ascii="Arial" w:cs="Arial" w:eastAsia="Arial" w:hAnsi="Arial"/>
          <w:sz w:val="16"/>
          <w:szCs w:val="16"/>
          <w:color w:val="auto"/>
        </w:rPr>
        <w:t>. All of the issued and outstanding shares of capital stock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including the outstanding Ordinary Shares, is duly authorized and validly issued, fully paid and nonassessable, have been issued in compliance with all federal and state and foreign (including, without limitation, Israeli) securities laws, were not issued in violation of or subject to any preemptive rights or other rights to subscribe for or purchase securities, and the holders thereof are not subject to personal liability by reason of being such holders; the Securities which may be sold hereunder by the Company have been duly authorized and, when issued, delivered and paid for in accordance with the terms of this Agreement, will have been validly issued and will be fully paid and nonassessable, and the holders thereof will not be subject to personal liability by reason of being such holders; and the capital stock of the Company, including the Ordinary Shares, conforms to the description thereof in the Registration Statement, in the Time of Sale Disclosure Package and in the Prospectus. Except as otherwise stated in the Registration Statement, in the Time of Sale Disclosure Package and in the Prospectus, (A) there are no preemptive rights or other rights to subscribe for or to purchase, or any restriction upon the voting or transfer of, any Ordinary Shares pursuant to the Company’s Articles of Association or any agreement or other instrument to which the Company or any of its subsidiaries is a party or by which the Company or any of its subsidiaries is bound; and (B) neither the filing of the Registration Statement nor the offering or sale of the Securities as contemplated by this Agreement gives rise to any rights for or relating to the registration of any Ordinary Shares or other securities of the Company. All of the issued and outstanding shares of capital stock of each of the Company’s subsidiaries have been duly and validly authorized and issued and are fully paid and nonassessable, and, except as otherwise described in the Registration Statement, in the Time of Sale Disclosure Package and in the Prospectus, the Company owns of record and beneficially, free and clear of any security interests, claims, liens, proxies, equities or other encumbrances, all of the issued and outstanding shares of such stock. The Company has an authorized and outstanding capitalization as set forth in the Registration Statement, in the Time of Sale Disclosure Package and in the Prospectus under the caption “Capitalization.” The Ordinary Shares (including the Securities) conform in all material respects to the description thereof contained in the Time of Sale Disclosure Package and the Prospectus.</w:t>
      </w:r>
    </w:p>
    <w:p>
      <w:pPr>
        <w:spacing w:after="0" w:line="2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9" w:name="page10"/>
    <w:bookmarkEnd w:id="9"/>
    <w:p>
      <w:pPr>
        <w:jc w:val="both"/>
        <w:ind w:left="-540" w:firstLine="1293"/>
        <w:spacing w:after="0" w:line="269" w:lineRule="auto"/>
        <w:tabs>
          <w:tab w:leader="none" w:pos="1561" w:val="left"/>
        </w:tabs>
        <w:numPr>
          <w:ilvl w:val="0"/>
          <w:numId w:val="10"/>
        </w:numPr>
        <w:rPr>
          <w:rFonts w:ascii="Arial" w:cs="Arial" w:eastAsia="Arial" w:hAnsi="Arial"/>
          <w:sz w:val="17"/>
          <w:szCs w:val="17"/>
          <w:color w:val="auto"/>
        </w:rPr>
      </w:pPr>
      <w:r>
        <w:rPr>
          <w:rFonts w:ascii="Arial" w:cs="Arial" w:eastAsia="Arial" w:hAnsi="Arial"/>
          <w:sz w:val="17"/>
          <w:szCs w:val="17"/>
          <w:i w:val="1"/>
          <w:iCs w:val="1"/>
          <w:u w:val="single" w:color="auto"/>
          <w:color w:val="auto"/>
        </w:rPr>
        <w:t>Stock Options</w:t>
      </w:r>
      <w:r>
        <w:rPr>
          <w:rFonts w:ascii="Arial" w:cs="Arial" w:eastAsia="Arial" w:hAnsi="Arial"/>
          <w:sz w:val="17"/>
          <w:szCs w:val="17"/>
          <w:color w:val="auto"/>
        </w:rPr>
        <w:t>. Except as described in the Registration Statement, in the Time of Sale Disclosure Package and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Prospectus, there are no options, warrants, agreements, contracts or other rights in existence to purchase or acquire from the Company or any subsidiary of the Company any shares of the capital stock of the Company or any subsidiary of the Company. The description of the Company’s stock option, stock bonus and other stock plans or arrangements (the </w:t>
      </w:r>
      <w:r>
        <w:rPr>
          <w:rFonts w:ascii="Arial" w:cs="Arial" w:eastAsia="Arial" w:hAnsi="Arial"/>
          <w:sz w:val="17"/>
          <w:szCs w:val="17"/>
          <w:b w:val="1"/>
          <w:bCs w:val="1"/>
          <w:i w:val="1"/>
          <w:iCs w:val="1"/>
          <w:color w:val="auto"/>
        </w:rPr>
        <w:t>“Company Stock Plans”</w:t>
      </w:r>
      <w:r>
        <w:rPr>
          <w:rFonts w:ascii="Arial" w:cs="Arial" w:eastAsia="Arial" w:hAnsi="Arial"/>
          <w:sz w:val="17"/>
          <w:szCs w:val="17"/>
          <w:color w:val="auto"/>
        </w:rPr>
        <w:t xml:space="preserve">), and the options (the </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or other rights granted thereunder, set forth in the Time of Sale Disclosure Package and the Prospectus accurately and fairly presents the information required to be shown with respect to such plans, arrangements, options and rights. Each grant of an Option (A) was duly authorized no later than the date on which the grant of such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and (B) was made in accordance with the terms of the applicable Company Stock Plan, and all applicable laws and regulatory rules or requirements, including all applicable federal or other securities laws.</w:t>
      </w:r>
    </w:p>
    <w:p>
      <w:pPr>
        <w:spacing w:after="0" w:line="182" w:lineRule="exact"/>
        <w:rPr>
          <w:rFonts w:ascii="Arial" w:cs="Arial" w:eastAsia="Arial" w:hAnsi="Arial"/>
          <w:sz w:val="17"/>
          <w:szCs w:val="17"/>
          <w:color w:val="auto"/>
        </w:rPr>
      </w:pPr>
    </w:p>
    <w:p>
      <w:pPr>
        <w:jc w:val="both"/>
        <w:ind w:left="-540" w:firstLine="1293"/>
        <w:spacing w:after="0" w:line="270" w:lineRule="auto"/>
        <w:tabs>
          <w:tab w:leader="none" w:pos="1530" w:val="left"/>
        </w:tabs>
        <w:numPr>
          <w:ilvl w:val="0"/>
          <w:numId w:val="10"/>
        </w:numPr>
        <w:rPr>
          <w:rFonts w:ascii="Arial" w:cs="Arial" w:eastAsia="Arial" w:hAnsi="Arial"/>
          <w:sz w:val="17"/>
          <w:szCs w:val="17"/>
          <w:color w:val="auto"/>
        </w:rPr>
      </w:pPr>
      <w:r>
        <w:rPr>
          <w:rFonts w:ascii="Arial" w:cs="Arial" w:eastAsia="Arial" w:hAnsi="Arial"/>
          <w:sz w:val="17"/>
          <w:szCs w:val="17"/>
          <w:i w:val="1"/>
          <w:iCs w:val="1"/>
          <w:u w:val="single" w:color="auto"/>
          <w:color w:val="auto"/>
        </w:rPr>
        <w:t>Compliance with Laws</w:t>
      </w:r>
      <w:r>
        <w:rPr>
          <w:rFonts w:ascii="Arial" w:cs="Arial" w:eastAsia="Arial" w:hAnsi="Arial"/>
          <w:sz w:val="17"/>
          <w:szCs w:val="17"/>
          <w:color w:val="auto"/>
        </w:rPr>
        <w:t>. The Company and each of its subsidiaries holds, and is operating in compliance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with, all franchises, grants, authorizations, licenses, permits, easements, consents, certificates and orders of any Governmental Authority or self-regulatory body required for the conduct of its business including any instrument of approval granted to it by the Office of the Chief Scientist of the Israeli Ministry of Economy (the “</w:t>
      </w:r>
      <w:r>
        <w:rPr>
          <w:rFonts w:ascii="Arial" w:cs="Arial" w:eastAsia="Arial" w:hAnsi="Arial"/>
          <w:sz w:val="17"/>
          <w:szCs w:val="17"/>
          <w:b w:val="1"/>
          <w:bCs w:val="1"/>
          <w:i w:val="1"/>
          <w:iCs w:val="1"/>
          <w:color w:val="auto"/>
        </w:rPr>
        <w:t>Chief Scientist</w:t>
      </w:r>
      <w:r>
        <w:rPr>
          <w:rFonts w:ascii="Arial" w:cs="Arial" w:eastAsia="Arial" w:hAnsi="Arial"/>
          <w:sz w:val="17"/>
          <w:szCs w:val="17"/>
          <w:color w:val="auto"/>
        </w:rPr>
        <w:t>”) and all such franchises, grants, authorizations, licenses, permits, easements, consents, certifications and orders are valid and in full force and effect, in each case except as such would not reasonably be expected to have a Material Adverse Effect; and neither the Company nor any of its subsidiaries has received notice of any revocation or modification of any such franchise, grant, authorization, license, permit, easement, consent, certification or order or has reason to believe that any such franchise, grant, authorization, license, permit, easement, consent, certification or order will not be renewed in the ordinary course; and the Company and each of its subsidiaries is in compliance in all material respects with all applicable federal, state, local and foreign (including, without limitation, Israeli) laws, regulations, orders and decrees.</w:t>
      </w:r>
    </w:p>
    <w:p>
      <w:pPr>
        <w:spacing w:after="0" w:line="2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0" w:name="page11"/>
    <w:bookmarkEnd w:id="10"/>
    <w:p>
      <w:pPr>
        <w:jc w:val="both"/>
        <w:ind w:left="-540" w:firstLine="1293"/>
        <w:spacing w:after="0" w:line="293" w:lineRule="auto"/>
        <w:tabs>
          <w:tab w:leader="none" w:pos="1534" w:val="left"/>
        </w:tabs>
        <w:numPr>
          <w:ilvl w:val="0"/>
          <w:numId w:val="11"/>
        </w:numPr>
        <w:rPr>
          <w:rFonts w:ascii="Arial" w:cs="Arial" w:eastAsia="Arial" w:hAnsi="Arial"/>
          <w:sz w:val="16"/>
          <w:szCs w:val="16"/>
          <w:color w:val="auto"/>
        </w:rPr>
      </w:pPr>
      <w:r>
        <w:rPr>
          <w:rFonts w:ascii="Arial" w:cs="Arial" w:eastAsia="Arial" w:hAnsi="Arial"/>
          <w:sz w:val="16"/>
          <w:szCs w:val="16"/>
          <w:i w:val="1"/>
          <w:iCs w:val="1"/>
          <w:u w:val="single" w:color="auto"/>
          <w:color w:val="auto"/>
        </w:rPr>
        <w:t>Ownership of Assets</w:t>
      </w:r>
      <w:r>
        <w:rPr>
          <w:rFonts w:ascii="Arial" w:cs="Arial" w:eastAsia="Arial" w:hAnsi="Arial"/>
          <w:sz w:val="16"/>
          <w:szCs w:val="16"/>
          <w:color w:val="auto"/>
        </w:rPr>
        <w:t>. The Company and its subsidiaries have good and marketable title to all property (whether real or</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 described in the Registration Statement, in the Time of Sale Disclosure Package and in the Prospectus as being owned by them, in each case free and clear of all liens, claims, security interests, other encumbrances or defects except such as would not reasonably be expected to have a Material Adverse Effect or are described in the Registration Statement, in the Time of Sale Disclosure Package and in the Prospectus.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spacing w:after="0" w:line="164" w:lineRule="exact"/>
        <w:rPr>
          <w:rFonts w:ascii="Arial" w:cs="Arial" w:eastAsia="Arial" w:hAnsi="Arial"/>
          <w:sz w:val="16"/>
          <w:szCs w:val="16"/>
          <w:color w:val="auto"/>
        </w:rPr>
      </w:pPr>
    </w:p>
    <w:p>
      <w:pPr>
        <w:jc w:val="both"/>
        <w:ind w:left="-540" w:firstLine="1293"/>
        <w:spacing w:after="0" w:line="284" w:lineRule="auto"/>
        <w:tabs>
          <w:tab w:leader="none" w:pos="1457" w:val="left"/>
        </w:tabs>
        <w:numPr>
          <w:ilvl w:val="0"/>
          <w:numId w:val="11"/>
        </w:numPr>
        <w:rPr>
          <w:rFonts w:ascii="Arial" w:cs="Arial" w:eastAsia="Arial" w:hAnsi="Arial"/>
          <w:sz w:val="16"/>
          <w:szCs w:val="16"/>
          <w:color w:val="auto"/>
        </w:rPr>
      </w:pPr>
      <w:r>
        <w:rPr>
          <w:rFonts w:ascii="Arial" w:cs="Arial" w:eastAsia="Arial" w:hAnsi="Arial"/>
          <w:sz w:val="16"/>
          <w:szCs w:val="16"/>
          <w:i w:val="1"/>
          <w:iCs w:val="1"/>
          <w:u w:val="single" w:color="auto"/>
          <w:color w:val="auto"/>
        </w:rPr>
        <w:t>Intellectual Property</w:t>
      </w:r>
      <w:r>
        <w:rPr>
          <w:rFonts w:ascii="Arial" w:cs="Arial" w:eastAsia="Arial" w:hAnsi="Arial"/>
          <w:sz w:val="16"/>
          <w:szCs w:val="16"/>
          <w:color w:val="auto"/>
        </w:rPr>
        <w:t>. The Company and each of its subsidiaries owns, possesses, or can acquire on reasonable terms,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Intellectual Property necessary for the conduct of the Company’s and it subsidiaries’ business as now conducted or as described in the Registration Statement, the Time of Sale Disclosure Package and the Prospectus to be conducted, except as such failure to own, possess, or acquire such rights would not reasonably be expected to result in a Material Adverse Effect. Furthermore, (A) to the knowledge of the Company, there is no infringement, misappropriation or violation by third parties of any Intellectual Property owned or possessed by the Company, except as such infringement, misappropriation or violation would not reasonably be expected to result in a Material Adverse Effect; (B) there is no pending or, to the knowledge of the Company, threatened, action, suit, proceeding or claim by others challenging the Company’s or any of its subsidiaries’ rights in or to any such Intellectual Property, and, to the knowledge of the Company, there are no facts which would form a reasonable basis for any such claim; (C) the Intellectual Property owned by the Company and its subsidiaries, and to the knowledge of the Company, the Intellectual Property licensed to the Company and its subsidiaries, has not been adjudged invalid or unenforceable, in whole or in part, and there is no pending or, to the knowledge of the Company, threatened action, suit, proceeding or claim by others challenging the validity or scope of any such Intellectual Property, and, to the knowledge of the Company, there are no facts which would form a reasonable basis for any such claim; (D) there is no pending or, to the knowledge of the Company, threatened action, suit, proceeding or claim by others that the Company or any of its subsidiaries infringes, misappropriates or otherwise violates any Intellectual Property or other proprietary rights of others, neither the Company or any of its subsidiaries has received any written notice of such claim and, to the knowledge of the Company, there are no facts which would form a reasonable basis for any such claim;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except as such violation would not reasonably be expected to result in a Material Adverse Effect.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xml:space="preserve"> shall mean all patents, patent applications, trade and service marks, trade and service mark registrations, trade names, copyrights, licenses, inventions, trade secrets, domain names, technology, know-how and other intellectual property.</w:t>
      </w:r>
    </w:p>
    <w:p>
      <w:pPr>
        <w:spacing w:after="0" w:line="2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1" w:name="page12"/>
    <w:bookmarkEnd w:id="11"/>
    <w:p>
      <w:pPr>
        <w:jc w:val="both"/>
        <w:ind w:left="-540" w:firstLine="1293"/>
        <w:spacing w:after="0" w:line="276" w:lineRule="auto"/>
        <w:tabs>
          <w:tab w:leader="none" w:pos="1547" w:val="left"/>
        </w:tabs>
        <w:numPr>
          <w:ilvl w:val="0"/>
          <w:numId w:val="12"/>
        </w:numPr>
        <w:rPr>
          <w:rFonts w:ascii="Arial" w:cs="Arial" w:eastAsia="Arial" w:hAnsi="Arial"/>
          <w:sz w:val="17"/>
          <w:szCs w:val="17"/>
          <w:color w:val="auto"/>
        </w:rPr>
      </w:pPr>
      <w:r>
        <w:rPr>
          <w:rFonts w:ascii="Arial" w:cs="Arial" w:eastAsia="Arial" w:hAnsi="Arial"/>
          <w:sz w:val="17"/>
          <w:szCs w:val="17"/>
          <w:i w:val="1"/>
          <w:iCs w:val="1"/>
          <w:u w:val="single" w:color="auto"/>
          <w:color w:val="auto"/>
        </w:rPr>
        <w:t>No Violations or Defaults</w:t>
      </w:r>
      <w:r>
        <w:rPr>
          <w:rFonts w:ascii="Arial" w:cs="Arial" w:eastAsia="Arial" w:hAnsi="Arial"/>
          <w:sz w:val="17"/>
          <w:szCs w:val="17"/>
          <w:color w:val="auto"/>
        </w:rPr>
        <w:t>. Neither the Company nor any of its subsidiaries is in violation of its respective charter, by-laws or other organizational documents, or in breach of or otherwise in default, and no event has occurred which, with notice or lapse of time or both, would constitute such a default in the performance of any material obligation, agreement or condition contained in any bond, debenture, note, indenture, loan agreement or any other material contract, lease or other instrument to which it is subject or by which any of them may be bound, or to which any of the material property or assets of the Company or any of its subsidiaries is subject.</w:t>
      </w:r>
    </w:p>
    <w:p>
      <w:pPr>
        <w:spacing w:after="0" w:line="172" w:lineRule="exact"/>
        <w:rPr>
          <w:rFonts w:ascii="Arial" w:cs="Arial" w:eastAsia="Arial" w:hAnsi="Arial"/>
          <w:sz w:val="17"/>
          <w:szCs w:val="17"/>
          <w:color w:val="auto"/>
        </w:rPr>
      </w:pPr>
    </w:p>
    <w:p>
      <w:pPr>
        <w:jc w:val="both"/>
        <w:ind w:left="-540" w:firstLine="1293"/>
        <w:spacing w:after="0" w:line="255" w:lineRule="auto"/>
        <w:tabs>
          <w:tab w:leader="none" w:pos="1557" w:val="left"/>
        </w:tabs>
        <w:numPr>
          <w:ilvl w:val="0"/>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color w:val="auto"/>
        </w:rPr>
        <w:t>. The Company and its subsidiaries have timely filed all federal, state, local and foreign income and franchise tax</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required to be filed and are not in default in the payment of any taxes which were payable pursuant to said returns or any assessments with respect thereto, other than any (i) which the Company or any of its subsidiaries is contesting in good faith or (ii) where the failure to file such return or pay such taxes would not reasonably be expected to have a Material Adverse Effect. There is no pending dispute with any taxing authority relating to any of such returns, and the Company has no knowledge of any proposed liability for any tax to be imposed upon the properties or assets of the Company for which there is not an adequate reserve reflected in the Company’s financial statements included in the Registration Statement, the Time of Sale Disclosure Package and the Prospectus.</w:t>
      </w:r>
    </w:p>
    <w:p>
      <w:pPr>
        <w:spacing w:after="0" w:line="189" w:lineRule="exact"/>
        <w:rPr>
          <w:rFonts w:ascii="Arial" w:cs="Arial" w:eastAsia="Arial" w:hAnsi="Arial"/>
          <w:sz w:val="18"/>
          <w:szCs w:val="18"/>
          <w:color w:val="auto"/>
        </w:rPr>
      </w:pPr>
    </w:p>
    <w:p>
      <w:pPr>
        <w:jc w:val="both"/>
        <w:ind w:left="-540" w:firstLine="1293"/>
        <w:spacing w:after="0" w:line="270" w:lineRule="auto"/>
        <w:tabs>
          <w:tab w:leader="none" w:pos="1621" w:val="left"/>
        </w:tabs>
        <w:numPr>
          <w:ilvl w:val="0"/>
          <w:numId w:val="12"/>
        </w:numPr>
        <w:rPr>
          <w:rFonts w:ascii="Arial" w:cs="Arial" w:eastAsia="Arial" w:hAnsi="Arial"/>
          <w:sz w:val="17"/>
          <w:szCs w:val="17"/>
          <w:color w:val="auto"/>
        </w:rPr>
      </w:pPr>
      <w:r>
        <w:rPr>
          <w:rFonts w:ascii="Arial" w:cs="Arial" w:eastAsia="Arial" w:hAnsi="Arial"/>
          <w:sz w:val="17"/>
          <w:szCs w:val="17"/>
          <w:i w:val="1"/>
          <w:iCs w:val="1"/>
          <w:u w:val="single" w:color="auto"/>
          <w:color w:val="auto"/>
        </w:rPr>
        <w:t>Exchange Listing and Exchange Act Registration</w:t>
      </w:r>
      <w:r>
        <w:rPr>
          <w:rFonts w:ascii="Arial" w:cs="Arial" w:eastAsia="Arial" w:hAnsi="Arial"/>
          <w:sz w:val="17"/>
          <w:szCs w:val="17"/>
          <w:color w:val="auto"/>
        </w:rPr>
        <w:t>. The Ordinary Shares are registered pursuant to Section 12(b)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and are included or approved for listing on The Nasdaq Global Market and the Company has taken no action designed to, or likely to have the effect of, terminating the registration of the Ordinary Shares under the Exchange Act or delisting the Ordinary Shares from The Nasdaq Global Market nor has the Company received any notification that the Commission or The Nasdaq Global Market is contemplating terminating such registration or listing. The Company has complied in all material respects with the applicable requirements of The Nasdaq Global Market for maintenance of inclusion of the Ordinary Shares. The Company has filed an application to include the Securities on The Nasdaq Global Market. Except as set forth in the Time of Sale Disclosure Package and the Prospectus, to the knowledge of the Company, no beneficial owners of the Company’s capital stock or subordinated debt who, together with their associated persons and affiliates, hold in the aggregate 10% or more of such capital stock or subordinated debt, have any direct or indirect association or affiliation with a FINRA member.</w:t>
      </w:r>
    </w:p>
    <w:p>
      <w:pPr>
        <w:spacing w:after="0" w:line="2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2" w:name="page13"/>
    <w:bookmarkEnd w:id="12"/>
    <w:p>
      <w:pPr>
        <w:jc w:val="both"/>
        <w:ind w:left="-540" w:firstLine="1293"/>
        <w:spacing w:after="0" w:line="264" w:lineRule="auto"/>
        <w:tabs>
          <w:tab w:leader="none" w:pos="1507"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Ownership of Other Entities</w:t>
      </w:r>
      <w:r>
        <w:rPr>
          <w:rFonts w:ascii="Arial" w:cs="Arial" w:eastAsia="Arial" w:hAnsi="Arial"/>
          <w:sz w:val="18"/>
          <w:szCs w:val="18"/>
          <w:color w:val="auto"/>
        </w:rPr>
        <w:t>. Except as disclosed in the Registration Statement, in the Time of Sale Disclosure Package</w:t>
      </w:r>
      <w:r>
        <w:rPr>
          <w:rFonts w:ascii="Arial" w:cs="Arial" w:eastAsia="Arial" w:hAnsi="Arial"/>
          <w:sz w:val="18"/>
          <w:szCs w:val="18"/>
          <w:i w:val="1"/>
          <w:iCs w:val="1"/>
          <w:color w:val="auto"/>
        </w:rPr>
        <w:t xml:space="preserve"> </w:t>
      </w:r>
      <w:r>
        <w:rPr>
          <w:rFonts w:ascii="Arial" w:cs="Arial" w:eastAsia="Arial" w:hAnsi="Arial"/>
          <w:sz w:val="18"/>
          <w:szCs w:val="18"/>
          <w:color w:val="auto"/>
        </w:rPr>
        <w:t>and in the Prospectus, the Company, directly or indirectly, owns no capital stock or other equity or ownership or proprietary interest in any corporation, partnership, association, trust or other entity.</w:t>
      </w:r>
    </w:p>
    <w:p>
      <w:pPr>
        <w:spacing w:after="0" w:line="181" w:lineRule="exact"/>
        <w:rPr>
          <w:rFonts w:ascii="Arial" w:cs="Arial" w:eastAsia="Arial" w:hAnsi="Arial"/>
          <w:sz w:val="18"/>
          <w:szCs w:val="18"/>
          <w:color w:val="auto"/>
        </w:rPr>
      </w:pPr>
    </w:p>
    <w:p>
      <w:pPr>
        <w:jc w:val="both"/>
        <w:ind w:left="-540" w:firstLine="1293"/>
        <w:spacing w:after="0" w:line="286" w:lineRule="auto"/>
        <w:tabs>
          <w:tab w:leader="none" w:pos="1592" w:val="left"/>
        </w:tabs>
        <w:numPr>
          <w:ilvl w:val="0"/>
          <w:numId w:val="13"/>
        </w:numPr>
        <w:rPr>
          <w:rFonts w:ascii="Arial" w:cs="Arial" w:eastAsia="Arial" w:hAnsi="Arial"/>
          <w:sz w:val="16"/>
          <w:szCs w:val="16"/>
          <w:color w:val="auto"/>
        </w:rPr>
      </w:pPr>
      <w:r>
        <w:rPr>
          <w:rFonts w:ascii="Arial" w:cs="Arial" w:eastAsia="Arial" w:hAnsi="Arial"/>
          <w:sz w:val="16"/>
          <w:szCs w:val="16"/>
          <w:i w:val="1"/>
          <w:iCs w:val="1"/>
          <w:u w:val="single" w:color="auto"/>
          <w:color w:val="auto"/>
        </w:rPr>
        <w:t>Internal Controls</w:t>
      </w:r>
      <w:r>
        <w:rPr>
          <w:rFonts w:ascii="Arial" w:cs="Arial" w:eastAsia="Arial" w:hAnsi="Arial"/>
          <w:sz w:val="16"/>
          <w:szCs w:val="16"/>
          <w:color w:val="auto"/>
        </w:rPr>
        <w:t>. The Company and its subsidiaries maintain a system of internal accounting controls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reasonable assurances that (i) transactions are executed in accordance with management’s general or specific authorization; (ii) transactions are recorded as necessary to permit preparation of financial statements in conformity with generally accepted accounting principles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Registration Statement, in the Time of Sale Disclosure Package and in the Prospectus, the Company’s internal control over financial reporting is effective and none of the Company, its board of directors or audit committee has knowledge of any “significant deficiencies” or “material weaknesses” (each as defined by the Public Company Accounting Oversight Board) in its internal control over financial reporting, or any fraud, whether or not material, that involves management or other employees of the Company or any of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Arial" w:cs="Arial" w:eastAsia="Arial" w:hAnsi="Arial"/>
          <w:sz w:val="16"/>
          <w:szCs w:val="16"/>
          <w:b w:val="1"/>
          <w:bCs w:val="1"/>
          <w:i w:val="1"/>
          <w:iCs w:val="1"/>
          <w:color w:val="auto"/>
        </w:rPr>
        <w:t>“Exchange Rules”</w:t>
      </w:r>
      <w:r>
        <w:rPr>
          <w:rFonts w:ascii="Arial" w:cs="Arial" w:eastAsia="Arial" w:hAnsi="Arial"/>
          <w:sz w:val="16"/>
          <w:szCs w:val="16"/>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68" w:lineRule="exact"/>
        <w:rPr>
          <w:rFonts w:ascii="Arial" w:cs="Arial" w:eastAsia="Arial" w:hAnsi="Arial"/>
          <w:sz w:val="16"/>
          <w:szCs w:val="16"/>
          <w:color w:val="auto"/>
        </w:rPr>
      </w:pPr>
    </w:p>
    <w:p>
      <w:pPr>
        <w:jc w:val="both"/>
        <w:ind w:left="-540" w:firstLine="1293"/>
        <w:spacing w:after="0" w:line="264" w:lineRule="auto"/>
        <w:tabs>
          <w:tab w:leader="none" w:pos="1547" w:val="left"/>
        </w:tabs>
        <w:numPr>
          <w:ilvl w:val="0"/>
          <w:numId w:val="13"/>
        </w:numPr>
        <w:rPr>
          <w:rFonts w:ascii="Arial" w:cs="Arial" w:eastAsia="Arial" w:hAnsi="Arial"/>
          <w:sz w:val="18"/>
          <w:szCs w:val="18"/>
          <w:color w:val="auto"/>
        </w:rPr>
      </w:pPr>
      <w:r>
        <w:rPr>
          <w:rFonts w:ascii="Arial" w:cs="Arial" w:eastAsia="Arial" w:hAnsi="Arial"/>
          <w:sz w:val="18"/>
          <w:szCs w:val="18"/>
          <w:i w:val="1"/>
          <w:iCs w:val="1"/>
          <w:u w:val="single" w:color="auto"/>
          <w:color w:val="auto"/>
        </w:rPr>
        <w:t>No Brokers or Finders</w:t>
      </w:r>
      <w:r>
        <w:rPr>
          <w:rFonts w:ascii="Arial" w:cs="Arial" w:eastAsia="Arial" w:hAnsi="Arial"/>
          <w:sz w:val="18"/>
          <w:szCs w:val="18"/>
          <w:color w:val="auto"/>
        </w:rPr>
        <w:t>. Other than as contemplated by this Agreement, the Company has not incurred any liability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finder’s or broker’s fee or agent’s commission in connection with the execution and delivery of this Agreement or the consummation of the transactions contemplated hereby.</w:t>
      </w:r>
    </w:p>
    <w:p>
      <w:pPr>
        <w:spacing w:after="0" w:line="181" w:lineRule="exact"/>
        <w:rPr>
          <w:rFonts w:ascii="Arial" w:cs="Arial" w:eastAsia="Arial" w:hAnsi="Arial"/>
          <w:sz w:val="18"/>
          <w:szCs w:val="18"/>
          <w:color w:val="auto"/>
        </w:rPr>
      </w:pPr>
    </w:p>
    <w:p>
      <w:pPr>
        <w:jc w:val="both"/>
        <w:ind w:left="-540" w:firstLine="1293"/>
        <w:spacing w:after="0" w:line="289" w:lineRule="auto"/>
        <w:tabs>
          <w:tab w:leader="none" w:pos="1530" w:val="left"/>
        </w:tabs>
        <w:numPr>
          <w:ilvl w:val="0"/>
          <w:numId w:val="13"/>
        </w:numPr>
        <w:rPr>
          <w:rFonts w:ascii="Arial" w:cs="Arial" w:eastAsia="Arial" w:hAnsi="Arial"/>
          <w:sz w:val="16"/>
          <w:szCs w:val="16"/>
          <w:color w:val="auto"/>
        </w:rPr>
      </w:pPr>
      <w:r>
        <w:rPr>
          <w:rFonts w:ascii="Arial" w:cs="Arial" w:eastAsia="Arial" w:hAnsi="Arial"/>
          <w:sz w:val="16"/>
          <w:szCs w:val="16"/>
          <w:i w:val="1"/>
          <w:iCs w:val="1"/>
          <w:u w:val="single" w:color="auto"/>
          <w:color w:val="auto"/>
        </w:rPr>
        <w:t>Insurance</w:t>
      </w:r>
      <w:r>
        <w:rPr>
          <w:rFonts w:ascii="Arial" w:cs="Arial" w:eastAsia="Arial" w:hAnsi="Arial"/>
          <w:sz w:val="16"/>
          <w:szCs w:val="16"/>
          <w:color w:val="auto"/>
        </w:rPr>
        <w:t>. The Company and each of its subsidiaries carries, or is covered by, insurance from reputable insurers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and covering such risks as is adequate for the conduct of its business and the value of its properties and the properties of its subsidiaries and as is customary for companies engaged in similar businesses in similar industries; all policies of insurance and any fidelity or surety bonds insuring the Company or any of its subsidiaries or its business, assets, employees, officers and directors are in full force and effect; the Company and its subsidiaries are in compliance with the terms of such policies and instruments in all material respects; there are no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27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3" w:name="page14"/>
    <w:bookmarkEnd w:id="13"/>
    <w:p>
      <w:pPr>
        <w:ind w:firstLine="1293"/>
        <w:spacing w:after="0" w:line="277" w:lineRule="auto"/>
        <w:tabs>
          <w:tab w:leader="none" w:pos="2120"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Investment Company Act</w:t>
      </w:r>
      <w:r>
        <w:rPr>
          <w:rFonts w:ascii="Arial" w:cs="Arial" w:eastAsia="Arial" w:hAnsi="Arial"/>
          <w:sz w:val="18"/>
          <w:szCs w:val="18"/>
          <w:color w:val="auto"/>
        </w:rPr>
        <w:t>. The Company is not and, after giving effect to the offering and sale of the Securities,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an “investment company,” as such term is defined in the Investment Company Act of 1940, as amended.</w:t>
      </w:r>
    </w:p>
    <w:p>
      <w:pPr>
        <w:spacing w:after="0" w:line="170" w:lineRule="exact"/>
        <w:rPr>
          <w:rFonts w:ascii="Arial" w:cs="Arial" w:eastAsia="Arial" w:hAnsi="Arial"/>
          <w:sz w:val="18"/>
          <w:szCs w:val="18"/>
          <w:color w:val="auto"/>
        </w:rPr>
      </w:pPr>
    </w:p>
    <w:p>
      <w:pPr>
        <w:ind w:left="2120" w:hanging="827"/>
        <w:spacing w:after="0"/>
        <w:tabs>
          <w:tab w:leader="none" w:pos="2120" w:val="left"/>
        </w:tabs>
        <w:numPr>
          <w:ilvl w:val="0"/>
          <w:numId w:val="14"/>
        </w:numPr>
        <w:rPr>
          <w:rFonts w:ascii="Arial" w:cs="Arial" w:eastAsia="Arial" w:hAnsi="Arial"/>
          <w:sz w:val="16"/>
          <w:szCs w:val="16"/>
          <w:color w:val="auto"/>
        </w:rPr>
      </w:pPr>
      <w:r>
        <w:rPr>
          <w:rFonts w:ascii="Arial" w:cs="Arial" w:eastAsia="Arial" w:hAnsi="Arial"/>
          <w:sz w:val="16"/>
          <w:szCs w:val="16"/>
          <w:i w:val="1"/>
          <w:iCs w:val="1"/>
          <w:u w:val="single" w:color="auto"/>
          <w:color w:val="auto"/>
        </w:rPr>
        <w:t>Eligibility to use Form F-3</w:t>
      </w:r>
      <w:r>
        <w:rPr>
          <w:rFonts w:ascii="Arial" w:cs="Arial" w:eastAsia="Arial" w:hAnsi="Arial"/>
          <w:sz w:val="16"/>
          <w:szCs w:val="16"/>
          <w:color w:val="auto"/>
        </w:rPr>
        <w:t>. The conditions for use of Form F-3, set forth in the General Instructions thereto,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210" w:lineRule="exact"/>
        <w:rPr>
          <w:rFonts w:ascii="Arial" w:cs="Arial" w:eastAsia="Arial" w:hAnsi="Arial"/>
          <w:sz w:val="16"/>
          <w:szCs w:val="16"/>
          <w:color w:val="auto"/>
        </w:rPr>
      </w:pPr>
    </w:p>
    <w:p>
      <w:pPr>
        <w:jc w:val="both"/>
        <w:ind w:firstLine="1293"/>
        <w:spacing w:after="0" w:line="271" w:lineRule="auto"/>
        <w:tabs>
          <w:tab w:leader="none" w:pos="2100" w:val="left"/>
        </w:tabs>
        <w:numPr>
          <w:ilvl w:val="0"/>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Incorporated Documents</w:t>
      </w:r>
      <w:r>
        <w:rPr>
          <w:rFonts w:ascii="Arial" w:cs="Arial" w:eastAsia="Arial" w:hAnsi="Arial"/>
          <w:sz w:val="17"/>
          <w:szCs w:val="17"/>
          <w:color w:val="auto"/>
        </w:rPr>
        <w:t>. The documents incorporated by reference in the Time of Sale Disclosure Package and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when they became effective or were filed with the Commission, as the case may be, conformed in all material respects to the requirements of the Securities Act or the Exchange Act, as applicable, and were filed on a timely basis with the Commission and none of such documents contained an untrue statement of a material fact or omitted to state a material fact necessary to make the statements therein, in the light of the circumstances under which they were made, not misleading; any further documents so filed and incorporated by reference in the Time of Sale Disclosure Package or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the light of the circumstances under which they were made, not misleading.</w:t>
      </w:r>
    </w:p>
    <w:p>
      <w:pPr>
        <w:spacing w:after="0" w:line="178" w:lineRule="exact"/>
        <w:rPr>
          <w:rFonts w:ascii="Arial" w:cs="Arial" w:eastAsia="Arial" w:hAnsi="Arial"/>
          <w:sz w:val="17"/>
          <w:szCs w:val="17"/>
          <w:color w:val="auto"/>
        </w:rPr>
      </w:pPr>
    </w:p>
    <w:p>
      <w:pPr>
        <w:ind w:right="20" w:firstLine="1293"/>
        <w:spacing w:after="0" w:line="277" w:lineRule="auto"/>
        <w:tabs>
          <w:tab w:leader="none" w:pos="2123"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Sarbanes-Oxley Act</w:t>
      </w:r>
      <w:r>
        <w:rPr>
          <w:rFonts w:ascii="Arial" w:cs="Arial" w:eastAsia="Arial" w:hAnsi="Arial"/>
          <w:sz w:val="18"/>
          <w:szCs w:val="18"/>
          <w:color w:val="auto"/>
        </w:rPr>
        <w:t>. The Company is in compliance with the provisions applicable to it of the Sarbanes-Oxley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rules and regulations of the Commission thereunder.</w:t>
      </w:r>
    </w:p>
    <w:p>
      <w:pPr>
        <w:spacing w:after="0" w:line="170" w:lineRule="exact"/>
        <w:rPr>
          <w:rFonts w:ascii="Arial" w:cs="Arial" w:eastAsia="Arial" w:hAnsi="Arial"/>
          <w:sz w:val="18"/>
          <w:szCs w:val="18"/>
          <w:color w:val="auto"/>
        </w:rPr>
      </w:pPr>
    </w:p>
    <w:p>
      <w:pPr>
        <w:jc w:val="both"/>
        <w:ind w:firstLine="1293"/>
        <w:spacing w:after="0" w:line="257" w:lineRule="auto"/>
        <w:tabs>
          <w:tab w:leader="none" w:pos="2254"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Disclosure Controls</w:t>
      </w:r>
      <w:r>
        <w:rPr>
          <w:rFonts w:ascii="Arial" w:cs="Arial" w:eastAsia="Arial" w:hAnsi="Arial"/>
          <w:sz w:val="18"/>
          <w:szCs w:val="18"/>
          <w:color w:val="auto"/>
        </w:rPr>
        <w:t>. The Company has established and maintains disclosure controls and procedures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Rules 13a-14 and 15d-14 under the Exchange Act) and such controls and procedures are effective in ensuring that material information relating to the Company, including its subsidiaries, is made known to the principal executive officer and the principal financial officer. The Company has utilized such controls and procedures in preparing and evaluating the disclosures in the Registration Statement, in the Time of Sale Disclosure Package and in the Prospectus.</w:t>
      </w:r>
    </w:p>
    <w:p>
      <w:pPr>
        <w:spacing w:after="0" w:line="188" w:lineRule="exact"/>
        <w:rPr>
          <w:rFonts w:ascii="Arial" w:cs="Arial" w:eastAsia="Arial" w:hAnsi="Arial"/>
          <w:sz w:val="18"/>
          <w:szCs w:val="18"/>
          <w:color w:val="auto"/>
        </w:rPr>
      </w:pPr>
    </w:p>
    <w:p>
      <w:pPr>
        <w:jc w:val="both"/>
        <w:ind w:firstLine="1293"/>
        <w:spacing w:after="0" w:line="259" w:lineRule="auto"/>
        <w:tabs>
          <w:tab w:leader="none" w:pos="2210" w:val="left"/>
        </w:tabs>
        <w:numPr>
          <w:ilvl w:val="0"/>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No Unlawful Contributions or Other Payments</w:t>
      </w:r>
      <w:r>
        <w:rPr>
          <w:rFonts w:ascii="Arial" w:cs="Arial" w:eastAsia="Arial" w:hAnsi="Arial"/>
          <w:sz w:val="18"/>
          <w:szCs w:val="18"/>
          <w:color w:val="auto"/>
        </w:rPr>
        <w:t>. Neither the Company nor any of its subsidiaries nor, to the best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the Time of Sale Disclosure Package or the Prospectus.</w:t>
      </w:r>
    </w:p>
    <w:p>
      <w:pPr>
        <w:spacing w:after="0" w:line="29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0" w:right="239" w:bottom="1440" w:gutter="0" w:footer="0" w:header="0"/>
        </w:sectPr>
      </w:pPr>
    </w:p>
    <w:bookmarkStart w:id="14" w:name="page15"/>
    <w:bookmarkEnd w:id="14"/>
    <w:p>
      <w:pPr>
        <w:jc w:val="both"/>
        <w:ind w:left="-540" w:firstLine="1293"/>
        <w:spacing w:after="0" w:line="288" w:lineRule="auto"/>
        <w:tabs>
          <w:tab w:leader="none" w:pos="1570" w:val="left"/>
        </w:tabs>
        <w:numPr>
          <w:ilvl w:val="0"/>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t>Foreign Corrupt Practices Act</w:t>
      </w:r>
      <w:r>
        <w:rPr>
          <w:rFonts w:ascii="Arial" w:cs="Arial" w:eastAsia="Arial" w:hAnsi="Arial"/>
          <w:sz w:val="16"/>
          <w:szCs w:val="16"/>
          <w:color w:val="auto"/>
        </w:rPr>
        <w:t>. Neither the Company nor any of its subsidiaries nor, to the knowledge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any director, officer, 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i w:val="1"/>
          <w:iCs w:val="1"/>
          <w:color w:val="auto"/>
        </w:rPr>
        <w:t>FCPA</w:t>
      </w:r>
      <w:r>
        <w:rPr>
          <w:rFonts w:ascii="Arial" w:cs="Arial" w:eastAsia="Arial" w:hAnsi="Arial"/>
          <w:sz w:val="16"/>
          <w:szCs w:val="16"/>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69" w:lineRule="exact"/>
        <w:rPr>
          <w:rFonts w:ascii="Arial" w:cs="Arial" w:eastAsia="Arial" w:hAnsi="Arial"/>
          <w:sz w:val="16"/>
          <w:szCs w:val="16"/>
          <w:color w:val="auto"/>
        </w:rPr>
      </w:pPr>
    </w:p>
    <w:p>
      <w:pPr>
        <w:jc w:val="both"/>
        <w:ind w:left="-540" w:firstLine="1293"/>
        <w:spacing w:after="0" w:line="293" w:lineRule="auto"/>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i w:val="1"/>
          <w:iCs w:val="1"/>
          <w:u w:val="single" w:color="auto"/>
          <w:color w:val="auto"/>
        </w:rPr>
        <w:t>Money Laundering Laws</w:t>
      </w:r>
      <w:r>
        <w:rPr>
          <w:rFonts w:ascii="Arial" w:cs="Arial" w:eastAsia="Arial" w:hAnsi="Arial"/>
          <w:sz w:val="16"/>
          <w:szCs w:val="16"/>
          <w:color w:val="auto"/>
        </w:rPr>
        <w:t>. The operations of the Company and its subsidiaries are, and have been conducted at all times,</w:t>
      </w:r>
      <w:r>
        <w:rPr>
          <w:rFonts w:ascii="Arial" w:cs="Arial" w:eastAsia="Arial" w:hAnsi="Arial"/>
          <w:sz w:val="16"/>
          <w:szCs w:val="16"/>
          <w:i w:val="1"/>
          <w:iCs w:val="1"/>
          <w:color w:val="auto"/>
        </w:rPr>
        <w:t xml:space="preserve"> </w:t>
      </w:r>
      <w:r>
        <w:rPr>
          <w:rFonts w:ascii="Arial" w:cs="Arial" w:eastAsia="Arial" w:hAnsi="Arial"/>
          <w:sz w:val="16"/>
          <w:szCs w:val="16"/>
          <w:color w:val="auto"/>
        </w:rPr>
        <w:t>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6"/>
          <w:szCs w:val="16"/>
          <w:b w:val="1"/>
          <w:bCs w:val="1"/>
          <w:i w:val="1"/>
          <w:i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64" w:lineRule="exact"/>
        <w:rPr>
          <w:rFonts w:ascii="Arial" w:cs="Arial" w:eastAsia="Arial" w:hAnsi="Arial"/>
          <w:sz w:val="16"/>
          <w:szCs w:val="16"/>
          <w:color w:val="auto"/>
        </w:rPr>
      </w:pPr>
    </w:p>
    <w:p>
      <w:pPr>
        <w:jc w:val="both"/>
        <w:ind w:left="-540" w:firstLine="1293"/>
        <w:spacing w:after="0" w:line="270" w:lineRule="auto"/>
        <w:tabs>
          <w:tab w:leader="none" w:pos="1624" w:val="left"/>
        </w:tabs>
        <w:numPr>
          <w:ilvl w:val="0"/>
          <w:numId w:val="15"/>
        </w:numPr>
        <w:rPr>
          <w:rFonts w:ascii="Arial" w:cs="Arial" w:eastAsia="Arial" w:hAnsi="Arial"/>
          <w:sz w:val="17"/>
          <w:szCs w:val="17"/>
          <w:color w:val="auto"/>
        </w:rPr>
      </w:pPr>
      <w:r>
        <w:rPr>
          <w:rFonts w:ascii="Arial" w:cs="Arial" w:eastAsia="Arial" w:hAnsi="Arial"/>
          <w:sz w:val="17"/>
          <w:szCs w:val="17"/>
          <w:i w:val="1"/>
          <w:iCs w:val="1"/>
          <w:u w:val="single" w:color="auto"/>
          <w:color w:val="auto"/>
        </w:rPr>
        <w:t>OFAC</w:t>
      </w:r>
      <w:r>
        <w:rPr>
          <w:rFonts w:ascii="Arial" w:cs="Arial" w:eastAsia="Arial" w:hAnsi="Arial"/>
          <w:sz w:val="17"/>
          <w:szCs w:val="17"/>
          <w:color w:val="auto"/>
        </w:rPr>
        <w:t>. Neither the Company nor any of its subsidiaries nor, to the knowledge of the Company, after due inquiry, any</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officer, agent, employee, affiliate or person acting on behalf of the Company or any of its subsidiaries is currently subject to any U.S. sanctions administered by the Office of Foreign Assets Control of the U.S. Treasury Department (“</w:t>
      </w:r>
      <w:r>
        <w:rPr>
          <w:rFonts w:ascii="Arial" w:cs="Arial" w:eastAsia="Arial" w:hAnsi="Arial"/>
          <w:sz w:val="17"/>
          <w:szCs w:val="17"/>
          <w:b w:val="1"/>
          <w:bCs w:val="1"/>
          <w:i w:val="1"/>
          <w:iCs w:val="1"/>
          <w:color w:val="auto"/>
        </w:rPr>
        <w:t>OFAC</w:t>
      </w:r>
      <w:r>
        <w:rPr>
          <w:rFonts w:ascii="Arial" w:cs="Arial" w:eastAsia="Arial" w:hAnsi="Arial"/>
          <w:sz w:val="17"/>
          <w:szCs w:val="17"/>
          <w:color w:val="auto"/>
        </w:rPr>
        <w:t>”) , the United Nations Security Council (“</w:t>
      </w:r>
      <w:r>
        <w:rPr>
          <w:rFonts w:ascii="Arial" w:cs="Arial" w:eastAsia="Arial" w:hAnsi="Arial"/>
          <w:sz w:val="17"/>
          <w:szCs w:val="17"/>
          <w:b w:val="1"/>
          <w:bCs w:val="1"/>
          <w:i w:val="1"/>
          <w:iCs w:val="1"/>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b w:val="1"/>
          <w:bCs w:val="1"/>
          <w:i w:val="1"/>
          <w:i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i w:val="1"/>
          <w:iCs w:val="1"/>
          <w:color w:val="auto"/>
        </w:rPr>
        <w:t>Sanctions</w:t>
      </w:r>
      <w:r>
        <w:rPr>
          <w:rFonts w:ascii="Arial" w:cs="Arial" w:eastAsia="Arial" w:hAnsi="Arial"/>
          <w:sz w:val="17"/>
          <w:szCs w:val="17"/>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subject to any Sanctions or in any other manner that will result in a violation by any person (including any person participating in the transaction whether as underwriter, advisor, investor or otherwise) of such Sanctions.</w:t>
      </w:r>
    </w:p>
    <w:p>
      <w:pPr>
        <w:spacing w:after="0" w:line="2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5" w:name="page16"/>
    <w:bookmarkEnd w:id="15"/>
    <w:p>
      <w:pPr>
        <w:jc w:val="both"/>
        <w:ind w:left="-540" w:firstLine="1293"/>
        <w:spacing w:after="0" w:line="270" w:lineRule="auto"/>
        <w:tabs>
          <w:tab w:leader="none" w:pos="1741"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Compliance with Environmental Laws</w:t>
      </w:r>
      <w:r>
        <w:rPr>
          <w:rFonts w:ascii="Arial" w:cs="Arial" w:eastAsia="Arial" w:hAnsi="Arial"/>
          <w:sz w:val="17"/>
          <w:szCs w:val="17"/>
          <w:color w:val="auto"/>
        </w:rPr>
        <w:t>. Except as disclosed in the Time of Disclosure Package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neither the Company nor any of its subsidiaries is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has no knowledge of any pending investigation which would reasonably be expected to lead to such a claim. Neither the Company nor any of its subsidiaries anticipates incurring any material capital expenditures relating to compliance with Environmental Laws.</w:t>
      </w:r>
    </w:p>
    <w:p>
      <w:pPr>
        <w:spacing w:after="0" w:line="181" w:lineRule="exact"/>
        <w:rPr>
          <w:rFonts w:ascii="Arial" w:cs="Arial" w:eastAsia="Arial" w:hAnsi="Arial"/>
          <w:sz w:val="17"/>
          <w:szCs w:val="17"/>
          <w:color w:val="auto"/>
        </w:rPr>
      </w:pPr>
    </w:p>
    <w:p>
      <w:pPr>
        <w:jc w:val="both"/>
        <w:ind w:left="-540" w:firstLine="1293"/>
        <w:spacing w:after="0" w:line="270" w:lineRule="auto"/>
        <w:tabs>
          <w:tab w:leader="none" w:pos="1710" w:val="left"/>
        </w:tabs>
        <w:numPr>
          <w:ilvl w:val="0"/>
          <w:numId w:val="16"/>
        </w:numPr>
        <w:rPr>
          <w:rFonts w:ascii="Arial" w:cs="Arial" w:eastAsia="Arial" w:hAnsi="Arial"/>
          <w:sz w:val="17"/>
          <w:szCs w:val="17"/>
          <w:color w:val="auto"/>
        </w:rPr>
      </w:pPr>
      <w:r>
        <w:rPr>
          <w:rFonts w:ascii="Arial" w:cs="Arial" w:eastAsia="Arial" w:hAnsi="Arial"/>
          <w:sz w:val="17"/>
          <w:szCs w:val="17"/>
          <w:i w:val="1"/>
          <w:iCs w:val="1"/>
          <w:u w:val="single" w:color="auto"/>
          <w:color w:val="auto"/>
        </w:rPr>
        <w:t>Compliance with Occupational Laws</w:t>
      </w:r>
      <w:r>
        <w:rPr>
          <w:rFonts w:ascii="Arial" w:cs="Arial" w:eastAsia="Arial" w:hAnsi="Arial"/>
          <w:sz w:val="17"/>
          <w:szCs w:val="17"/>
          <w:color w:val="auto"/>
        </w:rPr>
        <w:t>. The Company and each of its subsidiaries (A) is in compliance,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7"/>
          <w:szCs w:val="17"/>
          <w:b w:val="1"/>
          <w:bCs w:val="1"/>
          <w:i w:val="1"/>
          <w:iCs w:val="1"/>
          <w:color w:val="auto"/>
        </w:rPr>
        <w:t>“Occupational Laws”</w:t>
      </w:r>
      <w:r>
        <w:rPr>
          <w:rFonts w:ascii="Arial" w:cs="Arial" w:eastAsia="Arial" w:hAnsi="Arial"/>
          <w:sz w:val="17"/>
          <w:szCs w:val="17"/>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material action, proceeding, revocation proceeding, writ, injunction or claim is pending or, to the Company’s knowledge, threatened against the Company or any of its subsidiaries relating to Occupational Laws, and the Company does not have knowledge of any facts, circumstances or developments relating to its operations or cost accounting practices that could reasonably be expected to form the basis for or give rise to such actions, suits, investigations or proceedings.</w:t>
      </w:r>
    </w:p>
    <w:p>
      <w:pPr>
        <w:spacing w:after="0" w:line="2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6" w:name="page17"/>
    <w:bookmarkEnd w:id="16"/>
    <w:p>
      <w:pPr>
        <w:jc w:val="both"/>
        <w:ind w:left="-540" w:firstLine="1293"/>
        <w:spacing w:after="0" w:line="284" w:lineRule="auto"/>
        <w:tabs>
          <w:tab w:leader="none" w:pos="1673" w:val="left"/>
        </w:tabs>
        <w:numPr>
          <w:ilvl w:val="0"/>
          <w:numId w:val="17"/>
        </w:numPr>
        <w:rPr>
          <w:rFonts w:ascii="Arial" w:cs="Arial" w:eastAsia="Arial" w:hAnsi="Arial"/>
          <w:sz w:val="16"/>
          <w:szCs w:val="16"/>
          <w:color w:val="auto"/>
        </w:rPr>
      </w:pPr>
      <w:r>
        <w:rPr>
          <w:rFonts w:ascii="Arial" w:cs="Arial" w:eastAsia="Arial" w:hAnsi="Arial"/>
          <w:sz w:val="16"/>
          <w:szCs w:val="16"/>
          <w:i w:val="1"/>
          <w:iCs w:val="1"/>
          <w:u w:val="single" w:color="auto"/>
          <w:color w:val="auto"/>
        </w:rPr>
        <w:t>ERISA and Employee Benefits Matters</w:t>
      </w:r>
      <w:r>
        <w:rPr>
          <w:rFonts w:ascii="Arial" w:cs="Arial" w:eastAsia="Arial" w:hAnsi="Arial"/>
          <w:sz w:val="16"/>
          <w:szCs w:val="16"/>
          <w:color w:val="auto"/>
        </w:rPr>
        <w:t>. (A) To the knowledge of the Company, no “prohibited transaction”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Section 406 of ERISA (as defined below) or Section 4975 of the Code (as defined below) and not exempt under ERISA Section 408 and the regulations and published interpretations thereunder has occurred with respect to any Employee Benefit Plan (as defined below). At no time has the Company or any ERISA Affiliate (as defined below) maintained, sponsored, participated in, contributed to or has or had any liability or obligation in respect of any Employee Benefit Plan subject to Part 3 of Subtitle B of Title I of ERISA, Title IV of ERISA, or Section 412 of the Code or any “multiemployer plan” as defined in Section 3(37) of ERISA or any multiple employer plan for which the Company or any ERISA Affiliate has incurred or could incur liability under Section 4063 or 4064 of ERISA. No Employee Benefit Plan provides or promises, or at any time provided or promised, retiree health, life insurance, or other retiree welfare benefits except as may be required by the Consolidated Omnibus Budget Reconciliation Act of 1985, as amended, or similar state law. Each Employee Benefit Plan is and has been operated in material compliance with its terms and all applicable laws, including but not limited to ERISA and the Code and, to the knowledge of the Company, no event has occurred (including a “reportable event” as such term is defined in Section 4043 of ERISA) and no condition exists that would subject the Company or any ERISA Affiliate to any material tax, fine, lien, penalty or liability imposed by ERISA, the Code or other applicable law. Each Employee Benefit Plan intended to be qualified under Code Section 401(a) is so qualified and has a favorable determination or opinion letter from the IRS upon which it can rely, and any such determination or opinion letter remains in effect and has not been revoked; to the knowledge of the Company, nothing has occurred since the date of any such determination or opinion letter that is reasonably likely to adversely affect such qualification; (B) with respect to each Foreign Benefit Plan (as defined below), such Foreign Benefit Plan (1) if intended to qualify for special tax treatment, meets, in all material respects, the requirements for such treatment, and (2) if required to be funded, is funded to the extent required by applicable law, and with respect to all other Foreign Benefit Plans, adequate reserves therefor have been established on the accounting statements of the applicable Company or subsidiary; (C) the Company does not have any obligations under any collective bargaining agreement with any union and no organization efforts are underway with respect to Company employees. As used in this Agreement,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means the Internal Revenue Code of 1986, as amended; </w:t>
      </w:r>
      <w:r>
        <w:rPr>
          <w:rFonts w:ascii="Arial" w:cs="Arial" w:eastAsia="Arial" w:hAnsi="Arial"/>
          <w:sz w:val="16"/>
          <w:szCs w:val="16"/>
          <w:b w:val="1"/>
          <w:bCs w:val="1"/>
          <w:i w:val="1"/>
          <w:iCs w:val="1"/>
          <w:color w:val="auto"/>
        </w:rPr>
        <w:t xml:space="preserve">“Employee Benefit Plan” </w:t>
      </w:r>
      <w:r>
        <w:rPr>
          <w:rFonts w:ascii="Arial" w:cs="Arial" w:eastAsia="Arial" w:hAnsi="Arial"/>
          <w:sz w:val="16"/>
          <w:szCs w:val="16"/>
          <w:color w:val="auto"/>
        </w:rPr>
        <w:t>means any “employee benefit plan” within the meaning of Section 3(3) of ERISA, including, without limitation, all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purchase, stock option, stock-based incentive, severance, employment, change-in-control, medical, disability, fringe benefit, bonus, incentive, deferred compensation, employee loan and all other employee benefit plans, agreements, programs, policies or other arrangements, whether or not subject to ERISA, under which (1) any current or former employee, director or independent contractor of the Company or any of its subsidiaries has any present or future right to benefits and which are contributed to, sponsored by or maintained by the Company or any of its respective subsidiaries or (2) the Company or any of its subsidiaries has had or has any present or future obligation or liability;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xml:space="preserve"> means the Employee Retirement Income Security Act of 1974, as amended; </w:t>
      </w:r>
      <w:r>
        <w:rPr>
          <w:rFonts w:ascii="Arial" w:cs="Arial" w:eastAsia="Arial" w:hAnsi="Arial"/>
          <w:sz w:val="16"/>
          <w:szCs w:val="16"/>
          <w:b w:val="1"/>
          <w:bCs w:val="1"/>
          <w:i w:val="1"/>
          <w:iCs w:val="1"/>
          <w:color w:val="auto"/>
        </w:rPr>
        <w:t>“ERISA Affiliate”</w:t>
      </w:r>
      <w:r>
        <w:rPr>
          <w:rFonts w:ascii="Arial" w:cs="Arial" w:eastAsia="Arial" w:hAnsi="Arial"/>
          <w:sz w:val="16"/>
          <w:szCs w:val="16"/>
          <w:color w:val="auto"/>
        </w:rPr>
        <w:t xml:space="preserve"> means any member of the company’s controlled group as defined in Code Section 414(b), (c), (m) or (o); and </w:t>
      </w:r>
      <w:r>
        <w:rPr>
          <w:rFonts w:ascii="Arial" w:cs="Arial" w:eastAsia="Arial" w:hAnsi="Arial"/>
          <w:sz w:val="16"/>
          <w:szCs w:val="16"/>
          <w:b w:val="1"/>
          <w:bCs w:val="1"/>
          <w:i w:val="1"/>
          <w:iCs w:val="1"/>
          <w:color w:val="auto"/>
        </w:rPr>
        <w:t>“Foreign Benefit Plan”</w:t>
      </w:r>
      <w:r>
        <w:rPr>
          <w:rFonts w:ascii="Arial" w:cs="Arial" w:eastAsia="Arial" w:hAnsi="Arial"/>
          <w:sz w:val="16"/>
          <w:szCs w:val="16"/>
          <w:color w:val="auto"/>
        </w:rPr>
        <w:t xml:space="preserve"> means any Employee Benefit Plan established, maintained or contributed to outside of the United States of America or which covers any employee working or residing outside of the United States.</w:t>
      </w:r>
    </w:p>
    <w:p>
      <w:pPr>
        <w:spacing w:after="0" w:line="168" w:lineRule="exact"/>
        <w:rPr>
          <w:rFonts w:ascii="Arial" w:cs="Arial" w:eastAsia="Arial" w:hAnsi="Arial"/>
          <w:sz w:val="16"/>
          <w:szCs w:val="16"/>
          <w:color w:val="auto"/>
        </w:rPr>
      </w:pPr>
    </w:p>
    <w:p>
      <w:pPr>
        <w:jc w:val="both"/>
        <w:ind w:left="-540" w:firstLine="1293"/>
        <w:spacing w:after="0" w:line="279" w:lineRule="auto"/>
        <w:tabs>
          <w:tab w:leader="none" w:pos="1677"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Business Arrangements</w:t>
      </w:r>
      <w:r>
        <w:rPr>
          <w:rFonts w:ascii="Arial" w:cs="Arial" w:eastAsia="Arial" w:hAnsi="Arial"/>
          <w:sz w:val="17"/>
          <w:szCs w:val="17"/>
          <w:color w:val="auto"/>
        </w:rPr>
        <w:t>. Except as disclosed in the Registration Statement, the Time of Sale Disclosure Package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Prospectus, neither the Company nor any of its subsidiaries has granted rights to develop, manufacture, produce, assemble, distribute, license, market or sell its products to any other person and is not bound by any agreement that affects the exclusive right of the Company or such subsidiary to develop, manufacture, produce, assemble, distribute, license, market or sell its products.</w:t>
      </w:r>
    </w:p>
    <w:p>
      <w:pPr>
        <w:spacing w:after="0" w:line="28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17" w:name="page18"/>
    <w:bookmarkEnd w:id="17"/>
    <w:p>
      <w:pPr>
        <w:jc w:val="both"/>
        <w:ind w:firstLine="1293"/>
        <w:spacing w:after="0" w:line="259" w:lineRule="auto"/>
        <w:tabs>
          <w:tab w:leader="none" w:pos="2200"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Labor Matters</w:t>
      </w:r>
      <w:r>
        <w:rPr>
          <w:rFonts w:ascii="Arial" w:cs="Arial" w:eastAsia="Arial" w:hAnsi="Arial"/>
          <w:sz w:val="18"/>
          <w:szCs w:val="18"/>
          <w:color w:val="auto"/>
        </w:rPr>
        <w:t>. No labor problem or dispute with the employees of the Company or any of its subsidiaries exists 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knowledge of the Company, is threatened, and the Company has no knowledge of any existing or imminent labor disturbance by the employees of any of its or its subsidiaries’ principal suppliers, contractors or customers, that would reasonably be expected to result in a Material Adverse Effect.</w:t>
      </w:r>
    </w:p>
    <w:p>
      <w:pPr>
        <w:spacing w:after="0" w:line="186" w:lineRule="exact"/>
        <w:rPr>
          <w:rFonts w:ascii="Arial" w:cs="Arial" w:eastAsia="Arial" w:hAnsi="Arial"/>
          <w:sz w:val="18"/>
          <w:szCs w:val="18"/>
          <w:color w:val="auto"/>
        </w:rPr>
      </w:pPr>
    </w:p>
    <w:p>
      <w:pPr>
        <w:jc w:val="both"/>
        <w:ind w:firstLine="1293"/>
        <w:spacing w:after="0" w:line="257" w:lineRule="auto"/>
        <w:tabs>
          <w:tab w:leader="none" w:pos="2232"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Restrictions on Subsidiary Payments to the Company</w:t>
      </w:r>
      <w:r>
        <w:rPr>
          <w:rFonts w:ascii="Arial" w:cs="Arial" w:eastAsia="Arial" w:hAnsi="Arial"/>
          <w:sz w:val="18"/>
          <w:szCs w:val="18"/>
          <w:color w:val="auto"/>
        </w:rPr>
        <w:t>. No subsidiary of the Company is currently prohibited,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Time of Sale Disclosure Package and the Prospectus.</w:t>
      </w:r>
    </w:p>
    <w:p>
      <w:pPr>
        <w:spacing w:after="0" w:line="188" w:lineRule="exact"/>
        <w:rPr>
          <w:rFonts w:ascii="Arial" w:cs="Arial" w:eastAsia="Arial" w:hAnsi="Arial"/>
          <w:sz w:val="18"/>
          <w:szCs w:val="18"/>
          <w:color w:val="auto"/>
        </w:rPr>
      </w:pPr>
    </w:p>
    <w:p>
      <w:pPr>
        <w:jc w:val="both"/>
        <w:ind w:firstLine="1293"/>
        <w:spacing w:after="0" w:line="264" w:lineRule="auto"/>
        <w:tabs>
          <w:tab w:leader="none" w:pos="2552"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Statistical Information</w:t>
      </w:r>
      <w:r>
        <w:rPr>
          <w:rFonts w:ascii="Arial" w:cs="Arial" w:eastAsia="Arial" w:hAnsi="Arial"/>
          <w:sz w:val="18"/>
          <w:szCs w:val="18"/>
          <w:color w:val="auto"/>
        </w:rPr>
        <w:t>. Any third-party statistical and market-related data included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Sale Disclosure Package and the Prospectus are based on or derived from sources that the Company believes to be reliable and accurate in all material respects.</w:t>
      </w:r>
    </w:p>
    <w:p>
      <w:pPr>
        <w:spacing w:after="0" w:line="181" w:lineRule="exact"/>
        <w:rPr>
          <w:rFonts w:ascii="Arial" w:cs="Arial" w:eastAsia="Arial" w:hAnsi="Arial"/>
          <w:sz w:val="18"/>
          <w:szCs w:val="18"/>
          <w:color w:val="auto"/>
        </w:rPr>
      </w:pPr>
    </w:p>
    <w:p>
      <w:pPr>
        <w:jc w:val="both"/>
        <w:ind w:firstLine="1293"/>
        <w:spacing w:after="0" w:line="264" w:lineRule="auto"/>
        <w:tabs>
          <w:tab w:leader="none" w:pos="2376"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Forward-looking Statements</w:t>
      </w:r>
      <w:r>
        <w:rPr>
          <w:rFonts w:ascii="Arial" w:cs="Arial" w:eastAsia="Arial" w:hAnsi="Arial"/>
          <w:sz w:val="18"/>
          <w:szCs w:val="18"/>
          <w:color w:val="auto"/>
        </w:rPr>
        <w:t>. No forward-looking statement (within the meaning of Section 27A of the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21E of the Exchange Act) contained in the Registration Statement, the Pricing Disclosure Package or the Prospectus has been made or reaffirmed without a reasonable basis or has been disclosed other than in good faith.</w:t>
      </w:r>
    </w:p>
    <w:p>
      <w:pPr>
        <w:spacing w:after="0" w:line="18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6"/>
          <w:szCs w:val="16"/>
          <w:color w:val="auto"/>
        </w:rPr>
        <w:t>(xl)</w:t>
      </w:r>
      <w:r>
        <w:rPr>
          <w:sz w:val="20"/>
          <w:szCs w:val="20"/>
          <w:color w:val="auto"/>
        </w:rPr>
        <w:tab/>
      </w:r>
      <w:r>
        <w:rPr>
          <w:rFonts w:ascii="Arial" w:cs="Arial" w:eastAsia="Arial" w:hAnsi="Arial"/>
          <w:sz w:val="16"/>
          <w:szCs w:val="16"/>
          <w:i w:val="1"/>
          <w:iCs w:val="1"/>
          <w:u w:val="single" w:color="auto"/>
          <w:color w:val="auto"/>
        </w:rPr>
        <w:t>Emerging Growth Company</w:t>
      </w:r>
      <w:r>
        <w:rPr>
          <w:rFonts w:ascii="Arial" w:cs="Arial" w:eastAsia="Arial" w:hAnsi="Arial"/>
          <w:sz w:val="16"/>
          <w:szCs w:val="16"/>
          <w:color w:val="auto"/>
        </w:rPr>
        <w:t>. The Company is an “emerging growth company,” as defined in Section 2(a) of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i w:val="1"/>
          <w:iCs w:val="1"/>
          <w:u w:val="single" w:color="auto"/>
          <w:color w:val="auto"/>
        </w:rPr>
        <w:t>Agent for Service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has validly appointed Alcobra Inc., 600 West Germantown Pike, Suite 400, Plymouth Meeting, PA, 19462, as its authorized agent for service of process in the United States.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(xlii) </w:t>
      </w:r>
      <w:r>
        <w:rPr>
          <w:rFonts w:ascii="Arial" w:cs="Arial" w:eastAsia="Arial" w:hAnsi="Arial"/>
          <w:sz w:val="18"/>
          <w:szCs w:val="18"/>
          <w:i w:val="1"/>
          <w:iCs w:val="1"/>
          <w:u w:val="single" w:color="auto"/>
          <w:color w:val="auto"/>
        </w:rPr>
        <w:t>No Immunity</w:t>
      </w:r>
      <w:r>
        <w:rPr>
          <w:rFonts w:ascii="Arial" w:cs="Arial" w:eastAsia="Arial" w:hAnsi="Arial"/>
          <w:sz w:val="18"/>
          <w:szCs w:val="18"/>
          <w:color w:val="auto"/>
        </w:rPr>
        <w:t>. Neither the Company nor any of its properties or assets has any immunity from the jurisdiction of any court or from any legal process (whether through service or notice, attachment prior to judgment, attachment in aid of execution or otherwise) under the laws of the State of Israel.</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i w:val="1"/>
          <w:iCs w:val="1"/>
          <w:u w:val="single" w:color="auto"/>
          <w:color w:val="auto"/>
        </w:rPr>
        <w:t>No Israeli Consent</w:t>
      </w:r>
      <w:r>
        <w:rPr>
          <w:rFonts w:ascii="Arial" w:cs="Arial" w:eastAsia="Arial" w:hAnsi="Arial"/>
          <w:sz w:val="18"/>
          <w:szCs w:val="18"/>
          <w:color w:val="auto"/>
        </w:rPr>
        <w:t>. No consent, approval, authorization or order of, or filing, qualification or registration with, any Israeli court or governmental agency or body, which has not been made, obtained or taken and is not in full force and effect, is required for the execution, delivery and performance of this Agreement by the Company, the offer or sale of the Securities or the consummation of the transactions contemplated hereby or thereby, other than (A) the obligation to file certain information in connection with the First Closing and each Option Closing with the Israeli Investment Center and the Chief Scientist and (B) the filing of certain notices with the Registrar of Companies in the State of Israel regarding the issuance of shares.</w:t>
      </w:r>
    </w:p>
    <w:p>
      <w:pPr>
        <w:spacing w:after="0" w:line="3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0" w:right="239" w:bottom="1440" w:gutter="0" w:footer="0" w:header="0"/>
        </w:sectPr>
      </w:pPr>
    </w:p>
    <w:bookmarkStart w:id="18" w:name="page19"/>
    <w:bookmarkEnd w:id="18"/>
    <w:p>
      <w:pPr>
        <w:jc w:val="both"/>
        <w:ind w:firstLine="1297"/>
        <w:spacing w:after="0" w:line="273" w:lineRule="auto"/>
        <w:rPr>
          <w:sz w:val="20"/>
          <w:szCs w:val="20"/>
          <w:color w:val="auto"/>
        </w:rPr>
      </w:pPr>
      <w:r>
        <w:rPr>
          <w:rFonts w:ascii="Arial" w:cs="Arial" w:eastAsia="Arial" w:hAnsi="Arial"/>
          <w:sz w:val="17"/>
          <w:szCs w:val="17"/>
          <w:color w:val="auto"/>
        </w:rPr>
        <w:t xml:space="preserve">(xliv) </w:t>
      </w:r>
      <w:r>
        <w:rPr>
          <w:rFonts w:ascii="Arial" w:cs="Arial" w:eastAsia="Arial" w:hAnsi="Arial"/>
          <w:sz w:val="17"/>
          <w:szCs w:val="17"/>
          <w:i w:val="1"/>
          <w:iCs w:val="1"/>
          <w:u w:val="single" w:color="auto"/>
          <w:color w:val="auto"/>
        </w:rPr>
        <w:t>Tax</w:t>
      </w:r>
      <w:r>
        <w:rPr>
          <w:rFonts w:ascii="Arial" w:cs="Arial" w:eastAsia="Arial" w:hAnsi="Arial"/>
          <w:sz w:val="17"/>
          <w:szCs w:val="17"/>
          <w:color w:val="auto"/>
        </w:rPr>
        <w:t>. No transaction, stamp or other issuance or transfer taxes or duties, and assuming that the Underwriters are not otherwise subject to taxation in Israel due to Israeli tax residence or the existence of a permanent establishment in Israel, then no capital gains, income, withholding or other taxes are payable by or on behalf of the Underwriters to the State of Israel or to any political subdivision or authority thereof or therein in connection with (i) the issuance, sale and delivery of the Securities by the Company; (ii) the purchase from the Company, and the initial sale and delivery by the Underwriters of the Securities to purchasers thereof; (iii) the holding or transfer of the Securities; or (iv) the execution and delivery of this Agreement or any other document to be furnished hereunder.</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(xlv) </w:t>
      </w:r>
      <w:r>
        <w:rPr>
          <w:rFonts w:ascii="Arial" w:cs="Arial" w:eastAsia="Arial" w:hAnsi="Arial"/>
          <w:sz w:val="18"/>
          <w:szCs w:val="18"/>
          <w:i w:val="1"/>
          <w:iCs w:val="1"/>
          <w:u w:val="single" w:color="auto"/>
          <w:color w:val="auto"/>
        </w:rPr>
        <w:t>No Solicitation</w:t>
      </w:r>
      <w:r>
        <w:rPr>
          <w:rFonts w:ascii="Arial" w:cs="Arial" w:eastAsia="Arial" w:hAnsi="Arial"/>
          <w:sz w:val="18"/>
          <w:szCs w:val="18"/>
          <w:color w:val="auto"/>
        </w:rPr>
        <w:t>. The Company has not engaged in any form of solicitation, advertising or any other action constituting an offer or sale of securities under the Israeli Securities Law, 5728-1968, as amended, and the regulations promulgated thereunder (collectively, the “</w:t>
      </w:r>
      <w:r>
        <w:rPr>
          <w:rFonts w:ascii="Arial" w:cs="Arial" w:eastAsia="Arial" w:hAnsi="Arial"/>
          <w:sz w:val="18"/>
          <w:szCs w:val="18"/>
          <w:b w:val="1"/>
          <w:bCs w:val="1"/>
          <w:i w:val="1"/>
          <w:iCs w:val="1"/>
          <w:color w:val="auto"/>
        </w:rPr>
        <w:t>Israeli Securities Law</w:t>
      </w:r>
      <w:r>
        <w:rPr>
          <w:rFonts w:ascii="Arial" w:cs="Arial" w:eastAsia="Arial" w:hAnsi="Arial"/>
          <w:sz w:val="18"/>
          <w:szCs w:val="18"/>
          <w:color w:val="auto"/>
        </w:rPr>
        <w:t>”) in connection with the transactions contemplated hereby which would require the Company to publish a prospectus in the State of Israel under the laws of the State of Israel.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ind w:left="1300"/>
              <w:spacing w:after="0"/>
              <w:rPr>
                <w:sz w:val="20"/>
                <w:szCs w:val="20"/>
                <w:color w:val="auto"/>
              </w:rPr>
            </w:pPr>
            <w:r>
              <w:rPr>
                <w:rFonts w:ascii="Arial" w:cs="Arial" w:eastAsia="Arial" w:hAnsi="Arial"/>
                <w:sz w:val="18"/>
                <w:szCs w:val="18"/>
                <w:color w:val="auto"/>
              </w:rPr>
              <w:t>(xlvi)</w:t>
            </w: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86"/>
              </w:rPr>
              <w:t>Stamp Duty.</w:t>
            </w:r>
          </w:p>
        </w:tc>
        <w:tc>
          <w:tcPr>
            <w:tcW w:w="180" w:type="dxa"/>
            <w:vAlign w:val="bottom"/>
          </w:tcPr>
          <w:p>
            <w:pPr>
              <w:spacing w:after="0"/>
              <w:rPr>
                <w:sz w:val="17"/>
                <w:szCs w:val="17"/>
                <w:color w:val="auto"/>
              </w:rPr>
            </w:pPr>
          </w:p>
        </w:tc>
        <w:tc>
          <w:tcPr>
            <w:tcW w:w="7640" w:type="dxa"/>
            <w:vAlign w:val="bottom"/>
          </w:tcPr>
          <w:p>
            <w:pPr>
              <w:jc w:val="right"/>
              <w:spacing w:after="0"/>
              <w:rPr>
                <w:sz w:val="20"/>
                <w:szCs w:val="20"/>
                <w:color w:val="auto"/>
              </w:rPr>
            </w:pPr>
            <w:r>
              <w:rPr>
                <w:rFonts w:ascii="Arial" w:cs="Arial" w:eastAsia="Arial" w:hAnsi="Arial"/>
                <w:sz w:val="18"/>
                <w:szCs w:val="18"/>
                <w:color w:val="auto"/>
                <w:w w:val="94"/>
              </w:rPr>
              <w:t>No stamp duty or similar tax or duty is payable under applicable laws or regulations in connection with</w:t>
            </w:r>
          </w:p>
        </w:tc>
      </w:tr>
      <w:tr>
        <w:trPr>
          <w:trHeight w:val="237"/>
        </w:trPr>
        <w:tc>
          <w:tcPr>
            <w:tcW w:w="10760" w:type="dxa"/>
            <w:vAlign w:val="bottom"/>
            <w:gridSpan w:val="6"/>
          </w:tcPr>
          <w:p>
            <w:pPr>
              <w:spacing w:after="0"/>
              <w:rPr>
                <w:sz w:val="20"/>
                <w:szCs w:val="20"/>
                <w:color w:val="auto"/>
              </w:rPr>
            </w:pPr>
            <w:r>
              <w:rPr>
                <w:rFonts w:ascii="Arial" w:cs="Arial" w:eastAsia="Arial" w:hAnsi="Arial"/>
                <w:sz w:val="18"/>
                <w:szCs w:val="18"/>
                <w:color w:val="auto"/>
              </w:rPr>
              <w:t>the creation, issuance or delivery of the Securities.</w:t>
            </w:r>
          </w:p>
        </w:tc>
      </w:tr>
      <w:tr>
        <w:trPr>
          <w:trHeight w:val="392"/>
        </w:trPr>
        <w:tc>
          <w:tcPr>
            <w:tcW w:w="2060" w:type="dxa"/>
            <w:vAlign w:val="bottom"/>
          </w:tcPr>
          <w:p>
            <w:pPr>
              <w:ind w:left="1300"/>
              <w:spacing w:after="0"/>
              <w:rPr>
                <w:sz w:val="20"/>
                <w:szCs w:val="20"/>
                <w:color w:val="auto"/>
              </w:rPr>
            </w:pPr>
            <w:r>
              <w:rPr>
                <w:rFonts w:ascii="Arial" w:cs="Arial" w:eastAsia="Arial" w:hAnsi="Arial"/>
                <w:sz w:val="18"/>
                <w:szCs w:val="18"/>
                <w:color w:val="auto"/>
              </w:rPr>
              <w:t>(xlvii)</w:t>
            </w:r>
          </w:p>
        </w:tc>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i w:val="1"/>
                <w:iCs w:val="1"/>
                <w:color w:val="auto"/>
              </w:rPr>
              <w:t>Judgments.</w:t>
            </w:r>
          </w:p>
        </w:tc>
        <w:tc>
          <w:tcPr>
            <w:tcW w:w="7640" w:type="dxa"/>
            <w:vAlign w:val="bottom"/>
          </w:tcPr>
          <w:p>
            <w:pPr>
              <w:jc w:val="right"/>
              <w:spacing w:after="0"/>
              <w:rPr>
                <w:sz w:val="20"/>
                <w:szCs w:val="20"/>
                <w:color w:val="auto"/>
              </w:rPr>
            </w:pPr>
            <w:r>
              <w:rPr>
                <w:rFonts w:ascii="Arial" w:cs="Arial" w:eastAsia="Arial" w:hAnsi="Arial"/>
                <w:sz w:val="18"/>
                <w:szCs w:val="18"/>
                <w:color w:val="auto"/>
                <w:w w:val="94"/>
              </w:rPr>
              <w:t>Subject to the conditions and qualifications set forth in the Registration Statement, in the Time of Sale</w:t>
            </w: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Disclosure Package and in the Prospectus, a final and conclusive judgment against the Company for a definitive sum of money entered by any court in the United States may be enforced by an Israeli court.</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(xlviii) </w:t>
      </w:r>
      <w:r>
        <w:rPr>
          <w:rFonts w:ascii="Arial" w:cs="Arial" w:eastAsia="Arial" w:hAnsi="Arial"/>
          <w:sz w:val="18"/>
          <w:szCs w:val="18"/>
          <w:i w:val="1"/>
          <w:iCs w:val="1"/>
          <w:u w:val="single" w:color="auto"/>
          <w:color w:val="auto"/>
        </w:rPr>
        <w:t>Securities Issuances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described in the Registration Statement, in the Time of Sale Disclosure Package and in the Prospectus, for a period of 12 months prior to and including the date of the Closing, the Company has not offered or sold any of its securities in Israel, except for the issuance of the Ordinary Shares, options to purchase Ordinary Shares exercisable under the Company’s equity incentive plans and preferred shares, which are exempt from prospectus requirements under the Israeli Securities Law or otherwise as described in the Registration Statement.</w:t>
      </w:r>
    </w:p>
    <w:p>
      <w:pPr>
        <w:spacing w:after="0" w:line="188" w:lineRule="exact"/>
        <w:rPr>
          <w:sz w:val="20"/>
          <w:szCs w:val="20"/>
          <w:color w:val="auto"/>
        </w:rPr>
      </w:pPr>
    </w:p>
    <w:p>
      <w:pPr>
        <w:ind w:left="1300"/>
        <w:spacing w:after="0"/>
        <w:tabs>
          <w:tab w:leader="none" w:pos="2040" w:val="left"/>
          <w:tab w:leader="none" w:pos="3080" w:val="left"/>
        </w:tabs>
        <w:rPr>
          <w:sz w:val="20"/>
          <w:szCs w:val="20"/>
          <w:color w:val="auto"/>
        </w:rPr>
      </w:pPr>
      <w:r>
        <w:rPr>
          <w:rFonts w:ascii="Arial" w:cs="Arial" w:eastAsia="Arial" w:hAnsi="Arial"/>
          <w:sz w:val="18"/>
          <w:szCs w:val="18"/>
          <w:color w:val="auto"/>
        </w:rPr>
        <w:t>(xlix)</w:t>
      </w:r>
      <w:r>
        <w:rPr>
          <w:sz w:val="20"/>
          <w:szCs w:val="20"/>
          <w:color w:val="auto"/>
        </w:rPr>
        <w:tab/>
      </w:r>
      <w:r>
        <w:rPr>
          <w:rFonts w:ascii="Arial" w:cs="Arial" w:eastAsia="Arial" w:hAnsi="Arial"/>
          <w:sz w:val="18"/>
          <w:szCs w:val="18"/>
          <w:i w:val="1"/>
          <w:iCs w:val="1"/>
          <w:u w:val="single" w:color="auto"/>
          <w:color w:val="auto"/>
        </w:rPr>
        <w:t>Dissolution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proceedings have been instituted in the State of Israel for the dissolution of the Company.</w:t>
      </w:r>
    </w:p>
    <w:p>
      <w:pPr>
        <w:spacing w:after="0" w:line="225" w:lineRule="exact"/>
        <w:rPr>
          <w:sz w:val="20"/>
          <w:szCs w:val="20"/>
          <w:color w:val="auto"/>
        </w:rPr>
      </w:pPr>
    </w:p>
    <w:p>
      <w:pPr>
        <w:ind w:firstLine="1293"/>
        <w:spacing w:after="0" w:line="277" w:lineRule="auto"/>
        <w:tabs>
          <w:tab w:leader="none" w:pos="1682"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Israeli Investors</w:t>
      </w:r>
      <w:r>
        <w:rPr>
          <w:rFonts w:ascii="Arial" w:cs="Arial" w:eastAsia="Arial" w:hAnsi="Arial"/>
          <w:sz w:val="18"/>
          <w:szCs w:val="18"/>
          <w:color w:val="auto"/>
        </w:rPr>
        <w:t>. The Company acknowledges, understands and agrees that Securities may be sold in Israel only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and only to such Israeli investors listed in the First Addendum to the Israeli Securities Law.</w:t>
      </w:r>
    </w:p>
    <w:p>
      <w:pPr>
        <w:spacing w:after="0" w:line="170" w:lineRule="exact"/>
        <w:rPr>
          <w:sz w:val="20"/>
          <w:szCs w:val="20"/>
          <w:color w:val="auto"/>
        </w:rPr>
      </w:pPr>
    </w:p>
    <w:p>
      <w:pPr>
        <w:jc w:val="both"/>
        <w:ind w:left="1300"/>
        <w:spacing w:after="0"/>
        <w:tabs>
          <w:tab w:leader="none" w:pos="1940" w:val="left"/>
        </w:tabs>
        <w:rPr>
          <w:sz w:val="20"/>
          <w:szCs w:val="20"/>
          <w:color w:val="auto"/>
        </w:rPr>
      </w:pPr>
      <w:r>
        <w:rPr>
          <w:rFonts w:ascii="Arial" w:cs="Arial" w:eastAsia="Arial" w:hAnsi="Arial"/>
          <w:sz w:val="18"/>
          <w:szCs w:val="18"/>
          <w:color w:val="auto"/>
        </w:rPr>
        <w:t>(li)</w:t>
      </w:r>
      <w:r>
        <w:rPr>
          <w:sz w:val="20"/>
          <w:szCs w:val="20"/>
          <w:color w:val="auto"/>
        </w:rPr>
        <w:tab/>
      </w:r>
      <w:r>
        <w:rPr>
          <w:rFonts w:ascii="Arial" w:cs="Arial" w:eastAsia="Arial" w:hAnsi="Arial"/>
          <w:sz w:val="18"/>
          <w:szCs w:val="18"/>
          <w:i w:val="1"/>
          <w:iCs w:val="1"/>
          <w:u w:val="single" w:color="auto"/>
          <w:color w:val="auto"/>
        </w:rPr>
        <w:t>Foreign Private Issuer</w:t>
      </w:r>
      <w:r>
        <w:rPr>
          <w:rFonts w:ascii="Arial" w:cs="Arial" w:eastAsia="Arial" w:hAnsi="Arial"/>
          <w:sz w:val="18"/>
          <w:szCs w:val="18"/>
          <w:color w:val="auto"/>
        </w:rPr>
        <w:t>. The Company is a “foreign private issuer” within the meaning of Rule 405 under the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00" w:right="239" w:bottom="1440" w:gutter="0" w:footer="0" w:header="0"/>
        </w:sectPr>
      </w:pPr>
    </w:p>
    <w:bookmarkStart w:id="19" w:name="page20"/>
    <w:bookmarkEnd w:id="19"/>
    <w:p>
      <w:pPr>
        <w:jc w:val="both"/>
        <w:ind w:left="640" w:firstLine="1297"/>
        <w:spacing w:after="0" w:line="259" w:lineRule="auto"/>
        <w:rPr>
          <w:sz w:val="20"/>
          <w:szCs w:val="20"/>
          <w:color w:val="auto"/>
        </w:rPr>
      </w:pPr>
      <w:r>
        <w:rPr>
          <w:rFonts w:ascii="Arial" w:cs="Arial" w:eastAsia="Arial" w:hAnsi="Arial"/>
          <w:sz w:val="18"/>
          <w:szCs w:val="18"/>
          <w:color w:val="auto"/>
        </w:rPr>
        <w:t xml:space="preserve">(lii) </w:t>
      </w:r>
      <w:r>
        <w:rPr>
          <w:rFonts w:ascii="Arial" w:cs="Arial" w:eastAsia="Arial" w:hAnsi="Arial"/>
          <w:sz w:val="18"/>
          <w:szCs w:val="18"/>
          <w:i w:val="1"/>
          <w:iCs w:val="1"/>
          <w:u w:val="single" w:color="auto"/>
          <w:color w:val="auto"/>
        </w:rPr>
        <w:t>PFIC Status</w:t>
      </w:r>
      <w:r>
        <w:rPr>
          <w:rFonts w:ascii="Arial" w:cs="Arial" w:eastAsia="Arial" w:hAnsi="Arial"/>
          <w:sz w:val="18"/>
          <w:szCs w:val="18"/>
          <w:color w:val="auto"/>
        </w:rPr>
        <w:t>. Based on the nature of the Company’s business, the projected composition of its income and the projected composition and estimated fair market values of the Company’s assets, the Company cannot rule out that it will be a passive foreign investment company within the meaning of Section 1297 of the United States Internal Revenue Code of 1986, as amended or the regulations promulgated thereunder in 2013, 2014 or a subsequent year.</w:t>
      </w:r>
    </w:p>
    <w:p>
      <w:pPr>
        <w:spacing w:after="0" w:line="187" w:lineRule="exact"/>
        <w:rPr>
          <w:sz w:val="20"/>
          <w:szCs w:val="20"/>
          <w:color w:val="auto"/>
        </w:rPr>
      </w:pPr>
    </w:p>
    <w:p>
      <w:pPr>
        <w:jc w:val="both"/>
        <w:ind w:left="640" w:firstLine="1297"/>
        <w:spacing w:after="0" w:line="286" w:lineRule="auto"/>
        <w:rPr>
          <w:sz w:val="20"/>
          <w:szCs w:val="20"/>
          <w:color w:val="auto"/>
        </w:rPr>
      </w:pPr>
      <w:r>
        <w:rPr>
          <w:rFonts w:ascii="Arial" w:cs="Arial" w:eastAsia="Arial" w:hAnsi="Arial"/>
          <w:sz w:val="16"/>
          <w:szCs w:val="16"/>
          <w:color w:val="auto"/>
        </w:rPr>
        <w:t xml:space="preserve">(liii) </w:t>
      </w:r>
      <w:r>
        <w:rPr>
          <w:rFonts w:ascii="Arial" w:cs="Arial" w:eastAsia="Arial" w:hAnsi="Arial"/>
          <w:sz w:val="16"/>
          <w:szCs w:val="16"/>
          <w:i w:val="1"/>
          <w:iCs w:val="1"/>
          <w:u w:val="single" w:color="auto"/>
          <w:color w:val="auto"/>
        </w:rPr>
        <w:t>Clinical Data and Regulatory Compliance</w:t>
      </w:r>
      <w:r>
        <w:rPr>
          <w:rFonts w:ascii="Arial" w:cs="Arial" w:eastAsia="Arial" w:hAnsi="Arial"/>
          <w:sz w:val="16"/>
          <w:szCs w:val="16"/>
          <w:color w:val="auto"/>
        </w:rPr>
        <w:t>. The preclinical tests and clinical trials, and other studies (collectively, “</w:t>
      </w:r>
      <w:r>
        <w:rPr>
          <w:rFonts w:ascii="Arial" w:cs="Arial" w:eastAsia="Arial" w:hAnsi="Arial"/>
          <w:sz w:val="16"/>
          <w:szCs w:val="16"/>
          <w:b w:val="1"/>
          <w:bCs w:val="1"/>
          <w:i w:val="1"/>
          <w:iCs w:val="1"/>
          <w:color w:val="auto"/>
        </w:rPr>
        <w:t>studies</w:t>
      </w:r>
      <w:r>
        <w:rPr>
          <w:rFonts w:ascii="Arial" w:cs="Arial" w:eastAsia="Arial" w:hAnsi="Arial"/>
          <w:sz w:val="16"/>
          <w:szCs w:val="16"/>
          <w:color w:val="auto"/>
        </w:rPr>
        <w:t>”) that are described in, or the results of which are referred to in, the Registration Statement, the Time of Sale Disclosure Package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Time of Sale Disclosure Package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Arial" w:cs="Arial" w:eastAsia="Arial" w:hAnsi="Arial"/>
          <w:sz w:val="16"/>
          <w:szCs w:val="16"/>
          <w:b w:val="1"/>
          <w:bCs w:val="1"/>
          <w:i w:val="1"/>
          <w:iCs w:val="1"/>
          <w:color w:val="auto"/>
        </w:rPr>
        <w:t>Regulatory Agencies</w:t>
      </w:r>
      <w:r>
        <w:rPr>
          <w:rFonts w:ascii="Arial" w:cs="Arial" w:eastAsia="Arial" w:hAnsi="Arial"/>
          <w:sz w:val="16"/>
          <w:szCs w:val="16"/>
          <w:color w:val="auto"/>
        </w:rPr>
        <w:t>”); neither the Company nor any of its subsidiaries has received any notice of, or correspondence from, any Regulatory Agency requiring the termination, suspension or modification of any clinical trials that are described or referred to in the Registration Statement, the Time of Sale Disclosure Package or the Prospectus; and the Company and its subsidiaries have each operated and currently are in compliance in all material respects with all applicable rules, regulations and policies of the Regulatory Agencies.</w:t>
      </w:r>
    </w:p>
    <w:p>
      <w:pPr>
        <w:spacing w:after="0" w:line="175" w:lineRule="exact"/>
        <w:rPr>
          <w:sz w:val="20"/>
          <w:szCs w:val="20"/>
          <w:color w:val="auto"/>
        </w:rPr>
      </w:pPr>
    </w:p>
    <w:p>
      <w:pPr>
        <w:ind w:left="1320" w:hanging="68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Purchase, Sale and Delivery of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70" w:lineRule="auto"/>
        <w:tabs>
          <w:tab w:leader="none" w:pos="2066" w:val="left"/>
        </w:tabs>
        <w:numPr>
          <w:ilvl w:val="1"/>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Firm Shares</w:t>
      </w:r>
      <w:r>
        <w:rPr>
          <w:rFonts w:ascii="Arial" w:cs="Arial" w:eastAsia="Arial" w:hAnsi="Arial"/>
          <w:sz w:val="17"/>
          <w:szCs w:val="17"/>
          <w:color w:val="auto"/>
        </w:rPr>
        <w:t>. On the basis of the representations, warranties and agreements herein contained, but subject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herein set forth, the Company agrees to issue and sell the Firm Shares to the several Underwriters, and each Underwriter agrees, severally and not jointly, to purchase from the Company the number of Firm Shares set forth opposite the name of such Underwriter in Schedule I hereto. The purchase price for each Firm Share shall be $6.1100 per share. The obligation of each Underwriter to the Company shall be to purchase from the Company that number of Firm Shares (to be adjusted by the Representatives to avoid fractional shares) which represents the same proportion of the number of Firm Shares to be sold by the Company pursuant to this Agreement as the number of Firm Shares set forth opposite the name of such Underwriter in Schedule I hereto represents to the total number of Firm Shares to be purchased by all Underwriters pursuant to this Agreement. In making this Agreement, each Underwriter is contracting severally and not jointly; except as provided in paragraph (c) of this Section 3 and in Section 8 hereof, the agreement of each Underwriter is to purchase only the respective number of Firm Shares specified in Schedule I.</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0" w:name="page21"/>
    <w:bookmarkEnd w:id="20"/>
    <w:p>
      <w:pPr>
        <w:jc w:val="both"/>
        <w:ind w:firstLine="1297"/>
        <w:spacing w:after="0" w:line="297" w:lineRule="auto"/>
        <w:rPr>
          <w:sz w:val="20"/>
          <w:szCs w:val="20"/>
          <w:color w:val="auto"/>
        </w:rPr>
      </w:pPr>
      <w:r>
        <w:rPr>
          <w:rFonts w:ascii="Arial" w:cs="Arial" w:eastAsia="Arial" w:hAnsi="Arial"/>
          <w:sz w:val="16"/>
          <w:szCs w:val="16"/>
          <w:color w:val="auto"/>
        </w:rPr>
        <w:t xml:space="preserve">The Firm Shares will be delivered by the Company to you for the accounts of the several Underwriters against payment of the purchase price therefor by wire transfer of same day funds payable to the order of the Company at the offices of Covington &amp; Burling LLP, or such other location as may be mutually acceptable, at 9:00 a.m. New York City time on the third (or if the Securities are priced, as contemplated by Rule 15c6-1(c) under the Exchange Act, after 4:30 p.m. Eastern time, the fourth) full business day following the date hereof, or at such other time and date as you and the Company determine pursuant to Rule 15c6-1(a) under the Exchange Act, such time and date of delivery being herein referred to as the </w:t>
      </w:r>
      <w:r>
        <w:rPr>
          <w:rFonts w:ascii="Arial" w:cs="Arial" w:eastAsia="Arial" w:hAnsi="Arial"/>
          <w:sz w:val="16"/>
          <w:szCs w:val="16"/>
          <w:b w:val="1"/>
          <w:bCs w:val="1"/>
          <w:i w:val="1"/>
          <w:iCs w:val="1"/>
          <w:color w:val="auto"/>
        </w:rPr>
        <w:t>“First Closing Date.”</w:t>
      </w:r>
    </w:p>
    <w:p>
      <w:pPr>
        <w:spacing w:after="0" w:line="158" w:lineRule="exact"/>
        <w:rPr>
          <w:sz w:val="20"/>
          <w:szCs w:val="20"/>
          <w:color w:val="auto"/>
        </w:rPr>
      </w:pPr>
    </w:p>
    <w:p>
      <w:pPr>
        <w:jc w:val="both"/>
        <w:ind w:firstLine="1305"/>
        <w:spacing w:after="0" w:line="287" w:lineRule="auto"/>
        <w:tabs>
          <w:tab w:leader="none" w:pos="2055" w:val="left"/>
        </w:tabs>
        <w:numPr>
          <w:ilvl w:val="0"/>
          <w:numId w:val="21"/>
        </w:numPr>
        <w:rPr>
          <w:rFonts w:ascii="Arial" w:cs="Arial" w:eastAsia="Arial" w:hAnsi="Arial"/>
          <w:sz w:val="16"/>
          <w:szCs w:val="16"/>
          <w:color w:val="auto"/>
        </w:rPr>
      </w:pPr>
      <w:r>
        <w:rPr>
          <w:rFonts w:ascii="Arial" w:cs="Arial" w:eastAsia="Arial" w:hAnsi="Arial"/>
          <w:sz w:val="16"/>
          <w:szCs w:val="16"/>
          <w:i w:val="1"/>
          <w:iCs w:val="1"/>
          <w:u w:val="single" w:color="auto"/>
          <w:color w:val="auto"/>
        </w:rPr>
        <w:t>Option Shares</w:t>
      </w:r>
      <w:r>
        <w:rPr>
          <w:rFonts w:ascii="Arial" w:cs="Arial" w:eastAsia="Arial" w:hAnsi="Arial"/>
          <w:sz w:val="16"/>
          <w:szCs w:val="16"/>
          <w:color w:val="auto"/>
        </w:rPr>
        <w:t>. On the basis of the representations, warranties and agreements herein contained, but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conditions herein set forth, the Company, hereby grants to the several Underwriters an option to purchase all or any portion of the Option Shares at the same purchase price as the Firm Shares. The option granted hereunder may be exercised in whole or in part at any time within 30 days after the effective date of this Agreement upon notice (confirmed in writing) by the Representatives to the Company setting forth the aggregate number of Option Shares as to which the several Underwriters are exercising the option, the names and denominations in which the certificates for the Option Shares are to be registered and the date and time, as determined by you, when the Option Shares are to be delivered, any such time and date being herein referred to as an </w:t>
      </w:r>
      <w:r>
        <w:rPr>
          <w:rFonts w:ascii="Arial" w:cs="Arial" w:eastAsia="Arial" w:hAnsi="Arial"/>
          <w:sz w:val="16"/>
          <w:szCs w:val="16"/>
          <w:b w:val="1"/>
          <w:bCs w:val="1"/>
          <w:i w:val="1"/>
          <w:iCs w:val="1"/>
          <w:color w:val="auto"/>
        </w:rPr>
        <w:t>“Option Closing”</w:t>
      </w:r>
      <w:r>
        <w:rPr>
          <w:rFonts w:ascii="Arial" w:cs="Arial" w:eastAsia="Arial" w:hAnsi="Arial"/>
          <w:sz w:val="16"/>
          <w:szCs w:val="16"/>
          <w:color w:val="auto"/>
        </w:rPr>
        <w:t xml:space="preserve"> and an </w:t>
      </w:r>
      <w:r>
        <w:rPr>
          <w:rFonts w:ascii="Arial" w:cs="Arial" w:eastAsia="Arial" w:hAnsi="Arial"/>
          <w:sz w:val="16"/>
          <w:szCs w:val="16"/>
          <w:b w:val="1"/>
          <w:bCs w:val="1"/>
          <w:i w:val="1"/>
          <w:iCs w:val="1"/>
          <w:color w:val="auto"/>
        </w:rPr>
        <w:t>“Option Closing Date”</w:t>
      </w:r>
      <w:r>
        <w:rPr>
          <w:rFonts w:ascii="Arial" w:cs="Arial" w:eastAsia="Arial" w:hAnsi="Arial"/>
          <w:sz w:val="16"/>
          <w:szCs w:val="16"/>
          <w:color w:val="auto"/>
        </w:rPr>
        <w:t>, respectively; provided, however, that any Option Closing Date may be simultaenous with but shall not be earlier than the First Closing Date. The number of Option Shares to be purchased by each Underwriter shall be the same percentage of the total number of Option Shares to be purchased by the several Underwriters as the number of Firm Shares to be purchased by such Underwriter is of the total number of Firm Shares to be purchased by the several Underwriters, as adjusted by the Representatives in such manner as the Representatives deem advisable to avoid fractional shares. No Option Shares shall be sold and delivered unless the Firm Shares previously have been, or simultaneously are, sold and delivered.</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Option Shares will be delivered by the Company to you for the accounts of the several Underwriters against payment of the purchase price therefor by wire transfer of same day funds payable to the order of the Company, as appropriate, at the offices of Covington &amp; Burling LLP, or such other location as may be mutually acceptable at 9:00 a.m., New York City time, on any Option Closing Date.</w:t>
      </w:r>
    </w:p>
    <w:p>
      <w:pPr>
        <w:spacing w:after="0" w:line="181" w:lineRule="exact"/>
        <w:rPr>
          <w:sz w:val="20"/>
          <w:szCs w:val="20"/>
          <w:color w:val="auto"/>
        </w:rPr>
      </w:pPr>
    </w:p>
    <w:p>
      <w:pPr>
        <w:jc w:val="both"/>
        <w:ind w:firstLine="1305"/>
        <w:spacing w:after="0" w:line="276" w:lineRule="auto"/>
        <w:tabs>
          <w:tab w:leader="none" w:pos="1910" w:val="left"/>
        </w:tabs>
        <w:numPr>
          <w:ilvl w:val="0"/>
          <w:numId w:val="22"/>
        </w:numPr>
        <w:rPr>
          <w:rFonts w:ascii="Arial" w:cs="Arial" w:eastAsia="Arial" w:hAnsi="Arial"/>
          <w:sz w:val="17"/>
          <w:szCs w:val="17"/>
          <w:color w:val="auto"/>
        </w:rPr>
      </w:pPr>
      <w:r>
        <w:rPr>
          <w:rFonts w:ascii="Arial" w:cs="Arial" w:eastAsia="Arial" w:hAnsi="Arial"/>
          <w:sz w:val="17"/>
          <w:szCs w:val="17"/>
          <w:i w:val="1"/>
          <w:iCs w:val="1"/>
          <w:u w:val="single" w:color="auto"/>
          <w:color w:val="auto"/>
        </w:rPr>
        <w:t>Delivery</w:t>
      </w:r>
      <w:r>
        <w:rPr>
          <w:rFonts w:ascii="Arial" w:cs="Arial" w:eastAsia="Arial" w:hAnsi="Arial"/>
          <w:sz w:val="17"/>
          <w:szCs w:val="17"/>
          <w:color w:val="auto"/>
        </w:rPr>
        <w:t>. If the Representatives so elect, delivery of the Firm Shares or the Option Shares may be made by credit through full fast</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to the accounts at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designated by the Representatives. Certificates representing the Firm Shares and the Option Shares in definitive form and, with respect to the Option Shares, in such denominations and registered in such names as you have set forth in your notice of option exercise, or evidence of their issuance, will be made available for checking at a reasonable time preceding the First Closing Date or an Option Closing Date, as applicable, at the office of Covington &amp; Burling LLP, or such other location as may be mutually acceptable.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 w:name="page22"/>
    <w:bookmarkEnd w:id="21"/>
    <w:p>
      <w:pPr>
        <w:jc w:val="both"/>
        <w:ind w:left="-8" w:firstLine="1305"/>
        <w:spacing w:after="0" w:line="279" w:lineRule="auto"/>
        <w:tabs>
          <w:tab w:leader="none" w:pos="1953" w:val="left"/>
        </w:tabs>
        <w:numPr>
          <w:ilvl w:val="2"/>
          <w:numId w:val="23"/>
        </w:numPr>
        <w:rPr>
          <w:rFonts w:ascii="Arial" w:cs="Arial" w:eastAsia="Arial" w:hAnsi="Arial"/>
          <w:sz w:val="17"/>
          <w:szCs w:val="17"/>
          <w:color w:val="auto"/>
        </w:rPr>
      </w:pPr>
      <w:r>
        <w:rPr>
          <w:rFonts w:ascii="Arial" w:cs="Arial" w:eastAsia="Arial" w:hAnsi="Arial"/>
          <w:sz w:val="17"/>
          <w:szCs w:val="17"/>
          <w:i w:val="1"/>
          <w:iCs w:val="1"/>
          <w:u w:val="single" w:color="auto"/>
          <w:color w:val="auto"/>
        </w:rPr>
        <w:t>Purchase by Representatives on Behalf of Underwriters</w:t>
      </w:r>
      <w:r>
        <w:rPr>
          <w:rFonts w:ascii="Arial" w:cs="Arial" w:eastAsia="Arial" w:hAnsi="Arial"/>
          <w:sz w:val="17"/>
          <w:szCs w:val="17"/>
          <w:color w:val="auto"/>
        </w:rPr>
        <w:t>. It is understood that you, individually and not as Representatives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Underwriters, may (but shall not be obligated to) make payment to the Company, on behalf of any Underwriter for the Securities to be purchased by such Underwriter. Any such payment by you shall not relieve any such Underwriter of any of its obligations hereunder. Nothing herein contained shall constitute any of the Underwriters an unincorporated association or partner with the Company.</w:t>
      </w:r>
    </w:p>
    <w:p>
      <w:pPr>
        <w:spacing w:after="0" w:line="171" w:lineRule="exact"/>
        <w:rPr>
          <w:rFonts w:ascii="Arial" w:cs="Arial" w:eastAsia="Arial" w:hAnsi="Arial"/>
          <w:sz w:val="17"/>
          <w:szCs w:val="17"/>
          <w:color w:val="auto"/>
        </w:rPr>
      </w:pPr>
    </w:p>
    <w:p>
      <w:pPr>
        <w:ind w:left="1332" w:hanging="684"/>
        <w:spacing w:after="0"/>
        <w:tabs>
          <w:tab w:leader="none" w:pos="1332"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52" w:hanging="555"/>
        <w:spacing w:after="0"/>
        <w:tabs>
          <w:tab w:leader="none" w:pos="1852" w:val="left"/>
        </w:tabs>
        <w:numPr>
          <w:ilvl w:val="2"/>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Covenants of the Company</w:t>
      </w:r>
      <w:r>
        <w:rPr>
          <w:rFonts w:ascii="Arial" w:cs="Arial" w:eastAsia="Arial" w:hAnsi="Arial"/>
          <w:sz w:val="18"/>
          <w:szCs w:val="18"/>
          <w:color w:val="auto"/>
        </w:rPr>
        <w:t>. The Company covenants and agrees with the several Underwriters as follows:</w:t>
      </w:r>
    </w:p>
    <w:p>
      <w:pPr>
        <w:spacing w:after="0" w:line="225" w:lineRule="exact"/>
        <w:rPr>
          <w:rFonts w:ascii="Arial" w:cs="Arial" w:eastAsia="Arial" w:hAnsi="Arial"/>
          <w:sz w:val="18"/>
          <w:szCs w:val="18"/>
          <w:color w:val="auto"/>
        </w:rPr>
      </w:pPr>
    </w:p>
    <w:p>
      <w:pPr>
        <w:jc w:val="both"/>
        <w:ind w:left="-8" w:firstLine="8"/>
        <w:spacing w:after="0" w:line="269" w:lineRule="auto"/>
        <w:tabs>
          <w:tab w:leader="none" w:pos="562" w:val="left"/>
        </w:tabs>
        <w:numPr>
          <w:ilvl w:val="0"/>
          <w:numId w:val="25"/>
        </w:numPr>
        <w:rPr>
          <w:rFonts w:ascii="Arial" w:cs="Arial" w:eastAsia="Arial" w:hAnsi="Arial"/>
          <w:sz w:val="17"/>
          <w:szCs w:val="17"/>
          <w:color w:val="auto"/>
        </w:rPr>
      </w:pPr>
      <w:r>
        <w:rPr>
          <w:rFonts w:ascii="Arial" w:cs="Arial" w:eastAsia="Arial" w:hAnsi="Arial"/>
          <w:sz w:val="17"/>
          <w:szCs w:val="17"/>
          <w:i w:val="1"/>
          <w:iCs w:val="1"/>
          <w:u w:val="single" w:color="auto"/>
          <w:color w:val="auto"/>
        </w:rPr>
        <w:t>Required Filings</w:t>
      </w:r>
      <w:r>
        <w:rPr>
          <w:rFonts w:ascii="Arial" w:cs="Arial" w:eastAsia="Arial" w:hAnsi="Arial"/>
          <w:sz w:val="17"/>
          <w:szCs w:val="17"/>
          <w:color w:val="auto"/>
        </w:rPr>
        <w:t>. During the period when a prospectus relating to the Securities is required by the Securities Act to be delivered (whether physically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through compliance with Rule 172 under the Securities Act or any similar rule), in connection with sales by an Underwriter or dealer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Delivery Period”</w:t>
      </w:r>
      <w:r>
        <w:rPr>
          <w:rFonts w:ascii="Arial" w:cs="Arial" w:eastAsia="Arial" w:hAnsi="Arial"/>
          <w:sz w:val="17"/>
          <w:szCs w:val="17"/>
          <w:color w:val="auto"/>
        </w:rPr>
        <w:t>), prior to amending or supplementing the Registration Statement including any Rule 462(b) Registration Statement, the Time of 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Disclosure Package or the Prospectus, the Company shall furnish to the Representatives for review a copy of each such proposed amendment or supplement, and the Company shall not file any such proposed amendment or supplement to which the Representatives or counsel to the Underwriters reasonably object. Subject to this Section 4(a)(i), immediately following execution of this Agreement, the Company will prepare the Prospectus containing the Rule 430B Information and other selling terms of the Securities, the plan of distribution thereof and such other information as may be required by the Securities Act or the Rules and Regulations or as the Representatives and the Company may deem appropriate, and if requested by the Representatives, an issuer free writing prospectus containing the selling terms of the Securities and such other information as the Company and the Representatives may deem appropriate, and will file or transmit for filing with the Commission, in accordance with Rule 424(b) or Rule 433, as the case may be, copies of the Prospectus and each issuer free writing prospectus.</w:t>
      </w:r>
    </w:p>
    <w:p>
      <w:pPr>
        <w:spacing w:after="0" w:line="182" w:lineRule="exact"/>
        <w:rPr>
          <w:rFonts w:ascii="Arial" w:cs="Arial" w:eastAsia="Arial" w:hAnsi="Arial"/>
          <w:sz w:val="17"/>
          <w:szCs w:val="17"/>
          <w:color w:val="auto"/>
        </w:rPr>
      </w:pPr>
    </w:p>
    <w:p>
      <w:pPr>
        <w:jc w:val="both"/>
        <w:ind w:left="652" w:firstLine="1293"/>
        <w:spacing w:after="0" w:line="291" w:lineRule="auto"/>
        <w:tabs>
          <w:tab w:leader="none" w:pos="2596" w:val="left"/>
        </w:tabs>
        <w:numPr>
          <w:ilvl w:val="3"/>
          <w:numId w:val="25"/>
        </w:numPr>
        <w:rPr>
          <w:rFonts w:ascii="Arial" w:cs="Arial" w:eastAsia="Arial" w:hAnsi="Arial"/>
          <w:sz w:val="16"/>
          <w:szCs w:val="16"/>
          <w:color w:val="auto"/>
        </w:rPr>
      </w:pPr>
      <w:r>
        <w:rPr>
          <w:rFonts w:ascii="Arial" w:cs="Arial" w:eastAsia="Arial" w:hAnsi="Arial"/>
          <w:sz w:val="16"/>
          <w:szCs w:val="16"/>
          <w:i w:val="1"/>
          <w:iCs w:val="1"/>
          <w:u w:val="single" w:color="auto"/>
          <w:color w:val="auto"/>
        </w:rPr>
        <w:t>Notification of Certain Commission Actions</w:t>
      </w:r>
      <w:r>
        <w:rPr>
          <w:rFonts w:ascii="Arial" w:cs="Arial" w:eastAsia="Arial" w:hAnsi="Arial"/>
          <w:sz w:val="16"/>
          <w:szCs w:val="16"/>
          <w:color w:val="auto"/>
        </w:rPr>
        <w:t>. During the Prospectus Delivery Period, the Company shall promptly advise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Representatives in writing (A) of the receipt of any comments of, or requests for additional or supplemental information from, the Commission,</w:t>
      </w:r>
    </w:p>
    <w:p>
      <w:pPr>
        <w:jc w:val="both"/>
        <w:ind w:left="652"/>
        <w:spacing w:after="0" w:line="267" w:lineRule="auto"/>
        <w:rPr>
          <w:rFonts w:ascii="Arial" w:cs="Arial" w:eastAsia="Arial" w:hAnsi="Arial"/>
          <w:sz w:val="16"/>
          <w:szCs w:val="16"/>
          <w:color w:val="auto"/>
        </w:rPr>
      </w:pPr>
      <w:r>
        <w:rPr>
          <w:rFonts w:ascii="Arial" w:cs="Arial" w:eastAsia="Arial" w:hAnsi="Arial"/>
          <w:sz w:val="17"/>
          <w:szCs w:val="17"/>
          <w:color w:val="auto"/>
        </w:rPr>
        <w:t>(B) of the time and date of any filing of any post-effective amendment to the Registration Statement or any amendment or supplement to any Preliminary Prospectus, the Time of Sale Disclosure Package or the Prospectus, (C) of the time and date that any post-effective amendment to the Registration Statement becomes effective, (D) of the issuance by the Commission of any stop order suspending the effectiveness of the Registration Statement or any post-effective amendment thereto or of any order preventing or suspending its use or the use of any Preliminary Prospectus, the Time of Sale Disclosure Package, the Prospectus or any issuer free writing prospectus, or (E) of any proceedings to remove, suspend or terminate from listing or quotation the Ordinary Shares from any securities exchange upon which it is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Rules 424(b), 430A and 430B, as applicable, under the Securities Act and will use its reasonable efforts to confirm that any filings made by the Company under Rule 424(b), Rule 433 or Rule 462 were received in a timely manner by the Commission (without reliance on Rule 424(b)(8) or Rule 164(b)).</w:t>
      </w: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22" w:name="page23"/>
    <w:bookmarkEnd w:id="22"/>
    <w:p>
      <w:pPr>
        <w:jc w:val="both"/>
        <w:ind w:left="-540" w:firstLine="1293"/>
        <w:spacing w:after="0" w:line="268" w:lineRule="auto"/>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i w:val="1"/>
          <w:iCs w:val="1"/>
          <w:u w:val="single" w:color="auto"/>
          <w:color w:val="auto"/>
        </w:rPr>
        <w:t>Continued Compliance with Securities Laws</w:t>
      </w:r>
      <w:r>
        <w:rPr>
          <w:rFonts w:ascii="Arial" w:cs="Arial" w:eastAsia="Arial" w:hAnsi="Arial"/>
          <w:sz w:val="17"/>
          <w:szCs w:val="17"/>
          <w:color w:val="auto"/>
        </w:rPr>
        <w:t>. (A) During the Prospectus Delivery Period, the Company will comply as far</w:t>
      </w:r>
      <w:r>
        <w:rPr>
          <w:rFonts w:ascii="Arial" w:cs="Arial" w:eastAsia="Arial" w:hAnsi="Arial"/>
          <w:sz w:val="17"/>
          <w:szCs w:val="17"/>
          <w:i w:val="1"/>
          <w:iCs w:val="1"/>
          <w:color w:val="auto"/>
        </w:rPr>
        <w:t xml:space="preserve"> </w:t>
      </w:r>
      <w:r>
        <w:rPr>
          <w:rFonts w:ascii="Arial" w:cs="Arial" w:eastAsia="Arial" w:hAnsi="Arial"/>
          <w:sz w:val="17"/>
          <w:szCs w:val="17"/>
          <w:color w:val="auto"/>
        </w:rPr>
        <w:t>as it is able with all requirements imposed upon it by the Securities Act, as now and hereafter amended, and by the Rules and Regulations, as from time to time in force, and by the Exchange Act so far as necessary to permit the continuance of sales of or dealings in the Securities as contemplated by the provisions hereof, the Time of Sale Disclosure Package and the Prospectus. If during such period any event occurs as a result of which the Prospectus (or if the Prospectus is not yet available to prospective purchasers, the Time of Sale Disclosure Package) would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Representatives or counsel to the Underwriters to amend the Registration Statement or supplement the Prospectus (or, if the Prospectus is not yet available to prospective purchasers, the Time of Sale Disclosure Package) to comply with the Securities Act or to file under the Exchange Act any document which would be deemed to be incorporated by reference in the Prospectus in order to comply with the Securities Act or the Exchange Act, the Company promptly will (x) notify you of such untrue statement or omission, (y) amend the Registration Statement or supplement the Prospectus (or, if the Prospectus is not yet available to prospective purchasers, the Time of Sale Disclosure Package) or file such document (at the expense of the Company) so as to correct such statement or omission or effect such compliance, and (z) notify you when any amendment to the Registration Statement is filed or becomes effective or when any supplement to the Prospectus (or, if the Prospectus is not yet available to prospective purchasers, the Time of Sale Disclosure Package) is filed.</w:t>
      </w:r>
    </w:p>
    <w:p>
      <w:pPr>
        <w:spacing w:after="0" w:line="183" w:lineRule="exact"/>
        <w:rPr>
          <w:sz w:val="20"/>
          <w:szCs w:val="20"/>
          <w:color w:val="auto"/>
        </w:rPr>
      </w:pPr>
    </w:p>
    <w:p>
      <w:pPr>
        <w:jc w:val="both"/>
        <w:ind w:left="-540" w:firstLine="1293"/>
        <w:spacing w:after="0" w:line="291" w:lineRule="auto"/>
        <w:tabs>
          <w:tab w:leader="none" w:pos="1387"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at any time following issuance of an issuer free writing prospectus there occurred or occurs an event or development as a result of which such issuer free writing prospectus conflicted, conflicts or would conflict with the information contained in the Registration Statement, the Preliminary Prospectus or the Prospectus or included, includes or would include an untrue statement of a material fact or omitted, omits or would omit to state a material fact necessary in order to make the statements therein, in the light of the circumstances prevailing at that subsequent time, not misleading, the Company (x) will promptly notify the Representatives of such conflict, untrue statement or omission, (y) will promptly amend or supplement, at its own expense, such issuer free writing prospectus to eliminate or correct such conflict, untrue statement or omission, and (z) will promptly notify you when such amendment or supplement was or is filed with the Commission where so required to be filed.</w:t>
      </w:r>
    </w:p>
    <w:p>
      <w:pPr>
        <w:spacing w:after="0" w:line="167" w:lineRule="exact"/>
        <w:rPr>
          <w:sz w:val="20"/>
          <w:szCs w:val="20"/>
          <w:color w:val="auto"/>
        </w:rPr>
      </w:pPr>
    </w:p>
    <w:p>
      <w:pPr>
        <w:jc w:val="both"/>
        <w:ind w:left="-540" w:firstLine="1293"/>
        <w:spacing w:after="0" w:line="259" w:lineRule="auto"/>
        <w:tabs>
          <w:tab w:leader="none" w:pos="1376"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Blue Sky Qualifications</w:t>
      </w:r>
      <w:r>
        <w:rPr>
          <w:rFonts w:ascii="Arial" w:cs="Arial" w:eastAsia="Arial" w:hAnsi="Arial"/>
          <w:sz w:val="18"/>
          <w:szCs w:val="18"/>
          <w:color w:val="auto"/>
        </w:rPr>
        <w:t>. The Company shall take or cause to be taken all necessary action to qualify the Securities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securities laws of such jurisdictions as you reasonably designate and to continue such qualifications in effect so long as required for the distribution of the Securities, except that the Company shall not be required in connection therewith to qualify as a foreign corporation or to execute a general consent to service of process in any state.</w:t>
      </w:r>
    </w:p>
    <w:p>
      <w:pPr>
        <w:spacing w:after="0" w:line="29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23" w:name="page24"/>
    <w:bookmarkEnd w:id="23"/>
    <w:p>
      <w:pPr>
        <w:jc w:val="both"/>
        <w:ind w:left="-540" w:firstLine="1293"/>
        <w:spacing w:after="0" w:line="259" w:lineRule="auto"/>
        <w:tabs>
          <w:tab w:leader="none" w:pos="1596"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Provision of Documents</w:t>
      </w:r>
      <w:r>
        <w:rPr>
          <w:rFonts w:ascii="Arial" w:cs="Arial" w:eastAsia="Arial" w:hAnsi="Arial"/>
          <w:sz w:val="18"/>
          <w:szCs w:val="18"/>
          <w:color w:val="auto"/>
        </w:rPr>
        <w:t>. The Company will furnish, at its own expense, to the Underwriters and counsel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copies of the Registration Statement, and to the Underwriters and any dealer each Preliminary Prospectus, the Time of Sale Disclosure Package, the Prospectus, any issuer free writing prospectus, and all amendments and supplements to such documents, in each case as soon as available and in such quantities as you may from time to time reasonably request.</w:t>
      </w:r>
    </w:p>
    <w:p>
      <w:pPr>
        <w:spacing w:after="0" w:line="186" w:lineRule="exact"/>
        <w:rPr>
          <w:rFonts w:ascii="Arial" w:cs="Arial" w:eastAsia="Arial" w:hAnsi="Arial"/>
          <w:sz w:val="18"/>
          <w:szCs w:val="18"/>
          <w:color w:val="auto"/>
        </w:rPr>
      </w:pPr>
    </w:p>
    <w:p>
      <w:pPr>
        <w:jc w:val="both"/>
        <w:ind w:left="-540" w:firstLine="1293"/>
        <w:spacing w:after="0" w:line="286" w:lineRule="auto"/>
        <w:tabs>
          <w:tab w:leader="none" w:pos="1430" w:val="left"/>
        </w:tabs>
        <w:numPr>
          <w:ilvl w:val="0"/>
          <w:numId w:val="29"/>
        </w:numPr>
        <w:rPr>
          <w:rFonts w:ascii="Arial" w:cs="Arial" w:eastAsia="Arial" w:hAnsi="Arial"/>
          <w:sz w:val="17"/>
          <w:szCs w:val="17"/>
          <w:color w:val="auto"/>
        </w:rPr>
      </w:pPr>
      <w:r>
        <w:rPr>
          <w:rFonts w:ascii="Arial" w:cs="Arial" w:eastAsia="Arial" w:hAnsi="Arial"/>
          <w:sz w:val="17"/>
          <w:szCs w:val="17"/>
          <w:i w:val="1"/>
          <w:iCs w:val="1"/>
          <w:u w:val="single" w:color="auto"/>
          <w:color w:val="auto"/>
        </w:rPr>
        <w:t>Rule 158</w:t>
      </w:r>
      <w:r>
        <w:rPr>
          <w:rFonts w:ascii="Arial" w:cs="Arial" w:eastAsia="Arial" w:hAnsi="Arial"/>
          <w:sz w:val="17"/>
          <w:szCs w:val="17"/>
          <w:color w:val="auto"/>
        </w:rPr>
        <w:t>. The Company will make generally available to its security holders as soon as practicable, but in no event later</w:t>
      </w:r>
      <w:r>
        <w:rPr>
          <w:rFonts w:ascii="Arial" w:cs="Arial" w:eastAsia="Arial" w:hAnsi="Arial"/>
          <w:sz w:val="17"/>
          <w:szCs w:val="17"/>
          <w:i w:val="1"/>
          <w:iCs w:val="1"/>
          <w:color w:val="auto"/>
        </w:rPr>
        <w:t xml:space="preserve"> </w:t>
      </w:r>
      <w:r>
        <w:rPr>
          <w:rFonts w:ascii="Arial" w:cs="Arial" w:eastAsia="Arial" w:hAnsi="Arial"/>
          <w:sz w:val="17"/>
          <w:szCs w:val="17"/>
          <w:color w:val="auto"/>
        </w:rPr>
        <w:t>than 15 months after the end of the Company’s current fiscal quarter, an earning statement (which need not be audited) covering a 12-month period that shall satisfy the provisions of Section 11(a) of the Securities Act and Rule 158 of the Rules and Regulations.</w:t>
      </w:r>
    </w:p>
    <w:p>
      <w:pPr>
        <w:spacing w:after="0" w:line="165" w:lineRule="exact"/>
        <w:rPr>
          <w:rFonts w:ascii="Arial" w:cs="Arial" w:eastAsia="Arial" w:hAnsi="Arial"/>
          <w:sz w:val="17"/>
          <w:szCs w:val="17"/>
          <w:color w:val="auto"/>
        </w:rPr>
      </w:pPr>
    </w:p>
    <w:p>
      <w:pPr>
        <w:jc w:val="both"/>
        <w:ind w:left="-540" w:firstLine="1293"/>
        <w:spacing w:after="0" w:line="286" w:lineRule="auto"/>
        <w:tabs>
          <w:tab w:leader="none" w:pos="1534" w:val="left"/>
        </w:tabs>
        <w:numPr>
          <w:ilvl w:val="0"/>
          <w:numId w:val="29"/>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 and Reimbursement of Expenses</w:t>
      </w:r>
      <w:r>
        <w:rPr>
          <w:rFonts w:ascii="Arial" w:cs="Arial" w:eastAsia="Arial" w:hAnsi="Arial"/>
          <w:sz w:val="16"/>
          <w:szCs w:val="16"/>
          <w:color w:val="auto"/>
        </w:rPr>
        <w:t>. The Company, whether or not the transactions contemplated hereunder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consummated or this Agreement is terminated, will pay or cause to be paid (A) all expenses (including transfer taxes allocated to the respective transferees) incurred in connection with the delivery to the Underwriters of the Securities, (B) all expenses and fees (including, without limitation, fees and expenses of the Company’s accountants and counsel but, except as otherwise provided below, not including fees of the Underwriters’ counsel) in connection with the preparation, printing, filing, delivery, and shipping of the Registration Statement (including the financial statements therein and all amendments, schedules, and exhibits thereto), the Securities, each Preliminary Prospectus, the Time of Sale Disclosure Package, the Prospectus, any issuer free writing prospectus and any amendment thereof or supplement thereto, and the printing, delivery, and shipping of this Agreement and other underwriting documents, including Blue Sky Memoranda (covering the states and other applicable jurisdictions), (C) all filing fees and reasonable fees and disbursements of the Underwriters’ counsel incurred in connection with the qualification of the Securities for offering and sale by the Underwriters or by dealers under the securities or blue sky laws of the states and other jurisdictions which you shall designate, (D) the fees and expenses of any transfer agent or registrar, (E) the filing fees and reasonable fees and disbursements of Underwriters’ counsel incident to any required review and approval by FINRA of the terms of the sale of the Securities, (F) listing fees, if any, (G) the cost and expenses of the Company relating to investor presentations or any “road show” undertaken in connection with marketing of the Securities, and (H) all other costs and expenses of the Company incident to the performance of its obligations hereunder that are not otherwise specifically provided for herein.</w:t>
      </w:r>
    </w:p>
    <w:p>
      <w:pPr>
        <w:spacing w:after="0" w:line="171" w:lineRule="exact"/>
        <w:rPr>
          <w:rFonts w:ascii="Arial" w:cs="Arial" w:eastAsia="Arial" w:hAnsi="Arial"/>
          <w:sz w:val="16"/>
          <w:szCs w:val="16"/>
          <w:color w:val="auto"/>
        </w:rPr>
      </w:pPr>
    </w:p>
    <w:p>
      <w:pPr>
        <w:ind w:left="-540" w:firstLine="1293"/>
        <w:spacing w:after="0" w:line="277" w:lineRule="auto"/>
        <w:tabs>
          <w:tab w:leader="none" w:pos="1503"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Use of Proceeds</w:t>
      </w:r>
      <w:r>
        <w:rPr>
          <w:rFonts w:ascii="Arial" w:cs="Arial" w:eastAsia="Arial" w:hAnsi="Arial"/>
          <w:sz w:val="18"/>
          <w:szCs w:val="18"/>
          <w:color w:val="auto"/>
        </w:rPr>
        <w:t>. The Company will apply the net proceeds from the sale of the Securities to be sold by it hereunder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purposes set forth in the Time of Sale Disclosure Package and in the Prospectus.</w:t>
      </w:r>
    </w:p>
    <w:p>
      <w:pPr>
        <w:spacing w:after="0" w:line="27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24" w:name="page25"/>
    <w:bookmarkEnd w:id="24"/>
    <w:p>
      <w:pPr>
        <w:jc w:val="both"/>
        <w:ind w:left="-540" w:firstLine="1293"/>
        <w:spacing w:after="0" w:line="290" w:lineRule="auto"/>
        <w:tabs>
          <w:tab w:leader="none" w:pos="1511" w:val="left"/>
        </w:tabs>
        <w:numPr>
          <w:ilvl w:val="0"/>
          <w:numId w:val="30"/>
        </w:numPr>
        <w:rPr>
          <w:rFonts w:ascii="Arial" w:cs="Arial" w:eastAsia="Arial" w:hAnsi="Arial"/>
          <w:sz w:val="16"/>
          <w:szCs w:val="16"/>
          <w:color w:val="auto"/>
        </w:rPr>
      </w:pPr>
      <w:r>
        <w:rPr>
          <w:rFonts w:ascii="Arial" w:cs="Arial" w:eastAsia="Arial" w:hAnsi="Arial"/>
          <w:sz w:val="16"/>
          <w:szCs w:val="16"/>
          <w:i w:val="1"/>
          <w:iCs w:val="1"/>
          <w:u w:val="single" w:color="auto"/>
          <w:color w:val="auto"/>
        </w:rPr>
        <w:t>Company Lock Up</w:t>
      </w:r>
      <w:r>
        <w:rPr>
          <w:rFonts w:ascii="Arial" w:cs="Arial" w:eastAsia="Arial" w:hAnsi="Arial"/>
          <w:sz w:val="16"/>
          <w:szCs w:val="16"/>
          <w:color w:val="auto"/>
        </w:rPr>
        <w:t>. The Company will not, without the prior written consent of the Representatives,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execution of this Agreement and continuing to and including the date 90 days after the date of the Prospectus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(A) offer, pledge, announce the intention to sell, sell, contract to sell, sell any option or contract to purchase, purchase any option or contract to sell, grant any option, right or warrant to purchase or otherwise transfer or dispose of, directly or indirectly, any Ordinary Share or any securities convertible into or exercisable or exchangeable for Ordinary Shares or (B) enter into any swap or other agreement that transfers, in whole or in part, any of the economic consequences of ownership of the Ordinary Shares, whether any such transaction described in clause (A) or (B) above is to be settled by delivery of Ordinary Shares or such other securities, in cash or otherwise, except to the Underwriters pursuant to this Agreement. The Company agrees not to accelerate the vesting of any option or warrant or the lapse of any repurchase right prior to the expiration of the Lock-Up Period.</w:t>
      </w:r>
    </w:p>
    <w:p>
      <w:pPr>
        <w:spacing w:after="0" w:line="166" w:lineRule="exact"/>
        <w:rPr>
          <w:rFonts w:ascii="Arial" w:cs="Arial" w:eastAsia="Arial" w:hAnsi="Arial"/>
          <w:sz w:val="16"/>
          <w:szCs w:val="16"/>
          <w:color w:val="auto"/>
        </w:rPr>
      </w:pPr>
    </w:p>
    <w:p>
      <w:pPr>
        <w:jc w:val="both"/>
        <w:ind w:left="-540" w:firstLine="1293"/>
        <w:spacing w:after="0" w:line="279" w:lineRule="auto"/>
        <w:tabs>
          <w:tab w:leader="none" w:pos="1367" w:val="left"/>
        </w:tabs>
        <w:numPr>
          <w:ilvl w:val="0"/>
          <w:numId w:val="30"/>
        </w:numPr>
        <w:rPr>
          <w:rFonts w:ascii="Arial" w:cs="Arial" w:eastAsia="Arial" w:hAnsi="Arial"/>
          <w:sz w:val="17"/>
          <w:szCs w:val="17"/>
          <w:color w:val="auto"/>
        </w:rPr>
      </w:pPr>
      <w:r>
        <w:rPr>
          <w:rFonts w:ascii="Arial" w:cs="Arial" w:eastAsia="Arial" w:hAnsi="Arial"/>
          <w:sz w:val="17"/>
          <w:szCs w:val="17"/>
          <w:i w:val="1"/>
          <w:iCs w:val="1"/>
          <w:u w:val="single" w:color="auto"/>
          <w:color w:val="auto"/>
        </w:rPr>
        <w:t>Stockholder Lock-Ups</w:t>
      </w:r>
      <w:r>
        <w:rPr>
          <w:rFonts w:ascii="Arial" w:cs="Arial" w:eastAsia="Arial" w:hAnsi="Arial"/>
          <w:sz w:val="17"/>
          <w:szCs w:val="17"/>
          <w:color w:val="auto"/>
        </w:rPr>
        <w:t>. The Company has caused to be delivered to you prior to the date of this Agreement a letter,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form of Exhibit A hereto (the </w:t>
      </w:r>
      <w:r>
        <w:rPr>
          <w:rFonts w:ascii="Arial" w:cs="Arial" w:eastAsia="Arial" w:hAnsi="Arial"/>
          <w:sz w:val="17"/>
          <w:szCs w:val="17"/>
          <w:b w:val="1"/>
          <w:bCs w:val="1"/>
          <w:i w:val="1"/>
          <w:iCs w:val="1"/>
          <w:color w:val="auto"/>
        </w:rPr>
        <w:t>“Lock-Up Agreement”</w:t>
      </w:r>
      <w:r>
        <w:rPr>
          <w:rFonts w:ascii="Arial" w:cs="Arial" w:eastAsia="Arial" w:hAnsi="Arial"/>
          <w:sz w:val="17"/>
          <w:szCs w:val="17"/>
          <w:color w:val="auto"/>
        </w:rPr>
        <w:t>), from each individual or entity listed on Schedule IV. The Company will enforce the terms of each Lock-Up Agreement and issue stop-transfer instructions to the transfer agent for the Ordinary Shares with respect to any transaction or contemplated transaction that would constitute a breach of or default under the applicable Lock-Up Agreement.</w:t>
      </w:r>
    </w:p>
    <w:p>
      <w:pPr>
        <w:spacing w:after="0" w:line="171" w:lineRule="exact"/>
        <w:rPr>
          <w:rFonts w:ascii="Arial" w:cs="Arial" w:eastAsia="Arial" w:hAnsi="Arial"/>
          <w:sz w:val="17"/>
          <w:szCs w:val="17"/>
          <w:color w:val="auto"/>
        </w:rPr>
      </w:pPr>
    </w:p>
    <w:p>
      <w:pPr>
        <w:jc w:val="both"/>
        <w:ind w:left="-540" w:firstLine="1293"/>
        <w:spacing w:after="0" w:line="297" w:lineRule="auto"/>
        <w:tabs>
          <w:tab w:leader="none" w:pos="1417" w:val="left"/>
        </w:tabs>
        <w:numPr>
          <w:ilvl w:val="0"/>
          <w:numId w:val="30"/>
        </w:numPr>
        <w:rPr>
          <w:rFonts w:ascii="Arial" w:cs="Arial" w:eastAsia="Arial" w:hAnsi="Arial"/>
          <w:sz w:val="16"/>
          <w:szCs w:val="16"/>
          <w:color w:val="auto"/>
        </w:rPr>
      </w:pPr>
      <w:r>
        <w:rPr>
          <w:rFonts w:ascii="Arial" w:cs="Arial" w:eastAsia="Arial" w:hAnsi="Arial"/>
          <w:sz w:val="16"/>
          <w:szCs w:val="16"/>
          <w:i w:val="1"/>
          <w:iCs w:val="1"/>
          <w:u w:val="single" w:color="auto"/>
          <w:color w:val="auto"/>
        </w:rPr>
        <w:t>No Market Stabilization or Manipulation</w:t>
      </w:r>
      <w:r>
        <w:rPr>
          <w:rFonts w:ascii="Arial" w:cs="Arial" w:eastAsia="Arial" w:hAnsi="Arial"/>
          <w:sz w:val="16"/>
          <w:szCs w:val="16"/>
          <w:color w:val="auto"/>
        </w:rPr>
        <w:t>. The Company has not taken and will not take, directly or indirectly, any action</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or which would reasonably be expected to cause or result in, or which has constituted, the stabilization or manipulation of the price of any security of the Company to facilitate the sale or resale of the Securities. In addition, the Company will not engage in any form of solicitation, advertising or other action constituting an offer or sale of securities under the Israeli Securities Law in connection with the transactions contemplated hereby which would require the Company to publish a prospectus in the State of Israel under the laws of the State of Israel.</w:t>
      </w:r>
    </w:p>
    <w:p>
      <w:pPr>
        <w:spacing w:after="0" w:line="158" w:lineRule="exact"/>
        <w:rPr>
          <w:rFonts w:ascii="Arial" w:cs="Arial" w:eastAsia="Arial" w:hAnsi="Arial"/>
          <w:sz w:val="16"/>
          <w:szCs w:val="16"/>
          <w:color w:val="auto"/>
        </w:rPr>
      </w:pPr>
    </w:p>
    <w:p>
      <w:pPr>
        <w:ind w:left="-540" w:firstLine="1293"/>
        <w:spacing w:after="0" w:line="277" w:lineRule="auto"/>
        <w:tabs>
          <w:tab w:leader="none" w:pos="1453"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SEC Reports</w:t>
      </w:r>
      <w:r>
        <w:rPr>
          <w:rFonts w:ascii="Arial" w:cs="Arial" w:eastAsia="Arial" w:hAnsi="Arial"/>
          <w:sz w:val="18"/>
          <w:szCs w:val="18"/>
          <w:color w:val="auto"/>
        </w:rPr>
        <w:t>. During the Prospectus Delivery Period, the Company will file on a timely basis with the Commission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and special reports as required by the Rules and Regulations.</w:t>
      </w:r>
    </w:p>
    <w:p>
      <w:pPr>
        <w:spacing w:after="0" w:line="170" w:lineRule="exact"/>
        <w:rPr>
          <w:rFonts w:ascii="Arial" w:cs="Arial" w:eastAsia="Arial" w:hAnsi="Arial"/>
          <w:sz w:val="18"/>
          <w:szCs w:val="18"/>
          <w:color w:val="auto"/>
        </w:rPr>
      </w:pPr>
    </w:p>
    <w:p>
      <w:pPr>
        <w:jc w:val="both"/>
        <w:ind w:left="-540" w:firstLine="1293"/>
        <w:spacing w:after="0" w:line="271" w:lineRule="auto"/>
        <w:tabs>
          <w:tab w:leader="none" w:pos="1490" w:val="left"/>
        </w:tabs>
        <w:numPr>
          <w:ilvl w:val="0"/>
          <w:numId w:val="30"/>
        </w:numPr>
        <w:rPr>
          <w:rFonts w:ascii="Arial" w:cs="Arial" w:eastAsia="Arial" w:hAnsi="Arial"/>
          <w:sz w:val="17"/>
          <w:szCs w:val="17"/>
          <w:color w:val="auto"/>
        </w:rPr>
      </w:pPr>
      <w:r>
        <w:rPr>
          <w:rFonts w:ascii="Arial" w:cs="Arial" w:eastAsia="Arial" w:hAnsi="Arial"/>
          <w:sz w:val="17"/>
          <w:szCs w:val="17"/>
          <w:i w:val="1"/>
          <w:iCs w:val="1"/>
          <w:u w:val="single" w:color="auto"/>
          <w:color w:val="auto"/>
        </w:rPr>
        <w:t>Internal Controls</w:t>
      </w:r>
      <w:r>
        <w:rPr>
          <w:rFonts w:ascii="Arial" w:cs="Arial" w:eastAsia="Arial" w:hAnsi="Arial"/>
          <w:sz w:val="17"/>
          <w:szCs w:val="17"/>
          <w:color w:val="auto"/>
        </w:rPr>
        <w:t>. The Company and its subsidiaries will maintain such controls and other procedures,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those applicable to it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and to ensure that material information relating to Company, including its subsidiaries, is made known to them by others within those entities.</w:t>
      </w:r>
    </w:p>
    <w:p>
      <w:pPr>
        <w:spacing w:after="0" w:line="28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25" w:name="page26"/>
    <w:bookmarkEnd w:id="25"/>
    <w:p>
      <w:pPr>
        <w:ind w:left="2780" w:hanging="847"/>
        <w:spacing w:after="0"/>
        <w:tabs>
          <w:tab w:leader="none" w:pos="2780" w:val="left"/>
        </w:tabs>
        <w:numPr>
          <w:ilvl w:val="0"/>
          <w:numId w:val="31"/>
        </w:numPr>
        <w:rPr>
          <w:rFonts w:ascii="Arial" w:cs="Arial" w:eastAsia="Arial" w:hAnsi="Arial"/>
          <w:sz w:val="16"/>
          <w:szCs w:val="16"/>
          <w:color w:val="auto"/>
        </w:rPr>
      </w:pPr>
      <w:r>
        <w:rPr>
          <w:rFonts w:ascii="Arial" w:cs="Arial" w:eastAsia="Arial" w:hAnsi="Arial"/>
          <w:sz w:val="16"/>
          <w:szCs w:val="16"/>
          <w:i w:val="1"/>
          <w:iCs w:val="1"/>
          <w:u w:val="single" w:color="auto"/>
          <w:color w:val="auto"/>
        </w:rPr>
        <w:t>Sarbanes-Oxley</w:t>
      </w:r>
      <w:r>
        <w:rPr>
          <w:rFonts w:ascii="Arial" w:cs="Arial" w:eastAsia="Arial" w:hAnsi="Arial"/>
          <w:sz w:val="16"/>
          <w:szCs w:val="16"/>
          <w:color w:val="auto"/>
        </w:rPr>
        <w:t>. The Company and its subsidiaries will comply with the provisions applicable to it of the Sarbanes-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Oxley Act.</w:t>
      </w:r>
    </w:p>
    <w:p>
      <w:pPr>
        <w:spacing w:after="0" w:line="211" w:lineRule="exact"/>
        <w:rPr>
          <w:sz w:val="20"/>
          <w:szCs w:val="20"/>
          <w:color w:val="auto"/>
        </w:rPr>
      </w:pPr>
    </w:p>
    <w:p>
      <w:pPr>
        <w:jc w:val="both"/>
        <w:ind w:left="640" w:firstLine="1293"/>
        <w:spacing w:after="0" w:line="290" w:lineRule="auto"/>
        <w:tabs>
          <w:tab w:leader="none" w:pos="2704" w:val="left"/>
        </w:tabs>
        <w:numPr>
          <w:ilvl w:val="2"/>
          <w:numId w:val="32"/>
        </w:numPr>
        <w:rPr>
          <w:rFonts w:ascii="Arial" w:cs="Arial" w:eastAsia="Arial" w:hAnsi="Arial"/>
          <w:sz w:val="16"/>
          <w:szCs w:val="16"/>
          <w:color w:val="auto"/>
        </w:rPr>
      </w:pPr>
      <w:r>
        <w:rPr>
          <w:rFonts w:ascii="Arial" w:cs="Arial" w:eastAsia="Arial" w:hAnsi="Arial"/>
          <w:sz w:val="16"/>
          <w:szCs w:val="16"/>
          <w:i w:val="1"/>
          <w:iCs w:val="1"/>
          <w:u w:val="single" w:color="auto"/>
          <w:color w:val="auto"/>
        </w:rPr>
        <w:t>Free Writing Prospectuses</w:t>
      </w:r>
      <w:r>
        <w:rPr>
          <w:rFonts w:ascii="Arial" w:cs="Arial" w:eastAsia="Arial" w:hAnsi="Arial"/>
          <w:sz w:val="16"/>
          <w:szCs w:val="16"/>
          <w:color w:val="auto"/>
        </w:rPr>
        <w:t>. The Company represents and agrees that, unless it obtains the prior written consent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Representatives, and each Underwriter severally represents and agrees that, unless it obtains the prior written consent of the Company and the Representatives, it has not made and will not make any offer relating to the Securities that would constitute an issuer free writing prospectus or that would otherwise constitute a free writing prospectus required to be filed with the Commission; provided that the prior written consent of the parties hereto shall be deemed to have been given in respect of the free writing prospectuses included in Schedule II. Any such free writing prospectus consented to by the Company and the Representatives is hereinafter referred to as a </w:t>
      </w:r>
      <w:r>
        <w:rPr>
          <w:rFonts w:ascii="Arial" w:cs="Arial" w:eastAsia="Arial" w:hAnsi="Arial"/>
          <w:sz w:val="16"/>
          <w:szCs w:val="16"/>
          <w:b w:val="1"/>
          <w:bCs w:val="1"/>
          <w:i w:val="1"/>
          <w:iCs w:val="1"/>
          <w:color w:val="auto"/>
        </w:rPr>
        <w:t>“Permitted Free Writing Prospectus.”</w:t>
      </w:r>
      <w:r>
        <w:rPr>
          <w:rFonts w:ascii="Arial" w:cs="Arial" w:eastAsia="Arial" w:hAnsi="Arial"/>
          <w:sz w:val="16"/>
          <w:szCs w:val="16"/>
          <w:color w:val="auto"/>
        </w:rPr>
        <w:t xml:space="preserve"> The Company represents that it has treated or agrees that it will treat each Permitted Free Writing Prospectus as an issuer free writing prospectus and has complied and will comply with the requirements of Rule 164 and Rule 433 applicable to any Permitted Free Writing Prospectus.</w:t>
      </w:r>
    </w:p>
    <w:p>
      <w:pPr>
        <w:spacing w:after="0" w:line="166" w:lineRule="exact"/>
        <w:rPr>
          <w:rFonts w:ascii="Arial" w:cs="Arial" w:eastAsia="Arial" w:hAnsi="Arial"/>
          <w:sz w:val="16"/>
          <w:szCs w:val="16"/>
          <w:color w:val="auto"/>
        </w:rPr>
      </w:pPr>
    </w:p>
    <w:p>
      <w:pPr>
        <w:jc w:val="both"/>
        <w:ind w:left="-20" w:firstLine="656"/>
        <w:spacing w:after="0" w:line="259" w:lineRule="auto"/>
        <w:tabs>
          <w:tab w:leader="none" w:pos="1344"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Conditions of Underwriters’ Obligations</w:t>
      </w:r>
      <w:r>
        <w:rPr>
          <w:rFonts w:ascii="Arial" w:cs="Arial" w:eastAsia="Arial" w:hAnsi="Arial"/>
          <w:sz w:val="18"/>
          <w:szCs w:val="18"/>
          <w:color w:val="auto"/>
        </w:rPr>
        <w:t>. The obligations of the several Underwriters hereunder are subject to the accuracy, as of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and at each of the First Closing Date and each Option Closing Date (as if made at such Closing Date), of and compliance with all representations, warranties and agreements of the Company contained herein, to the performance by the Company of its obligations hereunder and to the following additional conditions:</w:t>
      </w:r>
    </w:p>
    <w:p>
      <w:pPr>
        <w:spacing w:after="0" w:line="186" w:lineRule="exact"/>
        <w:rPr>
          <w:rFonts w:ascii="Arial" w:cs="Arial" w:eastAsia="Arial" w:hAnsi="Arial"/>
          <w:sz w:val="18"/>
          <w:szCs w:val="18"/>
          <w:color w:val="auto"/>
        </w:rPr>
      </w:pPr>
    </w:p>
    <w:p>
      <w:pPr>
        <w:jc w:val="both"/>
        <w:ind w:left="-20" w:firstLine="1305"/>
        <w:spacing w:after="0" w:line="290" w:lineRule="auto"/>
        <w:tabs>
          <w:tab w:leader="none" w:pos="1863" w:val="left"/>
        </w:tabs>
        <w:numPr>
          <w:ilvl w:val="1"/>
          <w:numId w:val="33"/>
        </w:numPr>
        <w:rPr>
          <w:rFonts w:ascii="Arial" w:cs="Arial" w:eastAsia="Arial" w:hAnsi="Arial"/>
          <w:sz w:val="16"/>
          <w:szCs w:val="16"/>
          <w:color w:val="auto"/>
        </w:rPr>
      </w:pPr>
      <w:r>
        <w:rPr>
          <w:rFonts w:ascii="Arial" w:cs="Arial" w:eastAsia="Arial" w:hAnsi="Arial"/>
          <w:sz w:val="16"/>
          <w:szCs w:val="16"/>
          <w:i w:val="1"/>
          <w:iCs w:val="1"/>
          <w:u w:val="single" w:color="auto"/>
          <w:color w:val="auto"/>
        </w:rPr>
        <w:t>Required Filings; Absence of Certain Commission Actions</w:t>
      </w:r>
      <w:r>
        <w:rPr>
          <w:rFonts w:ascii="Arial" w:cs="Arial" w:eastAsia="Arial" w:hAnsi="Arial"/>
          <w:sz w:val="16"/>
          <w:szCs w:val="16"/>
          <w:color w:val="auto"/>
        </w:rPr>
        <w:t>. If filing of the Prospectus, or any amendment or supplement thereto, or</w:t>
      </w:r>
      <w:r>
        <w:rPr>
          <w:rFonts w:ascii="Arial" w:cs="Arial" w:eastAsia="Arial" w:hAnsi="Arial"/>
          <w:sz w:val="16"/>
          <w:szCs w:val="16"/>
          <w:i w:val="1"/>
          <w:iCs w:val="1"/>
          <w:color w:val="auto"/>
        </w:rPr>
        <w:t xml:space="preserve"> </w:t>
      </w:r>
      <w:r>
        <w:rPr>
          <w:rFonts w:ascii="Arial" w:cs="Arial" w:eastAsia="Arial" w:hAnsi="Arial"/>
          <w:sz w:val="16"/>
          <w:szCs w:val="16"/>
          <w:color w:val="auto"/>
        </w:rPr>
        <w:t>any issuer free writing prospectus, is required under the Securities Act or the Rules and Regulations, the Company shall have filed the Prospectus (or such amendment or supplement) or such issuer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any Rule 462(b) Registration Statement, or any amendment thereof, nor suspending or preventing the use of the Time of Sale Disclosure Package, the Prospectus or any issuer free writing prospectus shall have been issued; no proceedings for the issuance of such an order shall have been initiated or threatened; any request of the Commission for additional information (to be included in the Registration Statement, the Time of Sale Disclosure Package, the Prospectus, any issuer free writing prospectus or otherwise) shall have been complied with to your satisfaction.</w:t>
      </w:r>
    </w:p>
    <w:p>
      <w:pPr>
        <w:spacing w:after="0" w:line="166" w:lineRule="exact"/>
        <w:rPr>
          <w:rFonts w:ascii="Arial" w:cs="Arial" w:eastAsia="Arial" w:hAnsi="Arial"/>
          <w:sz w:val="16"/>
          <w:szCs w:val="16"/>
          <w:color w:val="auto"/>
        </w:rPr>
      </w:pPr>
    </w:p>
    <w:p>
      <w:pPr>
        <w:jc w:val="both"/>
        <w:ind w:left="-20" w:firstLine="1305"/>
        <w:spacing w:after="0" w:line="273" w:lineRule="auto"/>
        <w:tabs>
          <w:tab w:leader="none" w:pos="1860" w:val="left"/>
        </w:tabs>
        <w:numPr>
          <w:ilvl w:val="1"/>
          <w:numId w:val="33"/>
        </w:numPr>
        <w:rPr>
          <w:rFonts w:ascii="Arial" w:cs="Arial" w:eastAsia="Arial" w:hAnsi="Arial"/>
          <w:sz w:val="17"/>
          <w:szCs w:val="17"/>
          <w:color w:val="auto"/>
        </w:rPr>
      </w:pPr>
      <w:r>
        <w:rPr>
          <w:rFonts w:ascii="Arial" w:cs="Arial" w:eastAsia="Arial" w:hAnsi="Arial"/>
          <w:sz w:val="17"/>
          <w:szCs w:val="17"/>
          <w:i w:val="1"/>
          <w:iCs w:val="1"/>
          <w:u w:val="single" w:color="auto"/>
          <w:color w:val="auto"/>
        </w:rPr>
        <w:t>Continued Compliance with Securities Laws</w:t>
      </w:r>
      <w:r>
        <w:rPr>
          <w:rFonts w:ascii="Arial" w:cs="Arial" w:eastAsia="Arial" w:hAnsi="Arial"/>
          <w:sz w:val="17"/>
          <w:szCs w:val="17"/>
          <w:color w:val="auto"/>
        </w:rPr>
        <w:t>. No Underwriter shall have advised the Company that (i) the Registration Statement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any amendment thereof or supplement thereto contains an untrue statement of a material fact which, in your opinion, is material or omits to state a material fact which, in your opinion, is required to be stated therein or necessary to make the statements therein not misleading, or (ii) the Time of Sale Disclosure Package or the Prospectus, or any amendment thereof or supplement thereto, or any issuer free writing prospectus contains an untrue statement of fact which, in your opinion, is material, or omits to state a fact which, in your opinion, is material and is required to be stated therein, or necessary to make the statements therein, in light of the circumstances under which they are made, not misleading.</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6" w:name="page27"/>
    <w:bookmarkEnd w:id="26"/>
    <w:p>
      <w:pPr>
        <w:jc w:val="both"/>
        <w:ind w:left="-20" w:firstLine="1305"/>
        <w:spacing w:after="0" w:line="287" w:lineRule="auto"/>
        <w:tabs>
          <w:tab w:leader="none" w:pos="1850" w:val="left"/>
        </w:tabs>
        <w:numPr>
          <w:ilvl w:val="0"/>
          <w:numId w:val="34"/>
        </w:numPr>
        <w:rPr>
          <w:rFonts w:ascii="Arial" w:cs="Arial" w:eastAsia="Arial" w:hAnsi="Arial"/>
          <w:sz w:val="16"/>
          <w:szCs w:val="16"/>
          <w:color w:val="auto"/>
        </w:rPr>
      </w:pPr>
      <w:r>
        <w:rPr>
          <w:rFonts w:ascii="Arial" w:cs="Arial" w:eastAsia="Arial" w:hAnsi="Arial"/>
          <w:sz w:val="16"/>
          <w:szCs w:val="16"/>
          <w:i w:val="1"/>
          <w:iCs w:val="1"/>
          <w:u w:val="single" w:color="auto"/>
          <w:color w:val="auto"/>
        </w:rPr>
        <w:t>Absence of Certain Events</w:t>
      </w:r>
      <w:r>
        <w:rPr>
          <w:rFonts w:ascii="Arial" w:cs="Arial" w:eastAsia="Arial" w:hAnsi="Arial"/>
          <w:sz w:val="16"/>
          <w:szCs w:val="16"/>
          <w:color w:val="auto"/>
        </w:rPr>
        <w:t>. Except as contemplated in the Time of Sale Disclosure Package and in the Prospectus, subsequent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dates as of which information is given in the Time of Sale Disclosure Package, neither the Company nor any of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(other than a change in the number of outstanding Ordinary Shares due to the issuance of shares upon the exercise of outstanding options or warrants or conversion of convertible securities), or any material change in the short-term or long-term debt of the Company (other than as a result of the conversion of convertible securities), or any issuance of options, warrants, convertible securities or other rights to purchase the capital stock of the Company or any of its subsidiaries, or any Material Adverse Change or any development that would reasonably likely to have a Material Adverse Change (whether or not arising in the ordinary course of business), or any loss by strike, fire, flood, earthquake, accident or other calamity, whether or not covered by insurance, incurred by the Company or any subsidiary, the effect of which, in any such case described above, in your judgment, makes it impractical or inadvisable to offer or deliver the Securities on the terms and in the manner contemplated in the Time of Sale Disclosure Package and in the Prospectus.</w:t>
      </w:r>
    </w:p>
    <w:p>
      <w:pPr>
        <w:spacing w:after="0" w:line="172" w:lineRule="exact"/>
        <w:rPr>
          <w:rFonts w:ascii="Arial" w:cs="Arial" w:eastAsia="Arial" w:hAnsi="Arial"/>
          <w:sz w:val="16"/>
          <w:szCs w:val="16"/>
          <w:color w:val="auto"/>
        </w:rPr>
      </w:pPr>
    </w:p>
    <w:p>
      <w:pPr>
        <w:ind w:left="1860" w:hanging="575"/>
        <w:spacing w:after="0"/>
        <w:tabs>
          <w:tab w:leader="none" w:pos="1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20" w:firstLine="1305"/>
        <w:spacing w:after="0" w:line="264" w:lineRule="auto"/>
        <w:tabs>
          <w:tab w:leader="none" w:pos="1863" w:val="left"/>
        </w:tabs>
        <w:numPr>
          <w:ilvl w:val="0"/>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 of U.S. Company Counsel</w:t>
      </w:r>
      <w:r>
        <w:rPr>
          <w:rFonts w:ascii="Arial" w:cs="Arial" w:eastAsia="Arial" w:hAnsi="Arial"/>
          <w:sz w:val="18"/>
          <w:szCs w:val="18"/>
          <w:color w:val="auto"/>
        </w:rPr>
        <w:t>. On each Closing Date, there shall have been furnished to you, as Representatives of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the opinion of Zysman, Aharoni, Gayer and Sullivan &amp; Worcester LLP, U.S. counsel to the Company, dated such Closing Date and addressed to you in form and substance reasonably satisfactory to you.</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1965" w:val="left"/>
        </w:tabs>
        <w:numPr>
          <w:ilvl w:val="0"/>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 of Israeli Company Counsel</w:t>
      </w:r>
      <w:r>
        <w:rPr>
          <w:rFonts w:ascii="Arial" w:cs="Arial" w:eastAsia="Arial" w:hAnsi="Arial"/>
          <w:sz w:val="18"/>
          <w:szCs w:val="18"/>
          <w:color w:val="auto"/>
        </w:rPr>
        <w:t>. On each Closing Date, there shall have been furnished to you, as Representatives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Underwriters, the opinion of Zysman, Aharoni, Gayer &amp; Co., Israeli counsel to the Company, dated such Closing Date and addressed to you in form and substance reasonably satisfactory to you.</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2197" w:val="left"/>
        </w:tabs>
        <w:numPr>
          <w:ilvl w:val="0"/>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Opinion of Intellectual Property Company Counsel</w:t>
      </w:r>
      <w:r>
        <w:rPr>
          <w:rFonts w:ascii="Arial" w:cs="Arial" w:eastAsia="Arial" w:hAnsi="Arial"/>
          <w:sz w:val="18"/>
          <w:szCs w:val="18"/>
          <w:color w:val="auto"/>
        </w:rPr>
        <w:t>. On each Closing Date, there shall have been furnished to you, as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of the several Underwriters, the opinion of Cooley LLP, intellectual property counsel to the Company, dated such Closing Date and addressed to you in form and substance reasonably satisfactory to you.</w:t>
      </w:r>
    </w:p>
    <w:p>
      <w:pPr>
        <w:spacing w:after="0" w:line="181" w:lineRule="exact"/>
        <w:rPr>
          <w:rFonts w:ascii="Arial" w:cs="Arial" w:eastAsia="Arial" w:hAnsi="Arial"/>
          <w:sz w:val="18"/>
          <w:szCs w:val="18"/>
          <w:color w:val="auto"/>
        </w:rPr>
      </w:pPr>
    </w:p>
    <w:p>
      <w:pPr>
        <w:jc w:val="both"/>
        <w:ind w:left="-20" w:firstLine="1305"/>
        <w:spacing w:after="0" w:line="302" w:lineRule="auto"/>
        <w:tabs>
          <w:tab w:leader="none" w:pos="1927" w:val="left"/>
        </w:tabs>
        <w:numPr>
          <w:ilvl w:val="0"/>
          <w:numId w:val="34"/>
        </w:numPr>
        <w:rPr>
          <w:rFonts w:ascii="Arial" w:cs="Arial" w:eastAsia="Arial" w:hAnsi="Arial"/>
          <w:sz w:val="16"/>
          <w:szCs w:val="16"/>
          <w:color w:val="auto"/>
        </w:rPr>
      </w:pPr>
      <w:r>
        <w:rPr>
          <w:rFonts w:ascii="Arial" w:cs="Arial" w:eastAsia="Arial" w:hAnsi="Arial"/>
          <w:sz w:val="16"/>
          <w:szCs w:val="16"/>
          <w:i w:val="1"/>
          <w:iCs w:val="1"/>
          <w:u w:val="single" w:color="auto"/>
          <w:color w:val="auto"/>
        </w:rPr>
        <w:t>Opinion of U.S. Underwriters’ Counsel</w:t>
      </w:r>
      <w:r>
        <w:rPr>
          <w:rFonts w:ascii="Arial" w:cs="Arial" w:eastAsia="Arial" w:hAnsi="Arial"/>
          <w:sz w:val="16"/>
          <w:szCs w:val="16"/>
          <w:color w:val="auto"/>
        </w:rPr>
        <w:t>. On each Closing Date, there shall have been furnished to you, as Representatives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Underwriters, such opinion or opinions from Covington &amp; Burling LLP, U.S. counsel for the several Underwriters, dated such Closing Date and addressed to you, with respect the Registration Statement, the Time of Sale Disclosure Package, the Prospectus and other related matters as you reasonably may request, and such counsel shall have received from the Company such papers and information as they request to enable them to pass upon such matters.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7" w:name="page28"/>
    <w:bookmarkEnd w:id="27"/>
    <w:p>
      <w:pPr>
        <w:jc w:val="both"/>
        <w:ind w:firstLine="1305"/>
        <w:spacing w:after="0" w:line="302" w:lineRule="auto"/>
        <w:tabs>
          <w:tab w:leader="none" w:pos="1880" w:val="left"/>
        </w:tabs>
        <w:numPr>
          <w:ilvl w:val="0"/>
          <w:numId w:val="35"/>
        </w:numPr>
        <w:rPr>
          <w:rFonts w:ascii="Arial" w:cs="Arial" w:eastAsia="Arial" w:hAnsi="Arial"/>
          <w:sz w:val="16"/>
          <w:szCs w:val="16"/>
          <w:color w:val="auto"/>
        </w:rPr>
      </w:pPr>
      <w:r>
        <w:rPr>
          <w:rFonts w:ascii="Arial" w:cs="Arial" w:eastAsia="Arial" w:hAnsi="Arial"/>
          <w:sz w:val="16"/>
          <w:szCs w:val="16"/>
          <w:i w:val="1"/>
          <w:iCs w:val="1"/>
          <w:u w:val="single" w:color="auto"/>
          <w:color w:val="auto"/>
        </w:rPr>
        <w:t>Opinion of Israeli Underwriters’ Counsel</w:t>
      </w:r>
      <w:r>
        <w:rPr>
          <w:rFonts w:ascii="Arial" w:cs="Arial" w:eastAsia="Arial" w:hAnsi="Arial"/>
          <w:sz w:val="16"/>
          <w:szCs w:val="16"/>
          <w:color w:val="auto"/>
        </w:rPr>
        <w:t>. On each Closing Date, there shall have been furnished to you, as Representatives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Underwriters, such opinion or opinions from Gornitzky &amp; Co., Israeli counsel for the several Underwriters, dated such Closing Date and addressed to you, with respect to the formation of the Company and the validity of the Securities and other related matters as you reasonably may request, and such counsel shall have received from the Company such papers and information as they request to enable them to pass upon such matters.</w:t>
      </w:r>
    </w:p>
    <w:p>
      <w:pPr>
        <w:spacing w:after="0" w:line="154" w:lineRule="exact"/>
        <w:rPr>
          <w:rFonts w:ascii="Arial" w:cs="Arial" w:eastAsia="Arial" w:hAnsi="Arial"/>
          <w:sz w:val="16"/>
          <w:szCs w:val="16"/>
          <w:color w:val="auto"/>
        </w:rPr>
      </w:pPr>
    </w:p>
    <w:p>
      <w:pPr>
        <w:jc w:val="both"/>
        <w:ind w:firstLine="1305"/>
        <w:spacing w:after="0" w:line="312" w:lineRule="auto"/>
        <w:tabs>
          <w:tab w:leader="none" w:pos="1894" w:val="left"/>
        </w:tabs>
        <w:numPr>
          <w:ilvl w:val="0"/>
          <w:numId w:val="35"/>
        </w:numPr>
        <w:rPr>
          <w:rFonts w:ascii="Arial" w:cs="Arial" w:eastAsia="Arial" w:hAnsi="Arial"/>
          <w:sz w:val="16"/>
          <w:szCs w:val="16"/>
          <w:color w:val="auto"/>
        </w:rPr>
      </w:pPr>
      <w:r>
        <w:rPr>
          <w:rFonts w:ascii="Arial" w:cs="Arial" w:eastAsia="Arial" w:hAnsi="Arial"/>
          <w:sz w:val="16"/>
          <w:szCs w:val="16"/>
          <w:i w:val="1"/>
          <w:iCs w:val="1"/>
          <w:u w:val="single" w:color="auto"/>
          <w:color w:val="auto"/>
        </w:rPr>
        <w:t>Comfort Letter</w:t>
      </w:r>
      <w:r>
        <w:rPr>
          <w:rFonts w:ascii="Arial" w:cs="Arial" w:eastAsia="Arial" w:hAnsi="Arial"/>
          <w:sz w:val="16"/>
          <w:szCs w:val="16"/>
          <w:color w:val="auto"/>
        </w:rPr>
        <w:t>. On the date hereof, on the effective date of any post-effective amendment to the Registration Statement filed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hereof and on each Closing Date you, as Representatives of the several Underwriters, shall have received an accountant’s “comfort” letter of Kost Forer Gabbay &amp; Kasierer (a Member of Ernst &amp; Young Global), dated such date and addressed to you, in form and substance satisfactory to you.</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2028"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Officers’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 On each Closing Date, there shall have been furnished to you, as Representatives of the Underwriters, a</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dated such Closing Date and addressed to you, signed by the chief executive officer and by the chief financial officer of the Company, to the effect that:</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25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as if made at and as of such Closing Date, and the Company has complied with all the agreements and satisfied all the conditions on its part to be complied with or satisfied at or prior to such Closing Date;</w:t>
      </w:r>
    </w:p>
    <w:p>
      <w:pPr>
        <w:spacing w:after="0" w:line="181" w:lineRule="exact"/>
        <w:rPr>
          <w:rFonts w:ascii="Arial" w:cs="Arial" w:eastAsia="Arial" w:hAnsi="Arial"/>
          <w:sz w:val="18"/>
          <w:szCs w:val="18"/>
          <w:color w:val="auto"/>
        </w:rPr>
      </w:pPr>
    </w:p>
    <w:p>
      <w:pPr>
        <w:jc w:val="both"/>
        <w:ind w:left="660" w:firstLine="1293"/>
        <w:spacing w:after="0" w:line="259" w:lineRule="auto"/>
        <w:tabs>
          <w:tab w:leader="none" w:pos="2761"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stop order or other order suspending the effectiveness of the Registration Statement or any part thereof or any amendment thereof or the qualification of the Securities for offering or sale nor suspending or preventing the use of the Time of Sale Disclosure Package, the Prospectus or any issuer free writing prospectus, has been issued, and no proceeding for that purpose has been instituted or, to the best of their knowledge, is contemplated by the Commission or any state or regulatory body; and</w:t>
      </w:r>
    </w:p>
    <w:p>
      <w:pPr>
        <w:spacing w:after="0" w:line="186" w:lineRule="exact"/>
        <w:rPr>
          <w:rFonts w:ascii="Arial" w:cs="Arial" w:eastAsia="Arial" w:hAnsi="Arial"/>
          <w:sz w:val="18"/>
          <w:szCs w:val="18"/>
          <w:color w:val="auto"/>
        </w:rPr>
      </w:pPr>
    </w:p>
    <w:p>
      <w:pPr>
        <w:ind w:left="2580" w:hanging="627"/>
        <w:spacing w:after="0"/>
        <w:tabs>
          <w:tab w:leader="none" w:pos="2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Affirms the accuracy of the matters set forth in subsection (c) of this Section 5.</w:t>
      </w:r>
    </w:p>
    <w:p>
      <w:pPr>
        <w:spacing w:after="0" w:line="225" w:lineRule="exact"/>
        <w:rPr>
          <w:rFonts w:ascii="Arial" w:cs="Arial" w:eastAsia="Arial" w:hAnsi="Arial"/>
          <w:sz w:val="18"/>
          <w:szCs w:val="18"/>
          <w:color w:val="auto"/>
        </w:rPr>
      </w:pPr>
    </w:p>
    <w:p>
      <w:pPr>
        <w:ind w:right="20" w:firstLine="1305"/>
        <w:spacing w:after="0" w:line="277" w:lineRule="auto"/>
        <w:tabs>
          <w:tab w:leader="none" w:pos="1984"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Lock-Up Agreement</w:t>
      </w:r>
      <w:r>
        <w:rPr>
          <w:rFonts w:ascii="Arial" w:cs="Arial" w:eastAsia="Arial" w:hAnsi="Arial"/>
          <w:sz w:val="18"/>
          <w:szCs w:val="18"/>
          <w:color w:val="auto"/>
        </w:rPr>
        <w:t>. The Underwriters shall have received all of the Lock-Up Agreements referenced in Section 4 and the Lock-Up Agreements shall remain in full force and effect.</w:t>
      </w:r>
    </w:p>
    <w:p>
      <w:pPr>
        <w:spacing w:after="0" w:line="170" w:lineRule="exact"/>
        <w:rPr>
          <w:rFonts w:ascii="Arial" w:cs="Arial" w:eastAsia="Arial" w:hAnsi="Arial"/>
          <w:sz w:val="18"/>
          <w:szCs w:val="18"/>
          <w:color w:val="auto"/>
        </w:rPr>
      </w:pPr>
    </w:p>
    <w:p>
      <w:pPr>
        <w:ind w:left="2040" w:hanging="735"/>
        <w:spacing w:after="0"/>
        <w:tabs>
          <w:tab w:leader="none" w:pos="2040" w:val="left"/>
        </w:tabs>
        <w:numPr>
          <w:ilvl w:val="0"/>
          <w:numId w:val="35"/>
        </w:numPr>
        <w:rPr>
          <w:rFonts w:ascii="Arial" w:cs="Arial" w:eastAsia="Arial" w:hAnsi="Arial"/>
          <w:sz w:val="16"/>
          <w:szCs w:val="16"/>
          <w:color w:val="auto"/>
        </w:rPr>
      </w:pPr>
      <w:r>
        <w:rPr>
          <w:rFonts w:ascii="Arial" w:cs="Arial" w:eastAsia="Arial" w:hAnsi="Arial"/>
          <w:sz w:val="16"/>
          <w:szCs w:val="16"/>
          <w:i w:val="1"/>
          <w:iCs w:val="1"/>
          <w:u w:val="single" w:color="auto"/>
          <w:color w:val="auto"/>
        </w:rPr>
        <w:t>FINRA No Objections</w:t>
      </w:r>
      <w:r>
        <w:rPr>
          <w:rFonts w:ascii="Arial" w:cs="Arial" w:eastAsia="Arial" w:hAnsi="Arial"/>
          <w:sz w:val="16"/>
          <w:szCs w:val="16"/>
          <w:color w:val="auto"/>
        </w:rPr>
        <w:t>. FINRA shall have raised no objection to the fairness and reasonableness of the underwriting terms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arrangements.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ind w:firstLine="1305"/>
        <w:spacing w:after="0" w:line="277" w:lineRule="auto"/>
        <w:tabs>
          <w:tab w:leader="none" w:pos="2109"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Documents</w:t>
      </w:r>
      <w:r>
        <w:rPr>
          <w:rFonts w:ascii="Arial" w:cs="Arial" w:eastAsia="Arial" w:hAnsi="Arial"/>
          <w:sz w:val="18"/>
          <w:szCs w:val="18"/>
          <w:color w:val="auto"/>
        </w:rPr>
        <w:t>. The Company shall have furnished to you and counsel for the Underwriters such additional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and evidence as you or they may have reasonably requested.</w:t>
      </w:r>
    </w:p>
    <w:p>
      <w:pPr>
        <w:spacing w:after="0" w:line="170" w:lineRule="exact"/>
        <w:rPr>
          <w:rFonts w:ascii="Arial" w:cs="Arial" w:eastAsia="Arial" w:hAnsi="Arial"/>
          <w:sz w:val="18"/>
          <w:szCs w:val="18"/>
          <w:color w:val="auto"/>
        </w:rPr>
      </w:pPr>
    </w:p>
    <w:p>
      <w:pPr>
        <w:ind w:firstLine="1305"/>
        <w:spacing w:after="0" w:line="277" w:lineRule="auto"/>
        <w:tabs>
          <w:tab w:leader="none" w:pos="2028"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Exchange Listing</w:t>
      </w:r>
      <w:r>
        <w:rPr>
          <w:rFonts w:ascii="Arial" w:cs="Arial" w:eastAsia="Arial" w:hAnsi="Arial"/>
          <w:sz w:val="18"/>
          <w:szCs w:val="18"/>
          <w:color w:val="auto"/>
        </w:rPr>
        <w:t>. The Securities to be delivered on such Closing Date have been approved for listing on The Nasdaq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subject to official notice of issuance.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All such opinions, certificates, letters and other documents will be in compliance with the provisions hereof only if they are satisfactory in form and substance to you and counsel for the Underwriters. The Company will furnish you with such conformed copies of such opinions, certificates, letters and other documents as you shall reasonably request.</w:t>
      </w:r>
    </w:p>
    <w:p>
      <w:pPr>
        <w:spacing w:after="0" w:line="181" w:lineRule="exact"/>
        <w:rPr>
          <w:sz w:val="20"/>
          <w:szCs w:val="20"/>
          <w:color w:val="auto"/>
        </w:rPr>
      </w:pPr>
    </w:p>
    <w:p>
      <w:pPr>
        <w:ind w:left="1420" w:hanging="764"/>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8" w:lineRule="auto"/>
        <w:tabs>
          <w:tab w:leader="none" w:pos="1856" w:val="left"/>
        </w:tabs>
        <w:numPr>
          <w:ilvl w:val="1"/>
          <w:numId w:val="37"/>
        </w:numPr>
        <w:rPr>
          <w:rFonts w:ascii="Arial" w:cs="Arial" w:eastAsia="Arial" w:hAnsi="Arial"/>
          <w:sz w:val="17"/>
          <w:szCs w:val="17"/>
          <w:color w:val="auto"/>
        </w:rPr>
      </w:pPr>
      <w:r>
        <w:rPr>
          <w:rFonts w:ascii="Arial" w:cs="Arial" w:eastAsia="Arial" w:hAnsi="Arial"/>
          <w:sz w:val="17"/>
          <w:szCs w:val="17"/>
          <w:i w:val="1"/>
          <w:iCs w:val="1"/>
          <w:u w:val="single" w:color="auto"/>
          <w:color w:val="auto"/>
        </w:rPr>
        <w:t>Indemnification by the Company</w:t>
      </w:r>
      <w:r>
        <w:rPr>
          <w:rFonts w:ascii="Arial" w:cs="Arial" w:eastAsia="Arial" w:hAnsi="Arial"/>
          <w:sz w:val="17"/>
          <w:szCs w:val="17"/>
          <w:color w:val="auto"/>
        </w:rPr>
        <w:t>. The Company agrees to indemnify and hold harmless each Underwriter, its affiliates,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officers and each person, if any, who controls such Underwriter within the meaning of Section 15 of the Act or Section 20 of the Exchange Act, from and against any losses, claims, damages or liabilities, joint or several, to which such Underwriter or any of its affiliates, directors, officers or any such controlling person may become subject, under the Act or otherwise (including in settlement of any litigation if such settlement is effected with the written consent of the Company), insofar as such losses, claims, damages or liabilities (or actions in respect thereof) arise out of or are based upon an untrue statement or alleged untrue statement of a material fact contained in the Registration Statement, including the 430B Information and any other information deemed to be a part of the Registration Statement at the time of effectiveness and at any subsequent time pursuant to the Rules and Regulations, if applicable, any Preliminary Prospectus, the Time of Sale Disclosure Package, the Prospectus, or any amendment or supplement thereto, any issuer free writing prospectus, or any issuer information that the Company has filed or is required to file pursuant to Rule 433(d) of the Rules and Regulations,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it in connection with investigating or defending against such loss, claim, damage, liability or action as such expenses are incurred;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you, or by any Underwriter through you, specifically for use in the preparation thereof; it being understood and agreed that the only information furnished by an Underwriter consists of the information described as such in Section 6(f).</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jc w:val="both"/>
        <w:ind w:left="-20" w:firstLine="1305"/>
        <w:spacing w:after="0" w:line="268" w:lineRule="auto"/>
        <w:tabs>
          <w:tab w:leader="none" w:pos="1887" w:val="left"/>
        </w:tabs>
        <w:numPr>
          <w:ilvl w:val="0"/>
          <w:numId w:val="38"/>
        </w:numPr>
        <w:rPr>
          <w:rFonts w:ascii="Arial" w:cs="Arial" w:eastAsia="Arial" w:hAnsi="Arial"/>
          <w:sz w:val="17"/>
          <w:szCs w:val="17"/>
          <w:color w:val="auto"/>
        </w:rPr>
      </w:pPr>
      <w:r>
        <w:rPr>
          <w:rFonts w:ascii="Arial" w:cs="Arial" w:eastAsia="Arial" w:hAnsi="Arial"/>
          <w:sz w:val="17"/>
          <w:szCs w:val="17"/>
          <w:i w:val="1"/>
          <w:iCs w:val="1"/>
          <w:u w:val="single" w:color="auto"/>
          <w:color w:val="auto"/>
        </w:rPr>
        <w:t>Indemnification by the Underwriters</w:t>
      </w:r>
      <w:r>
        <w:rPr>
          <w:rFonts w:ascii="Arial" w:cs="Arial" w:eastAsia="Arial" w:hAnsi="Arial"/>
          <w:sz w:val="17"/>
          <w:szCs w:val="17"/>
          <w:color w:val="auto"/>
        </w:rPr>
        <w:t>. Each Underwriter will, severally and not jointly, indemnify and hold harmless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its affiliates, directors and officers and each person, if any, who controls the Company within the meaning of Section 15 of the Act and Section 20 of the Exchange Act, from and against any losses, claims, damages or liabilities to which the Company or any of its affiliates, directors, officers or any such controlling person may become subject, under the Act or otherwise (including in settlement of any litigation, if such settlement is effected with the written consent of such Underwriter), insofar as such losses, claims, damages or liabilities (or actions in respect thereof) arise out of or are based upon an untrue statement or alleged untrue statement of a material fact contained in the Registration Statement, any Preliminary Prospectus, the Time of Sale Disclosure Package, the Prospectus, or any amendment or supplement thereto, or any issuer free writing prospectus, or any issuer information that the Company has filed or is required to file pursuant to Rule 433(d) of the Rules and Regulations,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you, or by such Underwriter through you, specifically for use in the preparation thereof (it being understood and agreed that the only information furnished by an Underwriter consists of the information described as such in Section 6(e)), and will reimburse the Company for any legal or other expenses reasonably incurred by the Company in connection with investigating or defending against any such loss, claim, damage, liability or action as such expenses are incurred.</w:t>
      </w:r>
    </w:p>
    <w:p>
      <w:pPr>
        <w:spacing w:after="0" w:line="185" w:lineRule="exact"/>
        <w:rPr>
          <w:rFonts w:ascii="Arial" w:cs="Arial" w:eastAsia="Arial" w:hAnsi="Arial"/>
          <w:sz w:val="17"/>
          <w:szCs w:val="17"/>
          <w:color w:val="auto"/>
        </w:rPr>
      </w:pPr>
    </w:p>
    <w:p>
      <w:pPr>
        <w:jc w:val="both"/>
        <w:ind w:left="-20" w:firstLine="1305"/>
        <w:spacing w:after="0" w:line="284" w:lineRule="auto"/>
        <w:tabs>
          <w:tab w:leader="none" w:pos="2093" w:val="left"/>
        </w:tabs>
        <w:numPr>
          <w:ilvl w:val="0"/>
          <w:numId w:val="38"/>
        </w:numPr>
        <w:rPr>
          <w:rFonts w:ascii="Arial" w:cs="Arial" w:eastAsia="Arial" w:hAnsi="Arial"/>
          <w:sz w:val="16"/>
          <w:szCs w:val="16"/>
          <w:color w:val="auto"/>
        </w:rPr>
      </w:pPr>
      <w:r>
        <w:rPr>
          <w:rFonts w:ascii="Arial" w:cs="Arial" w:eastAsia="Arial" w:hAnsi="Arial"/>
          <w:sz w:val="16"/>
          <w:szCs w:val="16"/>
          <w:i w:val="1"/>
          <w:iCs w:val="1"/>
          <w:u w:val="single" w:color="auto"/>
          <w:color w:val="auto"/>
        </w:rPr>
        <w:t>Notice and Procedures</w:t>
      </w:r>
      <w:r>
        <w:rPr>
          <w:rFonts w:ascii="Arial" w:cs="Arial" w:eastAsia="Arial" w:hAnsi="Arial"/>
          <w:sz w:val="16"/>
          <w:szCs w:val="16"/>
          <w:color w:val="auto"/>
        </w:rPr>
        <w:t>. Promptly after receipt by an indemnified party under subsection (a) or (b) above of notice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(through the forfeiture of substantive rights or defenses).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in the sole judgment of the Representatives, it is advisable for the Underwriters to be represented as a group by separate counsel, the Representatives shall have the right to employ a single counsel (in addition to local counsel) to represent the Representatives and all Underwriters who may be subject to liability arising from any claim in respect of which indemnity may be sought by the Underwriters under subsection (a) or (b) of this Section 6, in which event the reasonable fees and expenses of such separate counsel shall be borne by the indemnifying party or parties and reimbursed to the Underwriters as incurred. An indemnifying party shall not be obligated under any settlement agreement relating to any action under this Section 6 to which it has not agreed in writing. In addition, no indemnifying party shall, without the prior written consent of the indemnified party (which consent shall not be unreasonably withheld or delayed), effect any settlement of any pending or threatened proceeding unless such settlement includes an unconditional release of such indemnified party for all liability on claims that are the subject matter of such proceeding and does not include a statement as to, or an admission of, fault, culpability or a failure to act by or on behalf of an indemnified party. Notwithstanding the foregoing, if at any time an indemnified party shall have requested an indemnifying party to reimburse the indemnified party for fees and expenses of counsel pursuant to this Section 6(c), such indemnifying party agrees that it shall be liable for any settlement effected without its written consent if (i) such settlement is entered into more than 45 days after receipt by such indemnifying party of the aforesaid request and (ii) such indemnifying party shall not have reimbursed such indemnified party in accordance with such request prior to the date of such settlement.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0" w:name="page31"/>
    <w:bookmarkEnd w:id="30"/>
    <w:p>
      <w:pPr>
        <w:jc w:val="both"/>
        <w:ind w:left="-8" w:firstLine="1305"/>
        <w:spacing w:after="0" w:line="286" w:lineRule="auto"/>
        <w:tabs>
          <w:tab w:leader="none" w:pos="1912" w:val="left"/>
        </w:tabs>
        <w:numPr>
          <w:ilvl w:val="1"/>
          <w:numId w:val="39"/>
        </w:numPr>
        <w:rPr>
          <w:rFonts w:ascii="Arial" w:cs="Arial" w:eastAsia="Arial" w:hAnsi="Arial"/>
          <w:sz w:val="16"/>
          <w:szCs w:val="16"/>
          <w:color w:val="auto"/>
        </w:rPr>
      </w:pPr>
      <w:r>
        <w:rPr>
          <w:rFonts w:ascii="Arial" w:cs="Arial" w:eastAsia="Arial" w:hAnsi="Arial"/>
          <w:sz w:val="16"/>
          <w:szCs w:val="16"/>
          <w:i w:val="1"/>
          <w:iCs w:val="1"/>
          <w:u w:val="single" w:color="auto"/>
          <w:color w:val="auto"/>
        </w:rPr>
        <w:t>Contribution; Limitations on Liability; Non-Exclusive Remedy</w:t>
      </w:r>
      <w:r>
        <w:rPr>
          <w:rFonts w:ascii="Arial" w:cs="Arial" w:eastAsia="Arial" w:hAnsi="Arial"/>
          <w:sz w:val="16"/>
          <w:szCs w:val="16"/>
          <w:color w:val="auto"/>
        </w:rPr>
        <w:t>. If the indemnification provided for in this Section 6 is unavailable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w:t>
      </w:r>
    </w:p>
    <w:p>
      <w:pPr>
        <w:spacing w:after="0" w:line="1" w:lineRule="exact"/>
        <w:rPr>
          <w:rFonts w:ascii="Arial" w:cs="Arial" w:eastAsia="Arial" w:hAnsi="Arial"/>
          <w:sz w:val="16"/>
          <w:szCs w:val="16"/>
          <w:color w:val="auto"/>
        </w:rPr>
      </w:pPr>
    </w:p>
    <w:p>
      <w:pPr>
        <w:jc w:val="both"/>
        <w:ind w:left="-8" w:firstLine="8"/>
        <w:spacing w:after="0" w:line="284" w:lineRule="auto"/>
        <w:tabs>
          <w:tab w:leader="none" w:pos="257"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bears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relevant intent, knowledge, access to information and opportunity to correct or prevent such untrue statement or omission. The Company and the Underwriters agree that it would not be just and equitable if contributions pursuant to this subsection (d) were to be determined by pro rata allocation (even if the Underwriters were treated as one entity for such purpose) or by any other method of allocation which does not take account of the equitable considerations referred to in the first sentence of this subsection (d).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no Underwriter shall be required to contribute any amount in excess of the amount by which the total underwriting discounts and commissions received by such Underwriter with respect to the Securities purchased by it hereunder exceeds the amount of any damages that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remedies provided for in this Section 6 are not exclusive and shall not limit any rights or remedies that might otherwise be available to any indemnified party at law or in equity.</w:t>
      </w: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31" w:name="page32"/>
    <w:bookmarkEnd w:id="31"/>
    <w:p>
      <w:pPr>
        <w:jc w:val="both"/>
        <w:ind w:left="-20" w:firstLine="1305"/>
        <w:spacing w:after="0" w:line="255" w:lineRule="auto"/>
        <w:tabs>
          <w:tab w:leader="none" w:pos="1850" w:val="left"/>
        </w:tabs>
        <w:numPr>
          <w:ilvl w:val="1"/>
          <w:numId w:val="41"/>
        </w:numPr>
        <w:rPr>
          <w:rFonts w:ascii="Arial" w:cs="Arial" w:eastAsia="Arial" w:hAnsi="Arial"/>
          <w:sz w:val="18"/>
          <w:szCs w:val="18"/>
          <w:color w:val="auto"/>
        </w:rPr>
      </w:pPr>
      <w:r>
        <w:rPr>
          <w:rFonts w:ascii="Arial" w:cs="Arial" w:eastAsia="Arial" w:hAnsi="Arial"/>
          <w:sz w:val="18"/>
          <w:szCs w:val="18"/>
          <w:i w:val="1"/>
          <w:iCs w:val="1"/>
          <w:u w:val="single" w:color="auto"/>
          <w:color w:val="auto"/>
        </w:rPr>
        <w:t>Information Provided by the Underwriters</w:t>
      </w:r>
      <w:r>
        <w:rPr>
          <w:rFonts w:ascii="Arial" w:cs="Arial" w:eastAsia="Arial" w:hAnsi="Arial"/>
          <w:sz w:val="18"/>
          <w:szCs w:val="18"/>
          <w:color w:val="auto"/>
        </w:rPr>
        <w:t>. The Underwriters severally confirm and the Company acknowledges that the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public offering of the Securities by the Underwriters set forth in the first sentence of the third paragraph, the third sentence of the fourth paragraph, the sentences relating to the selling concessions of the first paragraph under the title “Commissions and Expenses,” and the first sentence of the first paragraph and the first sentence of the sixth paragraph under the caption “Underwriting - Stabilization” in the Time of Sale Disclosure Package and in the Prospectus are correct and constitute the only information concerning such Underwriters furnished in writing to the Company by or on behalf of the Underwriters specifically for inclusion in the Registration Statement, any Preliminary Prospectus, the Time of Sale Disclosure Package, the Prospectus or any issuer free writing prospectus.</w:t>
      </w:r>
    </w:p>
    <w:p>
      <w:pPr>
        <w:spacing w:after="0" w:line="189" w:lineRule="exact"/>
        <w:rPr>
          <w:rFonts w:ascii="Arial" w:cs="Arial" w:eastAsia="Arial" w:hAnsi="Arial"/>
          <w:sz w:val="18"/>
          <w:szCs w:val="18"/>
          <w:color w:val="auto"/>
        </w:rPr>
      </w:pPr>
    </w:p>
    <w:p>
      <w:pPr>
        <w:jc w:val="both"/>
        <w:ind w:left="-20" w:firstLine="656"/>
        <w:spacing w:after="0" w:line="257" w:lineRule="auto"/>
        <w:tabs>
          <w:tab w:leader="none" w:pos="15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Representations and Agreements to Survive Delivery</w:t>
      </w:r>
      <w:r>
        <w:rPr>
          <w:rFonts w:ascii="Arial" w:cs="Arial" w:eastAsia="Arial" w:hAnsi="Arial"/>
          <w:sz w:val="18"/>
          <w:szCs w:val="18"/>
          <w:color w:val="auto"/>
        </w:rPr>
        <w:t>. All representations, warranties, and agreements of the Company herein 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certificates delivered pursuant hereto, including but not limited to the agreements of the several Underwriters and the Company contained in Section 6 hereof, shall remain operative and in full force and effect regardless of any investigation made by or on behalf of any Underwriter or any controlling person thereof, or the Company or any of its officers, directors, or controlling persons, and shall survive delivery of, and payment for, the Securities to and by the Underwriters hereunder and any termination of this Agreement.</w:t>
      </w:r>
    </w:p>
    <w:p>
      <w:pPr>
        <w:spacing w:after="0" w:line="184" w:lineRule="exact"/>
        <w:rPr>
          <w:rFonts w:ascii="Arial" w:cs="Arial" w:eastAsia="Arial" w:hAnsi="Arial"/>
          <w:sz w:val="18"/>
          <w:szCs w:val="18"/>
          <w:color w:val="auto"/>
        </w:rPr>
      </w:pPr>
    </w:p>
    <w:p>
      <w:pPr>
        <w:ind w:left="1320" w:hanging="684"/>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Substitution of Underwriters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left="-20" w:firstLine="1305"/>
        <w:spacing w:after="0" w:line="255" w:lineRule="auto"/>
        <w:tabs>
          <w:tab w:leader="none" w:pos="1971" w:val="left"/>
        </w:tabs>
        <w:numPr>
          <w:ilvl w:val="1"/>
          <w:numId w:val="42"/>
        </w:numPr>
        <w:rPr>
          <w:rFonts w:ascii="Arial" w:cs="Arial" w:eastAsia="Arial" w:hAnsi="Arial"/>
          <w:sz w:val="18"/>
          <w:szCs w:val="18"/>
          <w:color w:val="auto"/>
        </w:rPr>
      </w:pPr>
      <w:r>
        <w:rPr>
          <w:rFonts w:ascii="Arial" w:cs="Arial" w:eastAsia="Arial" w:hAnsi="Arial"/>
          <w:sz w:val="18"/>
          <w:szCs w:val="18"/>
          <w:i w:val="1"/>
          <w:iCs w:val="1"/>
          <w:u w:val="single" w:color="auto"/>
          <w:color w:val="auto"/>
        </w:rPr>
        <w:t>Obligation to Purchase Under Certain Circumstances</w:t>
      </w:r>
      <w:r>
        <w:rPr>
          <w:rFonts w:ascii="Arial" w:cs="Arial" w:eastAsia="Arial" w:hAnsi="Arial"/>
          <w:sz w:val="18"/>
          <w:szCs w:val="18"/>
          <w:color w:val="auto"/>
        </w:rPr>
        <w:t>. If any Underwriter or Underwriters shall fail to take up and pay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Firm Shares agreed by such Underwriter or Underwriters to be purchased hereunder, upon tender of such Firm Shares in accordance with the terms hereof, and the amount of Firm Shares not purchased does not aggregate more than 10% of the total amount of Firm Shares set forth in Schedule I hereto, the remaining Underwriters shall be obligated to take up and pay for (in proportion to their respective underwriting obligations hereunder as set forth in Schedule I hereto except as may otherwise be determined by you) the Firm Shares that the withdrawing or defaulting Underwriters agreed but failed to purchase.</w:t>
      </w:r>
    </w:p>
    <w:p>
      <w:pPr>
        <w:spacing w:after="0" w:line="193" w:lineRule="exact"/>
        <w:rPr>
          <w:rFonts w:ascii="Arial" w:cs="Arial" w:eastAsia="Arial" w:hAnsi="Arial"/>
          <w:sz w:val="18"/>
          <w:szCs w:val="18"/>
          <w:color w:val="auto"/>
        </w:rPr>
      </w:pPr>
    </w:p>
    <w:p>
      <w:pPr>
        <w:jc w:val="both"/>
        <w:ind w:left="-20" w:firstLine="1305"/>
        <w:spacing w:after="0" w:line="271" w:lineRule="auto"/>
        <w:tabs>
          <w:tab w:leader="none" w:pos="1873" w:val="left"/>
        </w:tabs>
        <w:numPr>
          <w:ilvl w:val="1"/>
          <w:numId w:val="42"/>
        </w:numPr>
        <w:rPr>
          <w:rFonts w:ascii="Arial" w:cs="Arial" w:eastAsia="Arial" w:hAnsi="Arial"/>
          <w:sz w:val="17"/>
          <w:szCs w:val="17"/>
          <w:color w:val="auto"/>
        </w:rPr>
      </w:pPr>
      <w:r>
        <w:rPr>
          <w:rFonts w:ascii="Arial" w:cs="Arial" w:eastAsia="Arial" w:hAnsi="Arial"/>
          <w:sz w:val="17"/>
          <w:szCs w:val="17"/>
          <w:i w:val="1"/>
          <w:iCs w:val="1"/>
          <w:u w:val="single" w:color="auto"/>
          <w:color w:val="auto"/>
        </w:rPr>
        <w:t>Termination Under Certain Circumstances</w:t>
      </w:r>
      <w:r>
        <w:rPr>
          <w:rFonts w:ascii="Arial" w:cs="Arial" w:eastAsia="Arial" w:hAnsi="Arial"/>
          <w:sz w:val="17"/>
          <w:szCs w:val="17"/>
          <w:color w:val="auto"/>
        </w:rPr>
        <w:t>. If any Underwriter or Underwriters shall fail to take up and pay for the amount of Firm</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agreed by such Underwriter or Underwriters to be purchased hereunder, upon tender of such Firm Shares in accordance with the terms hereof, and the amount of Firm Shares not purchased aggregates more than 10% of the total amount of Firm Shares set forth in Schedule I hereto, and arrangements satisfactory to you for the purchase of such Firm Shares by other persons are not made within 36 hours thereafter, this Agreement shall terminate. In the event of any such termination the Company shall not be under any liability to any Underwriter (except to the extent provided in Section 4(a)(vii) and Section 6 hereof) nor shall any Underwriter (other than an Underwriter who shall have failed, otherwise than for some reason permitted under this Agreement, to purchase the amount of Firm Shares agreed by such Underwriter to be purchased hereunder) be under any liability to the Company (except to the extent provided in Section 6 hereof).</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2" w:name="page33"/>
    <w:bookmarkEnd w:id="32"/>
    <w:p>
      <w:pPr>
        <w:jc w:val="both"/>
        <w:ind w:firstLine="1305"/>
        <w:spacing w:after="0" w:line="302" w:lineRule="auto"/>
        <w:tabs>
          <w:tab w:leader="none" w:pos="1856" w:val="left"/>
        </w:tabs>
        <w:numPr>
          <w:ilvl w:val="1"/>
          <w:numId w:val="43"/>
        </w:numPr>
        <w:rPr>
          <w:rFonts w:ascii="Arial" w:cs="Arial" w:eastAsia="Arial" w:hAnsi="Arial"/>
          <w:sz w:val="16"/>
          <w:szCs w:val="16"/>
          <w:color w:val="auto"/>
        </w:rPr>
      </w:pPr>
      <w:r>
        <w:rPr>
          <w:rFonts w:ascii="Arial" w:cs="Arial" w:eastAsia="Arial" w:hAnsi="Arial"/>
          <w:sz w:val="16"/>
          <w:szCs w:val="16"/>
          <w:i w:val="1"/>
          <w:iCs w:val="1"/>
          <w:u w:val="single" w:color="auto"/>
          <w:color w:val="auto"/>
        </w:rPr>
        <w:t>Postponement of Closing</w:t>
      </w:r>
      <w:r>
        <w:rPr>
          <w:rFonts w:ascii="Arial" w:cs="Arial" w:eastAsia="Arial" w:hAnsi="Arial"/>
          <w:sz w:val="16"/>
          <w:szCs w:val="16"/>
          <w:color w:val="auto"/>
        </w:rPr>
        <w:t>. If Firm Shares to which a default relates are to be purchased by the non-defaulting Underwriters or by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party or parties, the Representatives or the Company shall have the right to postpone the First Closing Date for not more than seven business days in order that the necessary changes in the Registration Statement, in the Time of Sale Disclosure Package, in the Prospectus or in any other documents, as well as any other arrangements, may be effected. As used herein, the term “Underwriter” includes any person substituted for an Underwriter under this Section 8.</w:t>
      </w:r>
    </w:p>
    <w:p>
      <w:pPr>
        <w:spacing w:after="0" w:line="154" w:lineRule="exact"/>
        <w:rPr>
          <w:rFonts w:ascii="Arial" w:cs="Arial" w:eastAsia="Arial" w:hAnsi="Arial"/>
          <w:sz w:val="16"/>
          <w:szCs w:val="16"/>
          <w:color w:val="auto"/>
        </w:rPr>
      </w:pPr>
    </w:p>
    <w:p>
      <w:pPr>
        <w:ind w:left="1920" w:hanging="615"/>
        <w:spacing w:after="0"/>
        <w:tabs>
          <w:tab w:leader="none" w:pos="1920" w:val="left"/>
        </w:tabs>
        <w:numPr>
          <w:ilvl w:val="1"/>
          <w:numId w:val="43"/>
        </w:numPr>
        <w:rPr>
          <w:rFonts w:ascii="Arial" w:cs="Arial" w:eastAsia="Arial" w:hAnsi="Arial"/>
          <w:sz w:val="17"/>
          <w:szCs w:val="17"/>
          <w:color w:val="auto"/>
        </w:rPr>
      </w:pPr>
      <w:r>
        <w:rPr>
          <w:rFonts w:ascii="Arial" w:cs="Arial" w:eastAsia="Arial" w:hAnsi="Arial"/>
          <w:sz w:val="17"/>
          <w:szCs w:val="17"/>
          <w:i w:val="1"/>
          <w:iCs w:val="1"/>
          <w:u w:val="single" w:color="auto"/>
          <w:color w:val="auto"/>
        </w:rPr>
        <w:t>No Relief from Liability</w:t>
      </w:r>
      <w:r>
        <w:rPr>
          <w:rFonts w:ascii="Arial" w:cs="Arial" w:eastAsia="Arial" w:hAnsi="Arial"/>
          <w:sz w:val="17"/>
          <w:szCs w:val="17"/>
          <w:color w:val="auto"/>
        </w:rPr>
        <w:t>. No action taken pursuant to this Section shall relieve any defaulting Underwriter from liability, if any,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respect of such default.</w:t>
      </w:r>
    </w:p>
    <w:p>
      <w:pPr>
        <w:spacing w:after="0" w:line="210" w:lineRule="exact"/>
        <w:rPr>
          <w:rFonts w:ascii="Arial" w:cs="Arial" w:eastAsia="Arial" w:hAnsi="Arial"/>
          <w:sz w:val="17"/>
          <w:szCs w:val="17"/>
          <w:color w:val="auto"/>
        </w:rPr>
      </w:pPr>
    </w:p>
    <w:p>
      <w:pPr>
        <w:ind w:left="1340" w:hanging="684"/>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of this Agreement.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897" w:val="left"/>
        </w:tabs>
        <w:numPr>
          <w:ilvl w:val="1"/>
          <w:numId w:val="44"/>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 to Terminate</w:t>
      </w:r>
      <w:r>
        <w:rPr>
          <w:rFonts w:ascii="Arial" w:cs="Arial" w:eastAsia="Arial" w:hAnsi="Arial"/>
          <w:sz w:val="16"/>
          <w:szCs w:val="16"/>
          <w:color w:val="auto"/>
        </w:rPr>
        <w:t>. You, as Representatives of the several Underwriters, shall have the right to terminate this Agreement by giving</w:t>
      </w:r>
      <w:r>
        <w:rPr>
          <w:rFonts w:ascii="Arial" w:cs="Arial" w:eastAsia="Arial" w:hAnsi="Arial"/>
          <w:sz w:val="16"/>
          <w:szCs w:val="16"/>
          <w:i w:val="1"/>
          <w:iCs w:val="1"/>
          <w:color w:val="auto"/>
        </w:rPr>
        <w:t xml:space="preserve"> </w:t>
      </w:r>
      <w:r>
        <w:rPr>
          <w:rFonts w:ascii="Arial" w:cs="Arial" w:eastAsia="Arial" w:hAnsi="Arial"/>
          <w:sz w:val="16"/>
          <w:szCs w:val="16"/>
          <w:color w:val="auto"/>
        </w:rPr>
        <w:t>notice to the Company as hereinafter specified at any time at or prior to the First Closing Date, and the option referred to in Section 3(b), if exercised, may be cancelled at any time prior to an Option Closing Date, if (i) the Company shall have failed, refused or been unable, at or prior to such Closing Date, to perform any agreement on its or their part to be performed hereunder, (ii) any condition of the Underwriters’ obligations hereunder is not fulfilled, (iii) trading in the Company’s Ordinary Shares shall have been wholly suspended by the Commission or The NASDAQ Stock Market or trading in securities generally on the NASDAQ Stock Market or New York Stock Exchange shall have been suspended, (iv) minimum or maximum prices for trading shall have been fixed, or maximum ranges for prices for securities shall have been required, on the NASDAQ Stock Market or New York Stock Exchange, by such Exchange or by order of the Commission or any other Governmental Authority having jurisdiction, (v) a banking moratorium shall have been declared by federal or New York state authorities or a material disruption in commercial banking or securities settlement or clearance services in the United States, or (vi) there shall have occurred any attack on, outbreak or escalation of hostilities or act of terrorism in the United States, any declaration by the United States of a national emergency or war, any substantial change in financial markets, any substantial change in United States or international political, financial or economic conditions, or any other calamity or crisis that, in your judgment, is material and adverse and makes it impractical or inadvisable to proceed with the completion of the sale of and payment for the Securities. Any such termination shall be without liability of any party to any other party except that the provisions of Section 4(a)(vii) and Section 6 hereof shall at all times be effective and shall survive such termination.</w:t>
      </w:r>
    </w:p>
    <w:p>
      <w:pPr>
        <w:spacing w:after="0" w:line="171" w:lineRule="exact"/>
        <w:rPr>
          <w:rFonts w:ascii="Arial" w:cs="Arial" w:eastAsia="Arial" w:hAnsi="Arial"/>
          <w:sz w:val="16"/>
          <w:szCs w:val="16"/>
          <w:color w:val="auto"/>
        </w:rPr>
      </w:pPr>
    </w:p>
    <w:p>
      <w:pPr>
        <w:ind w:firstLine="1305"/>
        <w:spacing w:after="0" w:line="277" w:lineRule="auto"/>
        <w:tabs>
          <w:tab w:leader="none" w:pos="1880" w:val="left"/>
        </w:tabs>
        <w:numPr>
          <w:ilvl w:val="1"/>
          <w:numId w:val="44"/>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Termination</w:t>
      </w:r>
      <w:r>
        <w:rPr>
          <w:rFonts w:ascii="Arial" w:cs="Arial" w:eastAsia="Arial" w:hAnsi="Arial"/>
          <w:sz w:val="18"/>
          <w:szCs w:val="18"/>
          <w:color w:val="auto"/>
        </w:rPr>
        <w:t>. If you elect to terminate this Agreement as provided in this Section, the Company shall be notified promptly</w:t>
      </w:r>
      <w:r>
        <w:rPr>
          <w:rFonts w:ascii="Arial" w:cs="Arial" w:eastAsia="Arial" w:hAnsi="Arial"/>
          <w:sz w:val="18"/>
          <w:szCs w:val="18"/>
          <w:i w:val="1"/>
          <w:iCs w:val="1"/>
          <w:color w:val="auto"/>
        </w:rPr>
        <w:t xml:space="preserve"> </w:t>
      </w:r>
      <w:r>
        <w:rPr>
          <w:rFonts w:ascii="Arial" w:cs="Arial" w:eastAsia="Arial" w:hAnsi="Arial"/>
          <w:sz w:val="18"/>
          <w:szCs w:val="18"/>
          <w:color w:val="auto"/>
        </w:rPr>
        <w:t>by you by telephone, confirmed by letter.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jc w:val="both"/>
        <w:ind w:left="-20" w:firstLine="656"/>
        <w:spacing w:after="0" w:line="270" w:lineRule="auto"/>
        <w:tabs>
          <w:tab w:leader="none" w:pos="1659"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Notices</w:t>
      </w:r>
      <w:r>
        <w:rPr>
          <w:rFonts w:ascii="Arial" w:cs="Arial" w:eastAsia="Arial" w:hAnsi="Arial"/>
          <w:sz w:val="17"/>
          <w:szCs w:val="17"/>
          <w:color w:val="auto"/>
        </w:rPr>
        <w:t>. Except as otherwise provided herein, all communications hereunder shall be in writing and, if to the Underwriters,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mailed via overnight delivery service or hand delivered via courier to the Representatives c/o Jefferies LLC, 520 Madison Avenue, New York, New York 10022, Facsimile: (646) 619-4437, Attention: General Counsel, Barclays Capital Inc., 745 Seventh Avenue, New York, NY 10019, Facsimile: (646) 834-8133, Attention: General Counsel, with a copy to Covington &amp; Burling LLP, 620 Eighth Avenue, New York, New York 10018, Facsimile: (646) 441-9111, Attention: Eric W. Blanchard and Gornitzky &amp; Co., Zion Building, 45 Rothschild Blvd, Tel Aviv, 6578403, Israel, Facsimile: +972 3 560-6555, Attention: Chaim Friedland and Ari Fried; and if to the Company, shall be faxed, mailed or delivered to it at Azrieli Triangle Building, 132 Derech Menachem Begin, 39th Floor, Tel Aviv 6701101 Israel, Facsimile: +972-72-2204664, Attention: Tomer Berkovitz with a copy to Zysman, Aharoni, Gayer and Sullivan &amp; Worcester LLP, 1633 Broadway, New York, NY 10019, Facsimile: (212) 660-3001, Attention: Shy Baranov, Esq. Any party to this Agreement may change such address for notices by sending to the parties to this Agreement written notice of a new address for such purpose.</w:t>
      </w:r>
    </w:p>
    <w:p>
      <w:pPr>
        <w:spacing w:after="0" w:line="181" w:lineRule="exact"/>
        <w:rPr>
          <w:rFonts w:ascii="Arial" w:cs="Arial" w:eastAsia="Arial" w:hAnsi="Arial"/>
          <w:sz w:val="17"/>
          <w:szCs w:val="17"/>
          <w:color w:val="auto"/>
        </w:rPr>
      </w:pPr>
    </w:p>
    <w:p>
      <w:pPr>
        <w:jc w:val="both"/>
        <w:ind w:left="-20" w:firstLine="656"/>
        <w:spacing w:after="0" w:line="257" w:lineRule="auto"/>
        <w:tabs>
          <w:tab w:leader="none" w:pos="1531"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 and the controlling persons, officers and directors referred to in Section 6.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Securities from any of the several Underwriters.</w:t>
      </w:r>
    </w:p>
    <w:p>
      <w:pPr>
        <w:spacing w:after="0" w:line="188" w:lineRule="exact"/>
        <w:rPr>
          <w:rFonts w:ascii="Arial" w:cs="Arial" w:eastAsia="Arial" w:hAnsi="Arial"/>
          <w:sz w:val="18"/>
          <w:szCs w:val="18"/>
          <w:color w:val="auto"/>
        </w:rPr>
      </w:pPr>
    </w:p>
    <w:p>
      <w:pPr>
        <w:jc w:val="both"/>
        <w:ind w:left="-20" w:firstLine="656"/>
        <w:spacing w:after="0" w:line="286" w:lineRule="auto"/>
        <w:tabs>
          <w:tab w:leader="none" w:pos="1578"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color w:val="auto"/>
        </w:rPr>
        <w:t>. The Company acknowledges and agrees that: (a) the Representatives have been retained solely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as an underwriter in connection with the sale of the Securities and that no fiduciary, advisory or agency relationship between the Company and the Representatives have been created in respect of any of the transactions contemplated by this Agreement, irrespective of whether the Representatives have advised or are advising the Company on other matters; (b) the price and other terms of the Securities set forth in this Agreement were established by the Company following discussions and arms-length negotiations with the Representatives and the Company is capable of evaluating and understanding and understands and accepts the terms, risks and conditions of the transactions contemplated by this Agreement; (c) it has been advised that the Representatives and their affiliates are engaged in a broad range of transactions which may involve interests that differ from those of the Company and that the Representatives have no obligation to disclose such interest and transactions to the Company by virtue of any fiduciary, advisory or agency relationship; (d) it has been advised that the Representatives are acting, in respect of the transactions contemplated by this Agreement, solely for the benefit of the Representatives and the other Underwriters, and not on behalf of the Company; (e) it, he or she waives to the fullest extent permitted by law, any claims it may have against the Representatives for breach of fiduciary duty or alleged breach of fiduciary duty in respect of any of the transactions contemplated by this Agreement and agrees that the Representatives shall have no liability (whether direct or indirect) to the Company in respect of such a fiduciary duty claim on behalf of or in right of the Company, including stockholders, employees or creditors of the Company.</w:t>
      </w:r>
    </w:p>
    <w:p>
      <w:pPr>
        <w:spacing w:after="0" w:line="174" w:lineRule="exact"/>
        <w:rPr>
          <w:rFonts w:ascii="Arial" w:cs="Arial" w:eastAsia="Arial" w:hAnsi="Arial"/>
          <w:sz w:val="16"/>
          <w:szCs w:val="16"/>
          <w:color w:val="auto"/>
        </w:rPr>
      </w:pPr>
    </w:p>
    <w:p>
      <w:pPr>
        <w:jc w:val="both"/>
        <w:ind w:left="-20" w:firstLine="656"/>
        <w:spacing w:after="0" w:line="259" w:lineRule="auto"/>
        <w:tabs>
          <w:tab w:leader="none" w:pos="1551"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 Waiver of Jury Trial</w:t>
      </w:r>
      <w:r>
        <w:rPr>
          <w:rFonts w:ascii="Arial" w:cs="Arial" w:eastAsia="Arial" w:hAnsi="Arial"/>
          <w:sz w:val="18"/>
          <w:szCs w:val="18"/>
          <w:color w:val="auto"/>
        </w:rPr>
        <w:t>. This Agreement shall be governed by and construed in accordance with the laws of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4" w:name="page35"/>
    <w:bookmarkEnd w:id="34"/>
    <w:p>
      <w:pPr>
        <w:jc w:val="both"/>
        <w:ind w:firstLine="656"/>
        <w:spacing w:after="0" w:line="268" w:lineRule="auto"/>
        <w:tabs>
          <w:tab w:leader="none" w:pos="1787"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Agent for Service, Submission to Jurisdiction; Trial by Jury; Waiver of Immunities. </w:t>
      </w:r>
      <w:r>
        <w:rPr>
          <w:rFonts w:ascii="Arial" w:cs="Arial" w:eastAsia="Arial" w:hAnsi="Arial"/>
          <w:sz w:val="17"/>
          <w:szCs w:val="17"/>
          <w:color w:val="auto"/>
        </w:rPr>
        <w:t>This Agreement shall be governed by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7"/>
          <w:szCs w:val="17"/>
          <w:b w:val="1"/>
          <w:bCs w:val="1"/>
          <w:i w:val="1"/>
          <w:iCs w:val="1"/>
          <w:color w:val="auto"/>
        </w:rPr>
        <w:t>Related Proceedings</w:t>
      </w:r>
      <w:r>
        <w:rPr>
          <w:rFonts w:ascii="Arial" w:cs="Arial" w:eastAsia="Arial" w:hAnsi="Arial"/>
          <w:sz w:val="17"/>
          <w:szCs w:val="17"/>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i w:val="1"/>
          <w:i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 “</w:t>
      </w:r>
      <w:r>
        <w:rPr>
          <w:rFonts w:ascii="Arial" w:cs="Arial" w:eastAsia="Arial" w:hAnsi="Arial"/>
          <w:sz w:val="17"/>
          <w:szCs w:val="17"/>
          <w:b w:val="1"/>
          <w:bCs w:val="1"/>
          <w:i w:val="1"/>
          <w:iCs w:val="1"/>
          <w:color w:val="auto"/>
        </w:rPr>
        <w:t>Related Judgment</w:t>
      </w:r>
      <w:r>
        <w:rPr>
          <w:rFonts w:ascii="Arial" w:cs="Arial" w:eastAsia="Arial" w:hAnsi="Arial"/>
          <w:sz w:val="17"/>
          <w:szCs w:val="17"/>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and each other party not located in the United States has irrevocably appointed Alcobra Inc., 600 West Germantown Pike, Suite 400, Plymouth Meeting, PA, 19462, United States of America, as its agent to receive service of process or other legal summons for purposes of any such suit, action or proceeding that may be instituted in any state or federal court in the Borough of Manhattan in the City of New York, United States of America.</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obligations of the Company pursuant to this Agreement in respect of any sum due to any Underwriter shall, notwithstanding any judgment in a currency other than United States dollars, not be discharged until the first business day, following receipt by any Underwriter of any sum adjudged to be so due in such other currency, on which such Underwriter may in accordance with normal banking procedures purchase United States dollars with such other currency. If the United States dollars so purchased are less than the sum originally due to such Underwriter in United States dollars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jc w:val="both"/>
        <w:ind w:firstLine="648"/>
        <w:spacing w:after="0" w:line="272" w:lineRule="auto"/>
        <w:rPr>
          <w:sz w:val="20"/>
          <w:szCs w:val="20"/>
          <w:color w:val="auto"/>
        </w:rPr>
      </w:pPr>
      <w:r>
        <w:rPr>
          <w:rFonts w:ascii="Arial" w:cs="Arial" w:eastAsia="Arial" w:hAnsi="Arial"/>
          <w:sz w:val="17"/>
          <w:szCs w:val="17"/>
          <w:color w:val="auto"/>
        </w:rPr>
        <w:t>All payments made by the Company to the Underwriters, their respective Affiliates, directors, officers, employees and agents or to any person controlling any Underwriter under this Agreement, if any, will be made without withholding or deduction for or on account of any present or future taxes, duties, assessments or governmental charges of whatever nature (other than taxes on net income) imposed or levied by or on behalf of the State of Israel or any political subdivision or any taxing authority thereof or therein unless the Company is or becomes required by law to withhold or deduct such taxes, duties, assessments or other governmental charges. In such event, the Company will pay such additional amounts as will result, after such withholding or deduction, in the receipt by each Underwriter, their respective Affiliates, directors, officers, employees and agents and each person controlling any Underwriter, as the case may be, of the amounts that would otherwise have been receivable in respect thereof.</w:t>
      </w:r>
    </w:p>
    <w:p>
      <w:pPr>
        <w:spacing w:after="0" w:line="178" w:lineRule="exact"/>
        <w:rPr>
          <w:sz w:val="20"/>
          <w:szCs w:val="20"/>
          <w:color w:val="auto"/>
        </w:rPr>
      </w:pPr>
    </w:p>
    <w:p>
      <w:pPr>
        <w:ind w:right="20" w:firstLine="656"/>
        <w:spacing w:after="0" w:line="308" w:lineRule="auto"/>
        <w:tabs>
          <w:tab w:leader="none" w:pos="153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Counterparts</w:t>
      </w:r>
      <w:r>
        <w:rPr>
          <w:rFonts w:ascii="Arial" w:cs="Arial" w:eastAsia="Arial" w:hAnsi="Arial"/>
          <w:sz w:val="17"/>
          <w:szCs w:val="17"/>
          <w:color w:val="auto"/>
        </w:rPr>
        <w:t>. This Agreement may be executed in one or more counterparts and, if executed in more than one counterpart, the executed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counterparts shall each be deemed to be an original and all such counterparts shall together constitute one and the same instrument.</w:t>
      </w:r>
    </w:p>
    <w:p>
      <w:pPr>
        <w:spacing w:after="0" w:line="146" w:lineRule="exact"/>
        <w:rPr>
          <w:rFonts w:ascii="Arial" w:cs="Arial" w:eastAsia="Arial" w:hAnsi="Arial"/>
          <w:sz w:val="17"/>
          <w:szCs w:val="17"/>
          <w:color w:val="auto"/>
        </w:rPr>
      </w:pPr>
    </w:p>
    <w:p>
      <w:pPr>
        <w:jc w:val="both"/>
        <w:ind w:firstLine="656"/>
        <w:spacing w:after="0" w:line="257" w:lineRule="auto"/>
        <w:tabs>
          <w:tab w:leader="none" w:pos="1528"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Provisions. </w:t>
      </w:r>
      <w:r>
        <w:rPr>
          <w:rFonts w:ascii="Arial" w:cs="Arial" w:eastAsia="Arial" w:hAnsi="Arial"/>
          <w:sz w:val="18"/>
          <w:szCs w:val="18"/>
          <w:color w:val="auto"/>
        </w:rPr>
        <w:t>This Agreement constitutes the entire agreement of the parties to this Agreement and supersedes all prior written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oral 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6" w:name="page37"/>
    <w:bookmarkEnd w:id="36"/>
    <w:p>
      <w:pPr>
        <w:ind w:firstLine="1297"/>
        <w:spacing w:after="0" w:line="277" w:lineRule="auto"/>
        <w:rPr>
          <w:sz w:val="20"/>
          <w:szCs w:val="20"/>
          <w:color w:val="auto"/>
        </w:rPr>
      </w:pPr>
      <w:r>
        <w:rPr>
          <w:rFonts w:ascii="Arial" w:cs="Arial" w:eastAsia="Arial" w:hAnsi="Arial"/>
          <w:sz w:val="18"/>
          <w:szCs w:val="18"/>
          <w:color w:val="auto"/>
        </w:rPr>
        <w:t>Please sign and return to the Company the enclosed duplicates of this letter whereupon this letter will become a binding agreement between the Company and the several Underwriters in accordance with its terms.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LCOBRA</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ectPr>
          <w:pgSz w:w="11900" w:h="16838" w:orient="portrait"/>
          <w:cols w:equalWidth="0" w:num="1">
            <w:col w:w="11400"/>
          </w:cols>
          <w:pgMar w:left="240" w:top="80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themselves and the other several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Underwriters named in Schedule 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EFFERIES</w:t>
      </w:r>
      <w:r>
        <w:rPr>
          <w:rFonts w:ascii="Arial" w:cs="Arial" w:eastAsia="Arial" w:hAnsi="Arial"/>
          <w:sz w:val="18"/>
          <w:szCs w:val="18"/>
          <w:color w:val="auto"/>
        </w:rPr>
        <w:t xml:space="preserve"> LLC</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Gil Bar-Nahum</w:t>
      </w:r>
    </w:p>
    <w:p>
      <w:pPr>
        <w:spacing w:after="0" w:line="23" w:lineRule="exact"/>
        <w:rPr>
          <w:sz w:val="20"/>
          <w:szCs w:val="20"/>
          <w:color w:val="auto"/>
        </w:rPr>
      </w:pPr>
    </w:p>
    <w:p>
      <w:pPr>
        <w:jc w:val="right"/>
        <w:ind w:right="3160"/>
        <w:spacing w:after="0"/>
        <w:rPr>
          <w:sz w:val="20"/>
          <w:szCs w:val="20"/>
          <w:color w:val="auto"/>
        </w:rPr>
      </w:pP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267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Dr. Yaron Daniely, /s/ Dr. Tomer Berkovitz</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Name: Dr. Yaron Daniely,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-116205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CEO, CFO</w:t>
      </w:r>
    </w:p>
    <w:p>
      <w:pPr>
        <w:spacing w:after="0" w:line="2793" w:lineRule="exact"/>
        <w:rPr>
          <w:sz w:val="20"/>
          <w:szCs w:val="20"/>
          <w:color w:val="auto"/>
        </w:rPr>
      </w:pPr>
    </w:p>
    <w:p>
      <w:pPr>
        <w:sectPr>
          <w:pgSz w:w="11900" w:h="16838" w:orient="portrait"/>
          <w:cols w:equalWidth="0" w:num="2">
            <w:col w:w="5000" w:space="720"/>
            <w:col w:w="5680"/>
          </w:cols>
          <w:pgMar w:left="240" w:top="800" w:right="259" w:bottom="144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By</w:t>
        <w:tab/>
        <w:t>/s/ Victoria Hale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267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860" w:type="dxa"/>
            <w:vAlign w:val="bottom"/>
            <w:gridSpan w:val="4"/>
          </w:tcPr>
          <w:p>
            <w:pPr>
              <w:ind w:left="158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439"/>
        </w:trPr>
        <w:tc>
          <w:tcPr>
            <w:tcW w:w="3580" w:type="dxa"/>
            <w:vAlign w:val="bottom"/>
            <w:gridSpan w:val="2"/>
          </w:tcPr>
          <w:p>
            <w:pPr>
              <w:spacing w:after="0"/>
              <w:rPr>
                <w:sz w:val="20"/>
                <w:szCs w:val="20"/>
                <w:color w:val="auto"/>
              </w:rPr>
            </w:pPr>
            <w:r>
              <w:rPr>
                <w:rFonts w:ascii="Arial" w:cs="Arial" w:eastAsia="Arial" w:hAnsi="Arial"/>
                <w:sz w:val="18"/>
                <w:szCs w:val="18"/>
                <w:color w:val="auto"/>
              </w:rPr>
              <w:t>Underwriter</w:t>
            </w:r>
          </w:p>
        </w:tc>
        <w:tc>
          <w:tcPr>
            <w:tcW w:w="5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Number of Firm Shares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5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7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Barclays Capital Inc.</w:t>
            </w:r>
          </w:p>
        </w:tc>
        <w:tc>
          <w:tcPr>
            <w:tcW w:w="7840" w:type="dxa"/>
            <w:vAlign w:val="bottom"/>
            <w:gridSpan w:val="3"/>
          </w:tcPr>
          <w:p>
            <w:pPr>
              <w:jc w:val="right"/>
              <w:spacing w:after="0"/>
              <w:rPr>
                <w:sz w:val="20"/>
                <w:szCs w:val="20"/>
                <w:color w:val="auto"/>
              </w:rPr>
            </w:pPr>
            <w:r>
              <w:rPr>
                <w:rFonts w:ascii="Arial" w:cs="Arial" w:eastAsia="Arial" w:hAnsi="Arial"/>
                <w:sz w:val="18"/>
                <w:szCs w:val="18"/>
                <w:color w:val="auto"/>
              </w:rPr>
              <w:t>1,852,500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7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926,250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Roth Capital Partners, LLC</w:t>
            </w:r>
          </w:p>
        </w:tc>
        <w:tc>
          <w:tcPr>
            <w:tcW w:w="7840" w:type="dxa"/>
            <w:vAlign w:val="bottom"/>
            <w:gridSpan w:val="3"/>
          </w:tcPr>
          <w:p>
            <w:pPr>
              <w:jc w:val="right"/>
              <w:spacing w:after="0"/>
              <w:rPr>
                <w:sz w:val="20"/>
                <w:szCs w:val="20"/>
                <w:color w:val="auto"/>
              </w:rPr>
            </w:pPr>
            <w:r>
              <w:rPr>
                <w:rFonts w:ascii="Arial" w:cs="Arial" w:eastAsia="Arial" w:hAnsi="Arial"/>
                <w:sz w:val="18"/>
                <w:szCs w:val="18"/>
                <w:color w:val="auto"/>
              </w:rPr>
              <w:t>463,125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7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463,125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560" w:type="dxa"/>
            <w:vAlign w:val="bottom"/>
            <w:tcBorders>
              <w:bottom w:val="single" w:sz="8" w:color="CCEEFF"/>
            </w:tcBorders>
            <w:gridSpan w:val="2"/>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6,175,000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line="277" w:lineRule="auto"/>
        <w:tabs>
          <w:tab w:leader="none" w:pos="7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Underwriters may purchase up to an additional 926,250 Option Shares, to the extent the option described in Section 3(b) of the Agreement is exercised, in the proportions and in the manner described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 w:name="page39"/>
    <w:bookmarkEnd w:id="38"/>
    <w:p>
      <w:pPr>
        <w:jc w:val="center"/>
        <w:ind w:right="-122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right"/>
        <w:ind w:right="2759"/>
        <w:spacing w:after="0"/>
        <w:rPr>
          <w:sz w:val="20"/>
          <w:szCs w:val="20"/>
          <w:color w:val="auto"/>
        </w:rPr>
      </w:pPr>
      <w:r>
        <w:rPr>
          <w:rFonts w:ascii="Arial" w:cs="Arial" w:eastAsia="Arial" w:hAnsi="Arial"/>
          <w:sz w:val="18"/>
          <w:szCs w:val="18"/>
          <w:b w:val="1"/>
          <w:bCs w:val="1"/>
          <w:color w:val="auto"/>
        </w:rPr>
        <w:t>Certain Permitted Free Writing Prospectuses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96" w:right="1440" w:bottom="1440" w:gutter="0" w:footer="0" w:header="0"/>
        </w:sectPr>
      </w:pPr>
    </w:p>
    <w:bookmarkStart w:id="39" w:name="page40"/>
    <w:bookmarkEnd w:id="39"/>
    <w:p>
      <w:pPr>
        <w:jc w:val="center"/>
        <w:ind w:right="-120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Shares to be Issued: 6,175,000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to be Issued: 926,250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 $6.50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96" w:right="1440" w:bottom="1440" w:gutter="0" w:footer="0" w:header="0"/>
        </w:sectPr>
      </w:pPr>
    </w:p>
    <w:bookmarkStart w:id="40" w:name="page41"/>
    <w:bookmarkEnd w:id="40"/>
    <w:p>
      <w:pPr>
        <w:jc w:val="center"/>
        <w:ind w:right="-1220"/>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jc w:val="right"/>
        <w:ind w:right="2059"/>
        <w:spacing w:after="0"/>
        <w:rPr>
          <w:sz w:val="20"/>
          <w:szCs w:val="20"/>
          <w:color w:val="auto"/>
        </w:rPr>
      </w:pPr>
      <w:r>
        <w:rPr>
          <w:rFonts w:ascii="Arial" w:cs="Arial" w:eastAsia="Arial" w:hAnsi="Arial"/>
          <w:sz w:val="18"/>
          <w:szCs w:val="18"/>
          <w:b w:val="1"/>
          <w:bCs w:val="1"/>
          <w:color w:val="auto"/>
        </w:rPr>
        <w:t>List of Individuals and Entities Executing Lock-Up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Yaron Daniely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Tomer Berkovitz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Rubin,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Baker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Howard B. Rosen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Arieh Ben Yosef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E. Geffken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Hadas Gelander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Ehud (Udi) Gilboa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 Mor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Aharon Schwartz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Joao Siffert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96"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Alcobra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undersigned is an officer or director of the Company or a record or beneficial owner of ordinary shares, par value NIS 0.01 per share,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or of securities convertible into or exchangeable or exercisable for Ordinary Shares. The Company proposes to conduct a public offering of Ordinary Shares (the “</w:t>
      </w:r>
      <w:r>
        <w:rPr>
          <w:rFonts w:ascii="Arial" w:cs="Arial" w:eastAsia="Arial" w:hAnsi="Arial"/>
          <w:sz w:val="18"/>
          <w:szCs w:val="18"/>
          <w:b w:val="1"/>
          <w:bCs w:val="1"/>
          <w:color w:val="auto"/>
        </w:rPr>
        <w:t>Offering</w:t>
      </w:r>
      <w:r>
        <w:rPr>
          <w:rFonts w:ascii="Arial" w:cs="Arial" w:eastAsia="Arial" w:hAnsi="Arial"/>
          <w:sz w:val="18"/>
          <w:szCs w:val="18"/>
          <w:color w:val="auto"/>
        </w:rPr>
        <w:t>”) for which Jefferies LLC (“</w:t>
      </w:r>
      <w:r>
        <w:rPr>
          <w:rFonts w:ascii="Arial" w:cs="Arial" w:eastAsia="Arial" w:hAnsi="Arial"/>
          <w:sz w:val="18"/>
          <w:szCs w:val="18"/>
          <w:b w:val="1"/>
          <w:bCs w:val="1"/>
          <w:color w:val="auto"/>
        </w:rPr>
        <w:t>Jefferies</w:t>
      </w:r>
      <w:r>
        <w:rPr>
          <w:rFonts w:ascii="Arial" w:cs="Arial" w:eastAsia="Arial" w:hAnsi="Arial"/>
          <w:sz w:val="18"/>
          <w:szCs w:val="18"/>
          <w:color w:val="auto"/>
        </w:rPr>
        <w:t>”) and Barclays Capital Inc. (“</w:t>
      </w:r>
      <w:r>
        <w:rPr>
          <w:rFonts w:ascii="Arial" w:cs="Arial" w:eastAsia="Arial" w:hAnsi="Arial"/>
          <w:sz w:val="18"/>
          <w:szCs w:val="18"/>
          <w:b w:val="1"/>
          <w:bCs w:val="1"/>
          <w:color w:val="auto"/>
        </w:rPr>
        <w:t>Barclays</w:t>
      </w:r>
      <w:r>
        <w:rPr>
          <w:rFonts w:ascii="Arial" w:cs="Arial" w:eastAsia="Arial" w:hAnsi="Arial"/>
          <w:sz w:val="18"/>
          <w:szCs w:val="18"/>
          <w:color w:val="auto"/>
        </w:rPr>
        <w:t xml:space="preserve"> ”) will act as the representatives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and other underwriting arrangements with the Company with respect to the Offering.</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Jefferies and Barclays, which may withhold their consent in their sole discretion: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2" w:name="page43"/>
    <w:bookmarkEnd w:id="42"/>
    <w:p>
      <w:pPr>
        <w:ind w:left="980" w:right="2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 or Offer to Sell any Ordinary Shares or Related Securities currently or hereafter owned either of record or beneficially (as defined in Rule 13d-3 under the Exchange Act) by the undersigned or such Family Member,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Ordinary Shares or Related Securities, or cause to be filed a registration statement, prospectus or prospectus supplement (or an amendment or supplement thereto) with respect to any such registration,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foregoing will not apply to the registration of the offer and sale of the Ordinary Shares, and the sale of the Ordinary Shares to the underwriters, in each case as contemplated by the Underwriting Agreement. In addition, the foregoing restrictions shall not apply to the transfer of Ordinary Shares or Related Securities (i) by gift, (ii) by will or intestate succession, (iii) to a Family Member or to a trust whose beneficiaries consist exclusively of one or more of the undersigned and/or a Family Member or to any corporation, partnership, limited liability company, or other business entity all of the equity holders of which consist of the undersigned and/or a Family Member, (iv) if the undersigned is a corporation, partnership, limited liability company, trust or other business entity (1) transfers to another corporation, partnership, limited liability company, trust or other business entity that is a direct or indirect affiliate (as defined in Rule 405 promulgated under the Securities Act of 1933, as amended) of the undersigned or (2) distributions of Ordinary Shares or Related Securities to limited partners, limited liability company members or stockholders of the undersigned, (v) if the undersigned is a trust, transfers to the beneficiary of such trust or (vi) that are acquired in open market transactions after the completion of the Offering;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any such case of (i) through (v) above, it shall be a condition to such transfer that:</w:t>
      </w:r>
    </w:p>
    <w:p>
      <w:pPr>
        <w:spacing w:after="0" w:line="178" w:lineRule="exact"/>
        <w:rPr>
          <w:sz w:val="20"/>
          <w:szCs w:val="20"/>
          <w:color w:val="auto"/>
        </w:rPr>
      </w:pPr>
    </w:p>
    <w:p>
      <w:pPr>
        <w:jc w:val="both"/>
        <w:ind w:left="980" w:hanging="324"/>
        <w:spacing w:after="0" w:line="25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transferee executes and delivers to Jefferies and Barclays an agreement in form and substance satisfactory to Jefferies and Barclays stating that such transferee is receiving and holding such Ordinary Shares and/or Related Securities subject to the provisions of this letter agreement and agrees not to Sell or Offer to Sell such Ordinary Shares and/or Related Securities, engage in any Swap or engage in any other activities restricted under this letter agreement except in accordance with this letter agreement (as if such transferee had been an original signatory hereto), and</w:t>
      </w:r>
    </w:p>
    <w:p>
      <w:pPr>
        <w:spacing w:after="0" w:line="18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the expiration of the Lock-up Period, no public disclosure or filing under the Exchange Act by any party to the transfer (donor, donee, transferor or transferee) shall be required, or made voluntarily, reporting a reduction in beneficial ownership of Ordinary Shares or Related Securities in connection with such transfer.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3" w:name="page44"/>
    <w:bookmarkEnd w:id="43"/>
    <w:p>
      <w:pPr>
        <w:jc w:val="both"/>
        <w:spacing w:after="0" w:line="254" w:lineRule="auto"/>
        <w:rPr>
          <w:sz w:val="20"/>
          <w:szCs w:val="20"/>
          <w:color w:val="auto"/>
        </w:rPr>
      </w:pPr>
      <w:r>
        <w:rPr>
          <w:rFonts w:ascii="Arial" w:cs="Arial" w:eastAsia="Arial" w:hAnsi="Arial"/>
          <w:sz w:val="18"/>
          <w:szCs w:val="18"/>
          <w:color w:val="auto"/>
        </w:rPr>
        <w:t>The foregoing restrictions shall not apply to (i) the exercise of stock options granted pursuant to the Company’s equity incentive plans; provided that the restrictions contained herein shall apply to any of the undersigned’s Ordinary Shares or Related Securities issued upon such exercise, or (ii) the establishment of any contract, instruction or plan (a “Plan”) that satisfies all of the requirements of Rule 10b5-1(c)(1)(i)(B) under the Exchange Act; provided that no sales of the Undersigned’s Ordinary Shares or Related Securities shall be made pursuant to such a Plan prior to the expiration of the Lock-up Period, and such a Plan may only be established if no public announcement of the establishment or existence thereof and no filing with the Securities and Exchange Commission or other regulatory authority in respect thereof or transactions thereunder or contemplated thereby, by the undersigned, the Company or any other person, shall be required, and no such announcement or filing is made voluntarily, by the undersigned, the Company or any other person, prior to the expiration of the Lock-up Period.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Ordinary Shares and/or Related Securities held by the undersigned and the undersigned’s Family Members, if any, except in compliance with the foregoing restrictions.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the Offering only, the undersigned waives any registration rights relating to registration under the Securities Act of the offer and sale of any Ordinary Shares and/or any Related Securities owned either of record or beneficially by the undersigned, including any rights to receive notice of the Offering.</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Ordinary Shares. The undersigned will not, and will cause any Family Member not to take, directly or indirectly, any such action.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understands that, if (i) the Underwriting Agreement does not become effective on or before December 31, 2015, (ii) the Underwriting Agreement (other than the provisions thereof which survive termination) shall terminate or be terminated prior to payment for and delivery of the Ordinary Shares to be sold thereunder, (iii) Jefferies and Barclays, on the one hand, or the Company, on the other hand, informs the other, prior to the execution of the Underwriting Agreement, that it has determined not to proceed with the Offering or (iv) the registration statement related to the Offering has been withdrawn, the undersigned shall be released from all obligations under this letter agreement.</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This letter agreement shall be governed by, and construed in accordance with, the laws of the State of New York.</w:t>
      </w:r>
    </w:p>
    <w:p>
      <w:pPr>
        <w:spacing w:after="0" w:line="237" w:lineRule="exact"/>
        <w:rPr>
          <w:sz w:val="20"/>
          <w:szCs w:val="20"/>
          <w:color w:val="auto"/>
        </w:rPr>
      </w:pPr>
    </w:p>
    <w:p>
      <w:pPr>
        <w:jc w:val="right"/>
        <w:ind w:right="15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00"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(Indicate capacity of person signing 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signing as custodian or trustee, or on behalf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an entity)</w:t>
      </w:r>
    </w:p>
    <w:p>
      <w:pPr>
        <w:spacing w:after="0" w:line="31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Certain Defined Terms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221"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183"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shall mean the period beginning on the date hereof and continuing through the close of trading on the date that is 90 days after the date of the Prospectus (as defined in the Underwriting Agreement)</w:t>
      </w:r>
      <w:r>
        <w:rPr>
          <w:rFonts w:ascii="Arial" w:cs="Arial" w:eastAsia="Arial" w:hAnsi="Arial"/>
          <w:sz w:val="18"/>
          <w:szCs w:val="18"/>
          <w:b w:val="1"/>
          <w:bCs w:val="1"/>
          <w:color w:val="auto"/>
        </w:rPr>
        <w:t>.</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22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Securities</w:t>
      </w:r>
      <w:r>
        <w:rPr>
          <w:rFonts w:ascii="Arial" w:cs="Arial" w:eastAsia="Arial" w:hAnsi="Arial"/>
          <w:sz w:val="18"/>
          <w:szCs w:val="18"/>
          <w:color w:val="auto"/>
        </w:rPr>
        <w:t>” shall mean any options or warrants or other rights to acquire Ordinary Shares or any securities exchangeable or exercisable for or convertible into Ordinary Shares, or to acquire other securities or rights ultimately exchangeable or exercisable for or convertible into Ordinary Shares.</w:t>
      </w:r>
    </w:p>
    <w:p>
      <w:pPr>
        <w:spacing w:after="0" w:line="176"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229" w:lineRule="exact"/>
        <w:rPr>
          <w:rFonts w:ascii="Arial" w:cs="Arial" w:eastAsia="Arial" w:hAnsi="Arial"/>
          <w:sz w:val="18"/>
          <w:szCs w:val="18"/>
          <w:color w:val="auto"/>
        </w:rPr>
      </w:pPr>
    </w:p>
    <w:p>
      <w:pPr>
        <w:ind w:left="1300" w:hanging="320"/>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sell, offer to sell, contract to sell or lend,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effect any short sale or establish or increase a Put Equivalent Position or liquidate or decrease any Call Equivalent Position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pledge, hypothecate or grant any security interest in,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any other way transfer or dispose 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whether effected directly or indirectly.</w:t>
      </w:r>
    </w:p>
    <w:p>
      <w:pPr>
        <w:spacing w:after="0" w:line="221" w:lineRule="exact"/>
        <w:rPr>
          <w:sz w:val="20"/>
          <w:szCs w:val="20"/>
          <w:color w:val="auto"/>
        </w:rPr>
      </w:pPr>
    </w:p>
    <w:p>
      <w:pPr>
        <w:ind w:left="980" w:right="20" w:hanging="324"/>
        <w:spacing w:after="0" w:line="347"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Swap</w:t>
      </w:r>
      <w:r>
        <w:rPr>
          <w:rFonts w:ascii="Arial" w:cs="Arial" w:eastAsia="Arial" w:hAnsi="Arial"/>
          <w:sz w:val="16"/>
          <w:szCs w:val="16"/>
          <w:color w:val="auto"/>
        </w:rPr>
        <w:t>” shall mean any swap, hedge or similar arrangement or agreement that transfers, in whole or in part, the economic risk of ownership of Ordinary Shares or Related Securities, regardless of whether any such transaction is to be settled in securities, in cash or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lock-up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Zysman, Aharoni, Gayer &amp; Co., Law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Azrieli Triangle Building,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 Derech Menachem Begin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6701101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have acted as counsel for Alcobra Ltd., a company organized under the laws of the State of Israel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underwritten public offering of up to 7,101,250 of the Company’s ordinary shares, par value NIS 0.01 per share (the “</w:t>
      </w:r>
      <w:r>
        <w:rPr>
          <w:rFonts w:ascii="Arial" w:cs="Arial" w:eastAsia="Arial" w:hAnsi="Arial"/>
          <w:sz w:val="17"/>
          <w:szCs w:val="17"/>
          <w:b w:val="1"/>
          <w:bCs w:val="1"/>
          <w:color w:val="auto"/>
        </w:rPr>
        <w:t>Shares</w:t>
      </w:r>
      <w:r>
        <w:rPr>
          <w:rFonts w:ascii="Arial" w:cs="Arial" w:eastAsia="Arial" w:hAnsi="Arial"/>
          <w:sz w:val="17"/>
          <w:szCs w:val="17"/>
          <w:color w:val="auto"/>
        </w:rPr>
        <w:t>”) (which amount includes 926,250 Shares for which the Representatives (as defined below) have been granted an option), pursuant to the registration statement on Form F-3 (Registration No. 333-197411) (such registration statement, as it may be amended from time to time, is herein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base prospectus which forms a part of and is included in the Registration Statement and the related prospectus supplement dated August 1, 2014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together with the base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Jefferies LLC and Barclays Capital Inc. (the “</w:t>
      </w:r>
      <w:r>
        <w:rPr>
          <w:rFonts w:ascii="Arial" w:cs="Arial" w:eastAsia="Arial" w:hAnsi="Arial"/>
          <w:sz w:val="17"/>
          <w:szCs w:val="17"/>
          <w:b w:val="1"/>
          <w:bCs w:val="1"/>
          <w:color w:val="auto"/>
        </w:rPr>
        <w:t>Representatives</w:t>
      </w:r>
      <w:r>
        <w:rPr>
          <w:rFonts w:ascii="Arial" w:cs="Arial" w:eastAsia="Arial" w:hAnsi="Arial"/>
          <w:sz w:val="17"/>
          <w:szCs w:val="17"/>
          <w:color w:val="auto"/>
        </w:rPr>
        <w:t>”) will be acting as representatives to the underwriters for the offering pursuant to a certain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dated November 13, 2015, by and between the Company and the Representatives.</w:t>
      </w:r>
    </w:p>
    <w:p>
      <w:pPr>
        <w:spacing w:after="0" w:line="17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connection with this opinion, we have examined and relied upon the Registration Statement, the Prospectus, the Company’s Amended and Restated Articles of Association, and such statutes, regulations, corporate records, documents, certificates and such other instruments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corporate records, documents, certificates and instruments we have reviewed; (iv) the due execution and delivery of all documents where due execution and delivery are a prerequisite to the effectiveness thereof; and (v) the legal capacity of all natural persons.</w:t>
      </w:r>
    </w:p>
    <w:p>
      <w:pPr>
        <w:spacing w:after="0" w:line="18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are members of the Israel Bar and we express no opinion as to any matter relating to the laws of any jurisdiction other than the laws of the State of Israel and have not, for the purpose of giving this opinion, made any investigation of the laws of any other jurisdiction than the State of Israel.</w:t>
      </w:r>
    </w:p>
    <w:p>
      <w:pPr>
        <w:spacing w:after="0" w:line="12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the Shares sold or to be sold by the Company to the Representatives as described in the Registration Statement and the Prospectus Supplement have been duly authorized and have been, or upon delivery of such Shares and payment therefor in accordance with the Underwriting Agreement will be, validly issued, fully paid and non-assessable.</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hereby consent to the filing of this opinion as an exhibit to the Company’s current report on Form 6-K dated November 13, 2015, which is incorporated by reference into the Registration Statement and to the use of our name wherever it appears in the Registration Statement and the Prospectus. In giving such consent, we do not believe that we are “experts”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Zysman, Aharoni, Gayer &amp; Co., Law Offices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Zysman, Aharoni, Gayer &amp; Co.,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Alcobra Ltd. Prices Public Offering of Ordinary Shares</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Tel Aviv, Israel – November 13, 2015– </w:t>
      </w:r>
      <w:r>
        <w:rPr>
          <w:rFonts w:ascii="Arial" w:cs="Arial" w:eastAsia="Arial" w:hAnsi="Arial"/>
          <w:sz w:val="18"/>
          <w:szCs w:val="18"/>
          <w:color w:val="auto"/>
        </w:rPr>
        <w:t>Alcobra Ltd. (NasdaqGM: ADHD) announced the pricing of its previously announced underwritten public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of 6,175,000 ordinary shares at an offering price of $6.50 per share. Gross proceeds from the sale of the shares by Alcobra before underwriting discounts and commissions and other offering expenses are expected to be approximately $40.1 million. In connection with the offering, Alcobra has also granted the underwriters a 30-day option to purchase up to an additional 926,250 ordinary shares. The offering is expected to close on or about November 18, 2015, subject to customary closing conditions. Alcobra plans to use the net proceeds from the offering to fund its future clinical development program and for general corporate purposes.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Jefferies LLC and Barclays Capital Inc. are acting as joint book-running managers for the offering. Oppenheimer &amp; Co. Inc., Roth Capital Partners, LLC and Cantor Fitzgerald &amp; Co. are acting as co-managers for the offering.</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shares are being offered pursuant to a shelf registration statement on Form F-3 (File No. 333-197411) filed pursuant to the Securities Act of 1933, as amended, which was previously filed with, and declared effective by, the Securities and Exchange Commission (SEC). A prospectus supplement related to the filing will be filed with the SEC and will be available on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Copies of the prospectus supplement and the accompanying prospectus relating to this offering may be obtained by contacting Jefferies LLC, Attention: Equity Syndicate Prospectus Department, 520 Madison Avenue, 2nd Floor, New York, New York 10022, or by telephone at (877) 547-6340 or by e-mail at prospectus_department@jefferies.com, or by contacting Barclays Capital Inc., Attention: Broadridge Financial Solutions,1155 Long Island Avenue, Edgewood, NY 11717, or by telephone at (888) 603-5847 or by e-mail at Barclaysprospectus@broadridge.com.</w:t>
      </w:r>
    </w:p>
    <w:p>
      <w:pPr>
        <w:spacing w:after="0" w:line="16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This press release shall not constitute an offer to sell or the solicitation of an offer to buy any securities nor will there be any sale of these securities in any state or other jurisdiction in which such offer, solicitation or sale would be unlawful prior to registration or qualification under the securities laws of any such state or other jurisdiction.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 Ltd.</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a proprietary drug candidate, MDX, to treat cognitive disorders including Attention Deficit Hyperactivity Disorder (ADHD) and Fragile X Syndrome (FXS).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Company’s public offering, its anticipated closing date and planned use of the net proceeds from the offering. In addition, historic results of scientific research do not guarantee that the conclusions of future research would not suggest different conclusions or that historic results referred to in this press release would be interpreted differently in light of additional research or otherwise. The forward-looking statements contained or implied in this press release are subject to other risks and uncertainties, including market conditions and the satisfaction of customary closing conditions related to the proposed offering, and other risk factors discussed in Alcobra’s prospectus supplement and in Alcobra's Annual Report on Form 20-F for the fiscal year ended December 31, 2014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2"/>
    </w:lvl>
    <w:lvl w:ilvl="1">
      <w:lvlJc w:val="left"/>
      <w:lvlText w:val="(%2)"/>
      <w:numFmt w:val="lowerLetter"/>
      <w:start w:val="1"/>
    </w:lvl>
  </w:abstractNum>
  <w:abstractNum w:abstractNumId="2">
    <w:nsid w:val="71F32454"/>
    <w:multiLevelType w:val="hybridMultilevel"/>
    <w:lvl w:ilvl="0">
      <w:lvlJc w:val="left"/>
      <w:lvlText w:val="(%1)"/>
      <w:numFmt w:val="lowerRoman"/>
      <w:start w:val="1"/>
    </w:lvl>
  </w:abstractNum>
  <w:abstractNum w:abstractNumId="3">
    <w:nsid w:val="2CA88611"/>
    <w:multiLevelType w:val="hybridMultilevel"/>
    <w:lvl w:ilvl="0">
      <w:lvlJc w:val="left"/>
      <w:lvlText w:val="(%1)"/>
      <w:numFmt w:val="lowerRoman"/>
      <w:start w:val="3"/>
    </w:lvl>
  </w:abstractNum>
  <w:abstractNum w:abstractNumId="4">
    <w:nsid w:val="836C40E"/>
    <w:multiLevelType w:val="hybridMultilevel"/>
    <w:lvl w:ilvl="0">
      <w:lvlJc w:val="left"/>
      <w:lvlText w:val="(%1)"/>
      <w:numFmt w:val="upperLetter"/>
      <w:start w:val="2"/>
    </w:lvl>
  </w:abstractNum>
  <w:abstractNum w:abstractNumId="5">
    <w:nsid w:val="2901D82"/>
    <w:multiLevelType w:val="hybridMultilevel"/>
    <w:lvl w:ilvl="0">
      <w:lvlJc w:val="left"/>
      <w:lvlText w:val="(%1)"/>
      <w:numFmt w:val="lowerRoman"/>
      <w:start w:val="4"/>
    </w:lvl>
  </w:abstractNum>
  <w:abstractNum w:abstractNumId="6">
    <w:nsid w:val="3A95F874"/>
    <w:multiLevelType w:val="hybridMultilevel"/>
    <w:lvl w:ilvl="0">
      <w:lvlJc w:val="left"/>
      <w:lvlText w:val="(%1)"/>
      <w:numFmt w:val="lowerRoman"/>
      <w:start w:val="5"/>
    </w:lvl>
  </w:abstractNum>
  <w:abstractNum w:abstractNumId="7">
    <w:nsid w:val="8138641"/>
    <w:multiLevelType w:val="hybridMultilevel"/>
    <w:lvl w:ilvl="0">
      <w:lvlJc w:val="left"/>
      <w:lvlText w:val="(%1)"/>
      <w:numFmt w:val="lowerRoman"/>
      <w:start w:val="7"/>
    </w:lvl>
  </w:abstractNum>
  <w:abstractNum w:abstractNumId="8">
    <w:nsid w:val="1E7FF521"/>
    <w:multiLevelType w:val="hybridMultilevel"/>
    <w:lvl w:ilvl="0">
      <w:lvlJc w:val="left"/>
      <w:lvlText w:val="(%1)"/>
      <w:numFmt w:val="lowerRoman"/>
      <w:start w:val="10"/>
    </w:lvl>
  </w:abstractNum>
  <w:abstractNum w:abstractNumId="9">
    <w:nsid w:val="7C3DBD3D"/>
    <w:multiLevelType w:val="hybridMultilevel"/>
    <w:lvl w:ilvl="0">
      <w:lvlJc w:val="left"/>
      <w:lvlText w:val="(%1)"/>
      <w:numFmt w:val="lowerRoman"/>
      <w:start w:val="12"/>
    </w:lvl>
  </w:abstractNum>
  <w:abstractNum w:abstractNumId="10">
    <w:nsid w:val="737B8DDC"/>
    <w:multiLevelType w:val="hybridMultilevel"/>
    <w:lvl w:ilvl="0">
      <w:lvlJc w:val="left"/>
      <w:lvlText w:val="(%1)"/>
      <w:numFmt w:val="lowerRoman"/>
      <w:start w:val="14"/>
    </w:lvl>
  </w:abstractNum>
  <w:abstractNum w:abstractNumId="11">
    <w:nsid w:val="6CEAF087"/>
    <w:multiLevelType w:val="hybridMultilevel"/>
    <w:lvl w:ilvl="0">
      <w:lvlJc w:val="left"/>
      <w:lvlText w:val="(%1)"/>
      <w:numFmt w:val="lowerRoman"/>
      <w:start w:val="16"/>
    </w:lvl>
  </w:abstractNum>
  <w:abstractNum w:abstractNumId="12">
    <w:nsid w:val="22221A70"/>
    <w:multiLevelType w:val="hybridMultilevel"/>
    <w:lvl w:ilvl="0">
      <w:lvlJc w:val="left"/>
      <w:lvlText w:val="(%1)"/>
      <w:numFmt w:val="lowerRoman"/>
      <w:start w:val="19"/>
    </w:lvl>
  </w:abstractNum>
  <w:abstractNum w:abstractNumId="13">
    <w:nsid w:val="4516DDE9"/>
    <w:multiLevelType w:val="hybridMultilevel"/>
    <w:lvl w:ilvl="0">
      <w:lvlJc w:val="left"/>
      <w:lvlText w:val="(%1)"/>
      <w:numFmt w:val="lowerRoman"/>
      <w:start w:val="23"/>
    </w:lvl>
  </w:abstractNum>
  <w:abstractNum w:abstractNumId="14">
    <w:nsid w:val="3006C83E"/>
    <w:multiLevelType w:val="hybridMultilevel"/>
    <w:lvl w:ilvl="0">
      <w:lvlJc w:val="left"/>
      <w:lvlText w:val="(%1)"/>
      <w:numFmt w:val="lowerRoman"/>
      <w:start w:val="29"/>
    </w:lvl>
  </w:abstractNum>
  <w:abstractNum w:abstractNumId="15">
    <w:nsid w:val="614FD4A1"/>
    <w:multiLevelType w:val="hybridMultilevel"/>
    <w:lvl w:ilvl="0">
      <w:lvlJc w:val="left"/>
      <w:lvlText w:val="(%1)"/>
      <w:numFmt w:val="lowerRoman"/>
      <w:start w:val="32"/>
    </w:lvl>
  </w:abstractNum>
  <w:abstractNum w:abstractNumId="16">
    <w:nsid w:val="419AC241"/>
    <w:multiLevelType w:val="hybridMultilevel"/>
    <w:lvl w:ilvl="0">
      <w:lvlJc w:val="left"/>
      <w:lvlText w:val="(%1)"/>
      <w:numFmt w:val="lowerRoman"/>
      <w:start w:val="34"/>
    </w:lvl>
  </w:abstractNum>
  <w:abstractNum w:abstractNumId="17">
    <w:nsid w:val="5577F8E1"/>
    <w:multiLevelType w:val="hybridMultilevel"/>
    <w:lvl w:ilvl="0">
      <w:lvlJc w:val="left"/>
      <w:lvlText w:val="(%1)"/>
      <w:numFmt w:val="lowerRoman"/>
      <w:start w:val="36"/>
    </w:lvl>
  </w:abstractNum>
  <w:abstractNum w:abstractNumId="18">
    <w:nsid w:val="440BADFC"/>
    <w:multiLevelType w:val="hybridMultilevel"/>
    <w:lvl w:ilvl="0">
      <w:lvlJc w:val="left"/>
      <w:lvlText w:val="(%1)"/>
      <w:numFmt w:val="lowerLetter"/>
      <w:start w:val="12"/>
    </w:lvl>
  </w:abstractNum>
  <w:abstractNum w:abstractNumId="19">
    <w:nsid w:val="5072367"/>
    <w:multiLevelType w:val="hybridMultilevel"/>
    <w:lvl w:ilvl="0">
      <w:lvlJc w:val="left"/>
      <w:lvlText w:val="%1."/>
      <w:numFmt w:val="decimal"/>
      <w:start w:val="3"/>
    </w:lvl>
    <w:lvl w:ilvl="1">
      <w:lvlJc w:val="left"/>
      <w:lvlText w:val="(%2)"/>
      <w:numFmt w:val="lowerLetter"/>
      <w:start w:val="1"/>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1)"/>
      <w:numFmt w:val="lowerLetter"/>
      <w:start w:val="3"/>
    </w:lvl>
  </w:abstractNum>
  <w:abstractNum w:abstractNumId="22">
    <w:nsid w:val="7724C67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23">
    <w:nsid w:val="5C482A97"/>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24">
    <w:nsid w:val="2463B9E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25">
    <w:nsid w:val="5E884ADC"/>
    <w:multiLevelType w:val="hybridMultilevel"/>
    <w:lvl w:ilvl="0">
      <w:lvlJc w:val="left"/>
      <w:lvlText w:val="(%1)"/>
      <w:numFmt w:val="lowerRoman"/>
      <w:start w:val="3"/>
    </w:lvl>
  </w:abstractNum>
  <w:abstractNum w:abstractNumId="26">
    <w:nsid w:val="51EAD36B"/>
    <w:multiLevelType w:val="hybridMultilevel"/>
    <w:lvl w:ilvl="0">
      <w:lvlJc w:val="left"/>
      <w:lvlText w:val="(%1)"/>
      <w:numFmt w:val="upperLetter"/>
      <w:start w:val="2"/>
    </w:lvl>
  </w:abstractNum>
  <w:abstractNum w:abstractNumId="27">
    <w:nsid w:val="2D517796"/>
    <w:multiLevelType w:val="hybridMultilevel"/>
    <w:lvl w:ilvl="0">
      <w:lvlJc w:val="left"/>
      <w:lvlText w:val="(%1)"/>
      <w:numFmt w:val="lowerRoman"/>
      <w:start w:val="4"/>
    </w:lvl>
  </w:abstractNum>
  <w:abstractNum w:abstractNumId="28">
    <w:nsid w:val="580BD78F"/>
    <w:multiLevelType w:val="hybridMultilevel"/>
    <w:lvl w:ilvl="0">
      <w:lvlJc w:val="left"/>
      <w:lvlText w:val="(%1)"/>
      <w:numFmt w:val="lowerRoman"/>
      <w:start w:val="5"/>
    </w:lvl>
  </w:abstractNum>
  <w:abstractNum w:abstractNumId="29">
    <w:nsid w:val="153EA438"/>
    <w:multiLevelType w:val="hybridMultilevel"/>
    <w:lvl w:ilvl="0">
      <w:lvlJc w:val="left"/>
      <w:lvlText w:val="(%1)"/>
      <w:numFmt w:val="lowerRoman"/>
      <w:start w:val="9"/>
    </w:lvl>
  </w:abstractNum>
  <w:abstractNum w:abstractNumId="30">
    <w:nsid w:val="3855585C"/>
    <w:multiLevelType w:val="hybridMultilevel"/>
    <w:lvl w:ilvl="0">
      <w:lvlJc w:val="left"/>
      <w:lvlText w:val="(%1)"/>
      <w:numFmt w:val="lowerRoman"/>
      <w:start w:val="14"/>
    </w:lvl>
  </w:abstractNum>
  <w:abstractNum w:abstractNumId="31">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5"/>
    </w:lvl>
  </w:abstractNum>
  <w:abstractNum w:abstractNumId="32">
    <w:nsid w:val="6A2342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
    <w:nsid w:val="2A487CB0"/>
    <w:multiLevelType w:val="hybridMultilevel"/>
    <w:lvl w:ilvl="0">
      <w:lvlJc w:val="left"/>
      <w:lvlText w:val="(%1)"/>
      <w:numFmt w:val="lowerLetter"/>
      <w:start w:val="3"/>
    </w:lvl>
  </w:abstractNum>
  <w:abstractNum w:abstractNumId="34">
    <w:nsid w:val="1D4ED43B"/>
    <w:multiLevelType w:val="hybridMultilevel"/>
    <w:lvl w:ilvl="0">
      <w:lvlJc w:val="left"/>
      <w:lvlText w:val="(%1)"/>
      <w:numFmt w:val="lowerLetter"/>
      <w:start w:val="9"/>
    </w:lvl>
    <w:lvl w:ilvl="1">
      <w:lvlJc w:val="left"/>
      <w:lvlText w:val="(%2)"/>
      <w:numFmt w:val="lowerRoman"/>
      <w:start w:val="1"/>
    </w:lvl>
  </w:abstractNum>
  <w:abstractNum w:abstractNumId="35">
    <w:nsid w:val="725A06FB"/>
    <w:multiLevelType w:val="hybridMultilevel"/>
    <w:lvl w:ilvl="0">
      <w:lvlJc w:val="left"/>
      <w:lvlText w:val="(%1)"/>
      <w:numFmt w:val="lowerLetter"/>
      <w:start w:val="14"/>
    </w:lvl>
  </w:abstractNum>
  <w:abstractNum w:abstractNumId="36">
    <w:nsid w:val="2CD89A32"/>
    <w:multiLevelType w:val="hybridMultilevel"/>
    <w:lvl w:ilvl="0">
      <w:lvlJc w:val="left"/>
      <w:lvlText w:val="%1."/>
      <w:numFmt w:val="decimal"/>
      <w:start w:val="6"/>
    </w:lvl>
    <w:lvl w:ilvl="1">
      <w:lvlJc w:val="left"/>
      <w:lvlText w:val="(%2)"/>
      <w:numFmt w:val="lowerLetter"/>
      <w:start w:val="1"/>
    </w:lvl>
  </w:abstractNum>
  <w:abstractNum w:abstractNumId="37">
    <w:nsid w:val="57E4CCAF"/>
    <w:multiLevelType w:val="hybridMultilevel"/>
    <w:lvl w:ilvl="0">
      <w:lvlJc w:val="left"/>
      <w:lvlText w:val="(%1)"/>
      <w:numFmt w:val="lowerLetter"/>
      <w:start w:val="2"/>
    </w:lvl>
  </w:abstractNum>
  <w:abstractNum w:abstractNumId="38">
    <w:nsid w:val="7A6D8D3C"/>
    <w:multiLevelType w:val="hybridMultilevel"/>
    <w:lvl w:ilvl="0">
      <w:lvlJc w:val="left"/>
      <w:lvlText w:val="%1"/>
      <w:numFmt w:val="lowerLetter"/>
      <w:start w:val="1"/>
    </w:lvl>
    <w:lvl w:ilvl="1">
      <w:lvlJc w:val="left"/>
      <w:lvlText w:val="(%2)"/>
      <w:numFmt w:val="lowerLetter"/>
      <w:start w:val="4"/>
    </w:lvl>
  </w:abstractNum>
  <w:abstractNum w:abstractNumId="39">
    <w:nsid w:val="4B588F54"/>
    <w:multiLevelType w:val="hybridMultilevel"/>
    <w:lvl w:ilvl="0">
      <w:lvlJc w:val="left"/>
      <w:lvlText w:val="(%1)"/>
      <w:numFmt w:val="lowerLetter"/>
      <w:start w:val="35"/>
    </w:lvl>
    <w:lvl w:ilvl="1">
      <w:lvlJc w:val="left"/>
      <w:lvlText w:val="%2"/>
      <w:numFmt w:val="lowerLetter"/>
      <w:start w:val="1"/>
    </w:lvl>
  </w:abstractNum>
  <w:abstractNum w:abstractNumId="40">
    <w:nsid w:val="542289EC"/>
    <w:multiLevelType w:val="hybridMultilevel"/>
    <w:lvl w:ilvl="0">
      <w:lvlJc w:val="left"/>
      <w:lvlText w:val="%1"/>
      <w:numFmt w:val="decimal"/>
      <w:start w:val="1"/>
    </w:lvl>
    <w:lvl w:ilvl="1">
      <w:lvlJc w:val="left"/>
      <w:lvlText w:val="(%2)"/>
      <w:numFmt w:val="lowerLetter"/>
      <w:start w:val="5"/>
    </w:lvl>
  </w:abstractNum>
  <w:abstractNum w:abstractNumId="41">
    <w:nsid w:val="6DE91B18"/>
    <w:multiLevelType w:val="hybridMultilevel"/>
    <w:lvl w:ilvl="0">
      <w:lvlJc w:val="left"/>
      <w:lvlText w:val="%1."/>
      <w:numFmt w:val="decimal"/>
      <w:start w:val="7"/>
    </w:lvl>
    <w:lvl w:ilvl="1">
      <w:lvlJc w:val="left"/>
      <w:lvlText w:val="(%2)"/>
      <w:numFmt w:val="lowerLetter"/>
      <w:start w:val="1"/>
    </w:lvl>
  </w:abstractNum>
  <w:abstractNum w:abstractNumId="42">
    <w:nsid w:val="38437FDB"/>
    <w:multiLevelType w:val="hybridMultilevel"/>
    <w:lvl w:ilvl="0">
      <w:lvlJc w:val="left"/>
      <w:lvlText w:val="%1"/>
      <w:numFmt w:val="decimal"/>
      <w:start w:val="1"/>
    </w:lvl>
    <w:lvl w:ilvl="1">
      <w:lvlJc w:val="left"/>
      <w:lvlText w:val="(%2)"/>
      <w:numFmt w:val="lowerLetter"/>
      <w:start w:val="3"/>
    </w:lvl>
  </w:abstractNum>
  <w:abstractNum w:abstractNumId="43">
    <w:nsid w:val="7644A45C"/>
    <w:multiLevelType w:val="hybridMultilevel"/>
    <w:lvl w:ilvl="0">
      <w:lvlJc w:val="left"/>
      <w:lvlText w:val="%1."/>
      <w:numFmt w:val="decimal"/>
      <w:start w:val="9"/>
    </w:lvl>
    <w:lvl w:ilvl="1">
      <w:lvlJc w:val="left"/>
      <w:lvlText w:val="(%2)"/>
      <w:numFmt w:val="lowerLetter"/>
      <w:start w:val="1"/>
    </w:lvl>
  </w:abstractNum>
  <w:abstractNum w:abstractNumId="44">
    <w:nsid w:val="32FFF902"/>
    <w:multiLevelType w:val="hybridMultilevel"/>
    <w:lvl w:ilvl="0">
      <w:lvlJc w:val="left"/>
      <w:lvlText w:val="%1."/>
      <w:numFmt w:val="decimal"/>
      <w:start w:val="10"/>
    </w:lvl>
  </w:abstractNum>
  <w:abstractNum w:abstractNumId="45">
    <w:nsid w:val="684A481A"/>
    <w:multiLevelType w:val="hybridMultilevel"/>
    <w:lvl w:ilvl="0">
      <w:lvlJc w:val="left"/>
      <w:lvlText w:val="%1."/>
      <w:numFmt w:val="decimal"/>
      <w:start w:val="14"/>
    </w:lvl>
  </w:abstractNum>
  <w:abstractNum w:abstractNumId="46">
    <w:nsid w:val="579478FE"/>
    <w:multiLevelType w:val="hybridMultilevel"/>
    <w:lvl w:ilvl="0">
      <w:lvlJc w:val="left"/>
      <w:lvlText w:val="%1."/>
      <w:numFmt w:val="decimal"/>
      <w:start w:val="15"/>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lvl w:ilvl="1">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2019-12-09T04:04:07Z</dcterms:created>
  <dcterms:modified xsi:type="dcterms:W3CDTF">2019-12-09T04:04:07Z</dcterms:modified>
</cp:coreProperties>
</file>