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2"/>
          <w:szCs w:val="22"/>
          <w:b w:val="1"/>
          <w:bCs w:val="1"/>
          <w:color w:val="auto"/>
        </w:rPr>
        <w:t>Washington, D.C. 20549</w:t>
      </w:r>
    </w:p>
    <w:p>
      <w:pPr>
        <w:ind w:left="4900"/>
        <w:spacing w:after="0"/>
        <w:rPr>
          <w:sz w:val="20"/>
          <w:szCs w:val="20"/>
          <w:color w:val="auto"/>
        </w:rPr>
      </w:pPr>
      <w:r>
        <w:rPr>
          <w:rFonts w:ascii="Arial" w:cs="Arial" w:eastAsia="Arial" w:hAnsi="Arial"/>
          <w:sz w:val="18"/>
          <w:szCs w:val="18"/>
          <w:b w:val="1"/>
          <w:bCs w:val="1"/>
          <w:color w:val="auto"/>
        </w:rPr>
        <w:t>________________</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n/a)*</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right="9080" w:hanging="4"/>
        <w:spacing w:after="0" w:line="593" w:lineRule="auto"/>
        <w:tabs>
          <w:tab w:leader="none" w:pos="1137"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364" w:lineRule="exact"/>
        <w:rPr>
          <w:rFonts w:ascii="MS PGothic" w:cs="MS PGothic" w:eastAsia="MS PGothic" w:hAnsi="MS PGothic"/>
          <w:sz w:val="16"/>
          <w:szCs w:val="16"/>
          <w:color w:val="auto"/>
        </w:rPr>
      </w:pPr>
    </w:p>
    <w:p>
      <w:pPr>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742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15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808"/>
              <w:spacing w:after="0"/>
              <w:rPr>
                <w:sz w:val="20"/>
                <w:szCs w:val="20"/>
                <w:color w:val="auto"/>
              </w:rPr>
            </w:pPr>
            <w:r>
              <w:rPr>
                <w:rFonts w:ascii="Arial" w:cs="Arial" w:eastAsia="Arial" w:hAnsi="Arial"/>
                <w:sz w:val="22"/>
                <w:szCs w:val="22"/>
                <w:b w:val="1"/>
                <w:bCs w:val="1"/>
                <w:color w:val="auto"/>
                <w:w w:val="91"/>
              </w:rPr>
              <w:t>13G</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Sumitomo Mitsui Trust Holdings, Inc. (“SMTH”)</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8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5.</w:t>
            </w:r>
          </w:p>
        </w:tc>
        <w:tc>
          <w:tcPr>
            <w:tcW w:w="68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6.</w:t>
            </w:r>
          </w:p>
        </w:tc>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1,357,472</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1,357,472</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688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1,357,472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5.14</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HC, FI</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Arial" w:cs="Arial" w:eastAsia="Arial" w:hAnsi="Arial"/>
                <w:sz w:val="18"/>
                <w:szCs w:val="18"/>
                <w:color w:val="auto"/>
                <w:w w:val="89"/>
              </w:rPr>
              <w:t>Page 2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
        </w:trPr>
        <w:tc>
          <w:tcPr>
            <w:tcW w:w="6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80" w:type="dxa"/>
            <w:vAlign w:val="bottom"/>
            <w:vMerge w:val="restart"/>
          </w:tcPr>
          <w:p>
            <w:pPr>
              <w:jc w:val="center"/>
              <w:ind w:right="808"/>
              <w:spacing w:after="0"/>
              <w:rPr>
                <w:sz w:val="20"/>
                <w:szCs w:val="20"/>
                <w:color w:val="auto"/>
              </w:rPr>
            </w:pPr>
            <w:r>
              <w:rPr>
                <w:rFonts w:ascii="Arial" w:cs="Arial" w:eastAsia="Arial" w:hAnsi="Arial"/>
                <w:sz w:val="22"/>
                <w:szCs w:val="22"/>
                <w:b w:val="1"/>
                <w:bCs w:val="1"/>
                <w:color w:val="auto"/>
                <w:w w:val="91"/>
              </w:rPr>
              <w:t>13G</w:t>
            </w: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CUSIP No. 03969T109</w:t>
            </w:r>
          </w:p>
        </w:tc>
        <w:tc>
          <w:tcPr>
            <w:tcW w:w="680" w:type="dxa"/>
            <w:vAlign w:val="bottom"/>
            <w:tcBorders>
              <w:bottom w:val="single" w:sz="8" w:color="auto"/>
              <w:right w:val="single" w:sz="8" w:color="auto"/>
            </w:tcBorders>
          </w:tcPr>
          <w:p>
            <w:pPr>
              <w:spacing w:after="0"/>
              <w:rPr>
                <w:sz w:val="19"/>
                <w:szCs w:val="19"/>
                <w:color w:val="auto"/>
              </w:rPr>
            </w:pPr>
          </w:p>
        </w:tc>
        <w:tc>
          <w:tcPr>
            <w:tcW w:w="68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NAMES OF REPORTING PERSONS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Nikko Asset Management Co., Ltd. (“NAM”)</w:t>
            </w: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jc w:val="center"/>
              <w:ind w:left="50"/>
              <w:spacing w:after="0" w:line="195" w:lineRule="exact"/>
              <w:rPr>
                <w:sz w:val="20"/>
                <w:szCs w:val="20"/>
                <w:color w:val="auto"/>
              </w:rPr>
            </w:pPr>
            <w:r>
              <w:rPr>
                <w:rFonts w:ascii="Arial" w:cs="Arial" w:eastAsia="Arial" w:hAnsi="Arial"/>
                <w:sz w:val="18"/>
                <w:szCs w:val="18"/>
                <w:b w:val="1"/>
                <w:bCs w:val="1"/>
                <w:color w:val="auto"/>
                <w:w w:val="79"/>
              </w:rPr>
              <w:t>2.</w:t>
            </w:r>
          </w:p>
        </w:tc>
        <w:tc>
          <w:tcPr>
            <w:tcW w:w="140" w:type="dxa"/>
            <w:vAlign w:val="bottom"/>
            <w:tcBorders>
              <w:right w:val="single" w:sz="8" w:color="auto"/>
            </w:tcBorders>
          </w:tcPr>
          <w:p>
            <w:pPr>
              <w:spacing w:after="0"/>
              <w:rPr>
                <w:sz w:val="16"/>
                <w:szCs w:val="16"/>
                <w:color w:val="auto"/>
              </w:rPr>
            </w:pPr>
          </w:p>
        </w:tc>
        <w:tc>
          <w:tcPr>
            <w:tcW w:w="8920" w:type="dxa"/>
            <w:vAlign w:val="bottom"/>
            <w:gridSpan w:val="4"/>
          </w:tcPr>
          <w:p>
            <w:pPr>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720" w:type="dxa"/>
            <w:vAlign w:val="bottom"/>
            <w:tcBorders>
              <w:right w:val="single" w:sz="8" w:color="auto"/>
            </w:tcBorders>
          </w:tcPr>
          <w:p>
            <w:pPr>
              <w:ind w:left="580"/>
              <w:spacing w:after="0" w:line="195"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720" w:type="dxa"/>
            <w:vAlign w:val="bottom"/>
            <w:tcBorders>
              <w:right w:val="single" w:sz="8" w:color="auto"/>
            </w:tcBorders>
          </w:tcPr>
          <w:p>
            <w:pPr>
              <w:ind w:left="580"/>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3.</w:t>
            </w:r>
          </w:p>
        </w:tc>
        <w:tc>
          <w:tcPr>
            <w:tcW w:w="140" w:type="dxa"/>
            <w:vAlign w:val="bottom"/>
            <w:tcBorders>
              <w:right w:val="single" w:sz="8" w:color="auto"/>
            </w:tcBorders>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6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spacing w:after="0"/>
              <w:rPr>
                <w:sz w:val="17"/>
                <w:szCs w:val="17"/>
                <w:color w:val="auto"/>
              </w:rPr>
            </w:pPr>
          </w:p>
        </w:tc>
        <w:tc>
          <w:tcPr>
            <w:tcW w:w="6880" w:type="dxa"/>
            <w:vAlign w:val="bottom"/>
            <w:tcBorders>
              <w:bottom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4.</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Japan</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5.</w:t>
            </w:r>
          </w:p>
        </w:tc>
        <w:tc>
          <w:tcPr>
            <w:tcW w:w="688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1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7"/>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VOTING POWER</w:t>
            </w:r>
          </w:p>
        </w:tc>
        <w:tc>
          <w:tcPr>
            <w:tcW w:w="17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restart"/>
          </w:tcPr>
          <w:p>
            <w:pPr>
              <w:jc w:val="center"/>
              <w:ind w:right="4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6880" w:type="dxa"/>
            <w:vAlign w:val="bottom"/>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60" w:type="dxa"/>
            <w:vAlign w:val="bottom"/>
            <w:tcBorders>
              <w:left w:val="single" w:sz="8" w:color="auto"/>
            </w:tcBorders>
          </w:tcPr>
          <w:p>
            <w:pPr>
              <w:spacing w:after="0"/>
              <w:rPr>
                <w:sz w:val="9"/>
                <w:szCs w:val="9"/>
                <w:color w:val="auto"/>
              </w:rPr>
            </w:pPr>
          </w:p>
        </w:tc>
        <w:tc>
          <w:tcPr>
            <w:tcW w:w="12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6.</w:t>
            </w:r>
          </w:p>
        </w:tc>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1,357,472</w:t>
            </w:r>
          </w:p>
        </w:tc>
        <w:tc>
          <w:tcPr>
            <w:tcW w:w="17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720" w:type="dxa"/>
            <w:vAlign w:val="bottom"/>
            <w:tcBorders>
              <w:left w:val="single" w:sz="8" w:color="auto"/>
              <w:right w:val="single" w:sz="8" w:color="auto"/>
            </w:tcBorders>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5" w:lineRule="exact"/>
              <w:rPr>
                <w:sz w:val="20"/>
                <w:szCs w:val="20"/>
                <w:color w:val="auto"/>
              </w:rPr>
            </w:pPr>
            <w:r>
              <w:rPr>
                <w:rFonts w:ascii="Arial" w:cs="Arial" w:eastAsia="Arial" w:hAnsi="Arial"/>
                <w:sz w:val="18"/>
                <w:szCs w:val="18"/>
                <w:color w:val="auto"/>
              </w:rPr>
              <w:t>SOLE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0"/>
                <w:szCs w:val="10"/>
                <w:color w:val="auto"/>
              </w:rPr>
            </w:pPr>
          </w:p>
        </w:tc>
        <w:tc>
          <w:tcPr>
            <w:tcW w:w="680" w:type="dxa"/>
            <w:vAlign w:val="bottom"/>
            <w:tcBorders>
              <w:right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7.</w:t>
            </w: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17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6880" w:type="dxa"/>
            <w:vAlign w:val="bottom"/>
            <w:vMerge w:val="continue"/>
          </w:tcPr>
          <w:p>
            <w:pPr>
              <w:spacing w:after="0"/>
              <w:rPr>
                <w:sz w:val="11"/>
                <w:szCs w:val="11"/>
                <w:color w:val="auto"/>
              </w:rPr>
            </w:pPr>
          </w:p>
        </w:tc>
        <w:tc>
          <w:tcPr>
            <w:tcW w:w="1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tcPr>
          <w:p>
            <w:pPr>
              <w:spacing w:after="0"/>
              <w:rPr>
                <w:sz w:val="6"/>
                <w:szCs w:val="6"/>
                <w:color w:val="auto"/>
              </w:rPr>
            </w:pP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72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6880" w:type="dxa"/>
            <w:vAlign w:val="bottom"/>
            <w:tcBorders>
              <w:bottom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720" w:type="dxa"/>
            <w:vAlign w:val="bottom"/>
            <w:tcBorders>
              <w:left w:val="single" w:sz="8" w:color="auto"/>
              <w:right w:val="single" w:sz="8" w:color="auto"/>
            </w:tcBorders>
            <w:gridSpan w:val="3"/>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80" w:type="dxa"/>
            <w:vAlign w:val="bottom"/>
            <w:vMerge w:val="restart"/>
          </w:tcPr>
          <w:p>
            <w:pPr>
              <w:spacing w:after="0" w:line="191" w:lineRule="exact"/>
              <w:rPr>
                <w:sz w:val="20"/>
                <w:szCs w:val="20"/>
                <w:color w:val="auto"/>
              </w:rPr>
            </w:pPr>
            <w:r>
              <w:rPr>
                <w:rFonts w:ascii="Arial" w:cs="Arial" w:eastAsia="Arial" w:hAnsi="Arial"/>
                <w:sz w:val="18"/>
                <w:szCs w:val="18"/>
                <w:color w:val="auto"/>
              </w:rPr>
              <w:t>SHARED DISPOSITIVE POWER</w:t>
            </w:r>
          </w:p>
        </w:tc>
        <w:tc>
          <w:tcPr>
            <w:tcW w:w="17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880" w:type="dxa"/>
            <w:vAlign w:val="bottom"/>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spacing w:after="0"/>
              <w:rPr>
                <w:sz w:val="20"/>
                <w:szCs w:val="20"/>
                <w:color w:val="auto"/>
              </w:rPr>
            </w:pPr>
            <w:r>
              <w:rPr>
                <w:rFonts w:ascii="Arial" w:cs="Arial" w:eastAsia="Arial" w:hAnsi="Arial"/>
                <w:sz w:val="18"/>
                <w:szCs w:val="18"/>
                <w:b w:val="1"/>
                <w:bCs w:val="1"/>
                <w:color w:val="auto"/>
              </w:rPr>
              <w:t>1,357,472</w:t>
            </w:r>
          </w:p>
        </w:tc>
        <w:tc>
          <w:tcPr>
            <w:tcW w:w="17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gridSpan w:val="2"/>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9.</w:t>
            </w:r>
          </w:p>
        </w:tc>
        <w:tc>
          <w:tcPr>
            <w:tcW w:w="140" w:type="dxa"/>
            <w:vAlign w:val="bottom"/>
            <w:tcBorders>
              <w:right w:val="single" w:sz="8" w:color="auto"/>
            </w:tcBorders>
          </w:tcPr>
          <w:p>
            <w:pPr>
              <w:spacing w:after="0"/>
              <w:rPr>
                <w:sz w:val="19"/>
                <w:szCs w:val="19"/>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AGGREGATE AMOUNT</w:t>
            </w:r>
          </w:p>
        </w:tc>
        <w:tc>
          <w:tcPr>
            <w:tcW w:w="6880" w:type="dxa"/>
            <w:vAlign w:val="bottom"/>
          </w:tcPr>
          <w:p>
            <w:pPr>
              <w:spacing w:after="0"/>
              <w:rPr>
                <w:sz w:val="20"/>
                <w:szCs w:val="20"/>
                <w:color w:val="auto"/>
              </w:rPr>
            </w:pPr>
            <w:r>
              <w:rPr>
                <w:rFonts w:ascii="Arial" w:cs="Arial" w:eastAsia="Arial" w:hAnsi="Arial"/>
                <w:sz w:val="18"/>
                <w:szCs w:val="18"/>
                <w:color w:val="auto"/>
              </w:rPr>
              <w:t>BENEFICIALLY OWNED BY EACH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1,357,472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8920" w:type="dxa"/>
            <w:vAlign w:val="bottom"/>
            <w:tcBorders>
              <w:bottom w:val="single" w:sz="8" w:color="auto"/>
            </w:tcBorders>
            <w:gridSpan w:val="4"/>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10.</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t>
            </w: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79"/>
              </w:rPr>
              <w:t>11.</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5.14</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5"/>
              </w:rPr>
              <w:t>12.</w:t>
            </w:r>
          </w:p>
        </w:tc>
        <w:tc>
          <w:tcPr>
            <w:tcW w:w="140" w:type="dxa"/>
            <w:vAlign w:val="bottom"/>
            <w:tcBorders>
              <w:right w:val="single" w:sz="8" w:color="auto"/>
            </w:tcBorders>
          </w:tcPr>
          <w:p>
            <w:pPr>
              <w:spacing w:after="0"/>
              <w:rPr>
                <w:sz w:val="19"/>
                <w:szCs w:val="19"/>
                <w:color w:val="auto"/>
              </w:rPr>
            </w:pPr>
          </w:p>
        </w:tc>
        <w:tc>
          <w:tcPr>
            <w:tcW w:w="89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7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IA, HC, FI</w:t>
            </w:r>
          </w:p>
        </w:tc>
        <w:tc>
          <w:tcPr>
            <w:tcW w:w="6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88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jc w:val="center"/>
              <w:ind w:right="808"/>
              <w:spacing w:after="0"/>
              <w:rPr>
                <w:sz w:val="20"/>
                <w:szCs w:val="20"/>
                <w:color w:val="auto"/>
              </w:rPr>
            </w:pPr>
            <w:r>
              <w:rPr>
                <w:rFonts w:ascii="Arial" w:cs="Arial" w:eastAsia="Arial" w:hAnsi="Arial"/>
                <w:sz w:val="18"/>
                <w:szCs w:val="18"/>
                <w:color w:val="auto"/>
                <w:w w:val="89"/>
              </w:rPr>
              <w:t>Page 3 of 9</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1(a). Name of Issuer: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1(b). Address of Issuer’s Principal Executive Offices: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10628 Science Center Drive, Suite 250 San Diego, California 92121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2(a). Name of Person Filing: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Sumitomo Mitsui Trust Holdings,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Nikko Asset Management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2(b). Address of Principal Business Office or, if None, Residence: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1-4-1 Marunouchi, Chiyoda-ku, Tokyo 100-8233, Japan</w:t>
      </w:r>
    </w:p>
    <w:p>
      <w:pPr>
        <w:spacing w:after="0" w:line="225" w:lineRule="exact"/>
        <w:rPr>
          <w:sz w:val="20"/>
          <w:szCs w:val="20"/>
          <w:color w:val="auto"/>
        </w:rPr>
      </w:pPr>
    </w:p>
    <w:p>
      <w:pPr>
        <w:ind w:right="4359" w:firstLine="324"/>
        <w:spacing w:after="0" w:line="500" w:lineRule="auto"/>
        <w:rPr>
          <w:sz w:val="20"/>
          <w:szCs w:val="20"/>
          <w:color w:val="auto"/>
        </w:rPr>
      </w:pPr>
      <w:r>
        <w:rPr>
          <w:rFonts w:ascii="Arial" w:cs="Arial" w:eastAsia="Arial" w:hAnsi="Arial"/>
          <w:sz w:val="18"/>
          <w:szCs w:val="18"/>
          <w:color w:val="auto"/>
        </w:rPr>
        <w:t>NAM: Midtown Tower, 9-7-1 Akasaka, Minato-ku, Tokyo 107-6242, Japan Item 2(c). Citizenship:</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 Japan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 Japan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2(d). Title of Class of Securities: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2(e). CUSIP Number: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03969T109</w:t>
      </w:r>
    </w:p>
    <w:p>
      <w:pPr>
        <w:spacing w:after="0" w:line="364"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6" w:right="1440"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or (c), Check Whether the Person Filing is 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SMTH:</w:t>
      </w:r>
    </w:p>
    <w:p>
      <w:pPr>
        <w:spacing w:after="0" w:line="225"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77" w:lineRule="auto"/>
        <w:tabs>
          <w:tab w:leader="none" w:pos="693" w:val="left"/>
        </w:tabs>
        <w:numPr>
          <w:ilvl w:val="0"/>
          <w:numId w:val="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37"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§240.13d-1(b)(1)(ii)(K).</w:t>
      </w:r>
    </w:p>
    <w:p>
      <w:pPr>
        <w:spacing w:after="0" w:line="225" w:lineRule="exact"/>
        <w:rPr>
          <w:sz w:val="20"/>
          <w:szCs w:val="20"/>
          <w:color w:val="auto"/>
        </w:rPr>
      </w:pPr>
    </w:p>
    <w:p>
      <w:pPr>
        <w:ind w:left="340" w:right="580"/>
        <w:spacing w:after="0" w:line="500"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Parent Holding Company NAM:</w:t>
      </w:r>
    </w:p>
    <w:p>
      <w:pPr>
        <w:spacing w:after="0" w:line="2"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192"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260" w:hanging="1252"/>
        <w:spacing w:after="0" w:line="277" w:lineRule="auto"/>
        <w:tabs>
          <w:tab w:leader="none" w:pos="693" w:val="left"/>
        </w:tabs>
        <w:numPr>
          <w:ilvl w:val="0"/>
          <w:numId w:val="3"/>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37" w:lineRule="exact"/>
        <w:rPr>
          <w:rFonts w:ascii="Arial" w:cs="Arial" w:eastAsia="Arial" w:hAnsi="Arial"/>
          <w:sz w:val="18"/>
          <w:szCs w:val="18"/>
          <w:color w:val="auto"/>
        </w:rPr>
      </w:pPr>
    </w:p>
    <w:p>
      <w:pPr>
        <w:ind w:left="680" w:hanging="672"/>
        <w:spacing w:after="0" w:line="207" w:lineRule="exact"/>
        <w:tabs>
          <w:tab w:leader="none" w:pos="680" w:val="left"/>
        </w:tabs>
        <w:numPr>
          <w:ilvl w:val="0"/>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57" w:lineRule="exact"/>
        <w:rPr>
          <w:rFonts w:ascii="Arial" w:cs="Arial" w:eastAsia="Arial" w:hAnsi="Arial"/>
          <w:sz w:val="18"/>
          <w:szCs w:val="18"/>
          <w:color w:val="auto"/>
        </w:rPr>
      </w:pPr>
    </w:p>
    <w:p>
      <w:pPr>
        <w:ind w:left="680" w:hanging="67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§240.13d-1(b)(1)(ii)(K).</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46" w:right="599" w:bottom="1440" w:gutter="0" w:footer="0" w:header="0"/>
        </w:sectPr>
      </w:pPr>
    </w:p>
    <w:bookmarkStart w:id="5" w:name="page6"/>
    <w:bookmarkEnd w:id="5"/>
    <w:p>
      <w:pPr>
        <w:ind w:right="400"/>
        <w:spacing w:after="0" w:line="277" w:lineRule="auto"/>
        <w:rPr>
          <w:sz w:val="20"/>
          <w:szCs w:val="20"/>
          <w:color w:val="auto"/>
        </w:rPr>
      </w:pPr>
      <w:r>
        <w:rPr>
          <w:rFonts w:ascii="Arial" w:cs="Arial" w:eastAsia="Arial" w:hAnsi="Arial"/>
          <w:sz w:val="18"/>
          <w:szCs w:val="18"/>
          <w:color w:val="auto"/>
        </w:rPr>
        <w:t>If filing as a non-U.S. institution in accordance with §240.13d-1(b)(1)(ii)(J), please specify the type of institution: Investment Adviser, Parent Holding Company</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SMTH: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color w:val="auto"/>
              </w:rPr>
              <w:t>(a)</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1,357,472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(b)</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5.14%</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(c)</w:t>
            </w:r>
          </w:p>
        </w:tc>
        <w:tc>
          <w:tcPr>
            <w:tcW w:w="9680" w:type="dxa"/>
            <w:vAlign w:val="bottom"/>
          </w:tcPr>
          <w:p>
            <w:pPr>
              <w:ind w:left="10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1,357,472</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(iv)</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1,357,472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NAM:</w:t>
            </w:r>
          </w:p>
        </w:tc>
        <w:tc>
          <w:tcPr>
            <w:tcW w:w="9680" w:type="dxa"/>
            <w:vAlign w:val="bottom"/>
          </w:tcPr>
          <w:p>
            <w:pPr>
              <w:spacing w:after="0"/>
              <w:rPr>
                <w:sz w:val="24"/>
                <w:szCs w:val="24"/>
                <w:color w:val="auto"/>
              </w:rPr>
            </w:pP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(a)</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1,357,472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(b)</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5.14</w:t>
            </w:r>
            <w:r>
              <w:rPr>
                <w:rFonts w:ascii="Arial" w:cs="Arial" w:eastAsia="Arial" w:hAnsi="Arial"/>
                <w:sz w:val="18"/>
                <w:szCs w:val="18"/>
                <w:color w:val="auto"/>
              </w:rPr>
              <w: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(c)</w:t>
            </w:r>
          </w:p>
        </w:tc>
        <w:tc>
          <w:tcPr>
            <w:tcW w:w="9680" w:type="dxa"/>
            <w:vAlign w:val="bottom"/>
          </w:tcPr>
          <w:p>
            <w:pPr>
              <w:ind w:left="10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1,357,472</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(iii)</w:t>
            </w:r>
          </w:p>
        </w:tc>
        <w:tc>
          <w:tcPr>
            <w:tcW w:w="9680" w:type="dxa"/>
            <w:vAlign w:val="bottom"/>
          </w:tcPr>
          <w:p>
            <w:pPr>
              <w:ind w:left="10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1560" w:type="dxa"/>
            <w:vAlign w:val="bottom"/>
          </w:tcPr>
          <w:p>
            <w:pPr>
              <w:jc w:val="right"/>
              <w:ind w:right="10"/>
              <w:spacing w:after="0"/>
              <w:rPr>
                <w:sz w:val="20"/>
                <w:szCs w:val="20"/>
                <w:color w:val="auto"/>
              </w:rPr>
            </w:pPr>
            <w:r>
              <w:rPr>
                <w:rFonts w:ascii="Arial" w:cs="Arial" w:eastAsia="Arial" w:hAnsi="Arial"/>
                <w:sz w:val="18"/>
                <w:szCs w:val="18"/>
                <w:color w:val="auto"/>
              </w:rPr>
              <w:t>(iv)</w:t>
            </w:r>
          </w:p>
        </w:tc>
        <w:tc>
          <w:tcPr>
            <w:tcW w:w="9680" w:type="dxa"/>
            <w:vAlign w:val="bottom"/>
          </w:tcPr>
          <w:p>
            <w:pPr>
              <w:ind w:left="100"/>
              <w:spacing w:after="0"/>
              <w:rPr>
                <w:sz w:val="20"/>
                <w:szCs w:val="20"/>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1,357,472</w:t>
            </w:r>
          </w:p>
        </w:tc>
      </w:tr>
      <w:tr>
        <w:trPr>
          <w:trHeight w:val="574"/>
        </w:trPr>
        <w:tc>
          <w:tcPr>
            <w:tcW w:w="156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tcPr>
          <w:p>
            <w:pPr>
              <w:ind w:left="3660"/>
              <w:spacing w:after="0"/>
              <w:rPr>
                <w:sz w:val="20"/>
                <w:szCs w:val="20"/>
                <w:color w:val="auto"/>
              </w:rPr>
            </w:pPr>
            <w:r>
              <w:rPr>
                <w:rFonts w:ascii="Arial" w:cs="Arial" w:eastAsia="Arial" w:hAnsi="Arial"/>
                <w:sz w:val="18"/>
                <w:szCs w:val="18"/>
                <w:color w:val="auto"/>
              </w:rPr>
              <w:t>Page 6 of 9</w:t>
            </w:r>
          </w:p>
        </w:tc>
      </w:tr>
    </w:tbl>
    <w:p>
      <w:pPr>
        <w:sectPr>
          <w:pgSz w:w="11900" w:h="16838" w:orient="portrait"/>
          <w:cols w:equalWidth="0" w:num="1">
            <w:col w:w="11240"/>
          </w:cols>
          <w:pgMar w:left="320" w:top="746" w:right="339" w:bottom="1440" w:gutter="0" w:footer="0" w:header="0"/>
        </w:sectPr>
      </w:pPr>
    </w:p>
    <w:bookmarkStart w:id="6" w:name="page7"/>
    <w:bookmarkEnd w:id="6"/>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A.</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746" w:right="5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February 4, 2022</w:t>
      </w:r>
    </w:p>
    <w:p>
      <w:pPr>
        <w:spacing w:after="0" w:line="225"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Sumitomo Mitsui Trust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 Hideaki Takamiya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Hideaki Takamiya / Senior Manager of Risk</w:t>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Management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jc w:val="center"/>
        <w:ind w:left="616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Nikko Asset Management Co.,Ltd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(Company)</w:t>
      </w:r>
    </w:p>
    <w:p>
      <w:pPr>
        <w:spacing w:after="0" w:line="224"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 Masahito Tonegawa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Masahito Tonegawa / Head of Business Regulatory</w:t>
      </w:r>
    </w:p>
    <w:p>
      <w:pPr>
        <w:spacing w:after="0" w:line="23"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8240"/>
        <w:spacing w:after="0"/>
        <w:rPr>
          <w:sz w:val="20"/>
          <w:szCs w:val="20"/>
          <w:color w:val="auto"/>
        </w:rPr>
      </w:pPr>
      <w:r>
        <w:rPr>
          <w:rFonts w:ascii="Arial" w:cs="Arial" w:eastAsia="Arial" w:hAnsi="Arial"/>
          <w:sz w:val="18"/>
          <w:szCs w:val="18"/>
          <w:color w:val="auto"/>
        </w:rPr>
        <w:t>(Name/Title)</w:t>
      </w:r>
    </w:p>
    <w:p>
      <w:pPr>
        <w:spacing w:after="0" w:line="35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42" w:right="799" w:bottom="1440" w:gutter="0" w:footer="0" w:header="0"/>
        </w:sectPr>
      </w:pPr>
    </w:p>
    <w:bookmarkStart w:id="8" w:name="page9"/>
    <w:bookmarkEnd w:id="8"/>
    <w:p>
      <w:pPr>
        <w:jc w:val="center"/>
        <w:ind w:right="-4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Pursuant to the instructions in Item 6 and Item 7 of Schedule 13G, the securities being reported on by each of SMTH and NAM, as parent holding companies, are owned, or may be deemed to be beneficially owned, by their subsidiary Nikko Asset Management Americas, Inc., which is classified as an investment adviser in accordance with §240.13d-1(b)(1)(ii)(E).</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20"/>
      </w:cols>
      <w:pgMar w:left="320" w:top="7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2022-02-04T05:22:29Z</dcterms:created>
  <dcterms:modified xsi:type="dcterms:W3CDTF">2022-02-04T05:22:29Z</dcterms:modified>
</cp:coreProperties>
</file>