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32" w:lineRule="exact"/>
        <w:rPr>
          <w:sz w:val="24"/>
          <w:szCs w:val="24"/>
          <w:color w:val="auto"/>
        </w:rPr>
      </w:pPr>
    </w:p>
    <w:p>
      <w:pPr>
        <w:ind w:left="660"/>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4"/>
          <w:szCs w:val="24"/>
          <w:color w:val="auto"/>
        </w:rPr>
      </w:pPr>
      <w:r>
        <w:rPr>
          <w:sz w:val="24"/>
          <w:szCs w:val="24"/>
          <w:color w:val="auto"/>
        </w:rPr>
        <w:br w:type="column"/>
      </w:r>
    </w:p>
    <w:p>
      <w:pPr>
        <w:ind w:left="1200"/>
        <w:spacing w:after="0"/>
        <w:rPr>
          <w:sz w:val="20"/>
          <w:szCs w:val="20"/>
          <w:color w:val="auto"/>
        </w:rPr>
      </w:pPr>
      <w:r>
        <w:rPr>
          <w:rFonts w:ascii="Arial" w:cs="Arial" w:eastAsia="Arial" w:hAnsi="Arial"/>
          <w:sz w:val="16"/>
          <w:szCs w:val="16"/>
          <w:b w:val="1"/>
          <w:bCs w:val="1"/>
          <w:color w:val="auto"/>
        </w:rPr>
        <w:t>Rule 424(b)(4)</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No. 333 – 191714</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No. 333 – 191891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157480</wp:posOffset>
            </wp:positionV>
            <wp:extent cx="162052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0520" cy="51435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400" w:space="720"/>
            <w:col w:w="2300"/>
          </w:cols>
          <w:pgMar w:left="240" w:top="472"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2,000,000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This is a public offering of our ordinary shares.</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Our ordinary shares are listed on the NASDAQ Capital Market under the symbol "ADHD." The last reported sale price of our ordinary shares on October 24, 2013 was $17.10 per share. We are offering all of the ordinary shares offered by this prospectus.</w:t>
      </w:r>
    </w:p>
    <w:p>
      <w:pPr>
        <w:spacing w:after="0" w:line="170"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will be subject to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Investing in our ordinary shares involves a high degree of risk. See “Risk Factors” beginning on page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Per Share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Public offering price</w:t>
            </w:r>
          </w:p>
        </w:tc>
        <w:tc>
          <w:tcPr>
            <w:tcW w:w="25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16.50</w:t>
            </w:r>
          </w:p>
        </w:tc>
        <w:tc>
          <w:tcPr>
            <w:tcW w:w="2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33,000,000</w:t>
            </w: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2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0.99</w:t>
            </w:r>
          </w:p>
        </w:tc>
        <w:tc>
          <w:tcPr>
            <w:tcW w:w="44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1,980,000</w:t>
            </w:r>
          </w:p>
        </w:tc>
        <w:tc>
          <w:tcPr>
            <w:tcW w:w="12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Proceeds to us (before expenses)</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15.51</w:t>
            </w:r>
          </w:p>
        </w:tc>
        <w:tc>
          <w:tcPr>
            <w:tcW w:w="44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31,020,000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940" w:firstLine="8"/>
        <w:spacing w:after="0" w:line="27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underwriting discounts and commissions payable by us, we have agreed to reimburse the underwriters for certain expenses. See “Underwriting”.</w:t>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We have granted a 30-day option to the underwriters to purchase up to 300,000 additional ordinary shares solely to cover over-allotments, if any ..</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underwriters expect to deliver the shares to purchasers in the offering on or about October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9060" w:type="dxa"/>
            <w:vAlign w:val="bottom"/>
          </w:tcPr>
          <w:p>
            <w:pPr>
              <w:jc w:val="center"/>
              <w:ind w:right="2228"/>
              <w:spacing w:after="0"/>
              <w:rPr>
                <w:sz w:val="20"/>
                <w:szCs w:val="20"/>
                <w:color w:val="auto"/>
              </w:rPr>
            </w:pPr>
            <w:r>
              <w:rPr>
                <w:rFonts w:ascii="Arial" w:cs="Arial" w:eastAsia="Arial" w:hAnsi="Arial"/>
                <w:sz w:val="18"/>
                <w:szCs w:val="18"/>
                <w:i w:val="1"/>
                <w:iCs w:val="1"/>
                <w:color w:val="auto"/>
                <w:w w:val="91"/>
              </w:rPr>
              <w:t>Joint Book Running Managers</w:t>
            </w:r>
          </w:p>
        </w:tc>
      </w:tr>
      <w:tr>
        <w:trPr>
          <w:trHeight w:val="596"/>
        </w:trPr>
        <w:tc>
          <w:tcPr>
            <w:tcW w:w="2360" w:type="dxa"/>
            <w:vAlign w:val="bottom"/>
          </w:tcPr>
          <w:p>
            <w:pPr>
              <w:spacing w:after="0"/>
              <w:rPr>
                <w:sz w:val="20"/>
                <w:szCs w:val="20"/>
                <w:color w:val="auto"/>
              </w:rPr>
            </w:pPr>
            <w:r>
              <w:rPr>
                <w:rFonts w:ascii="Arial" w:cs="Arial" w:eastAsia="Arial" w:hAnsi="Arial"/>
                <w:sz w:val="32"/>
                <w:szCs w:val="32"/>
                <w:b w:val="1"/>
                <w:bCs w:val="1"/>
                <w:color w:val="auto"/>
              </w:rPr>
              <w:t>Stifel</w:t>
            </w:r>
          </w:p>
        </w:tc>
        <w:tc>
          <w:tcPr>
            <w:tcW w:w="9060" w:type="dxa"/>
            <w:vAlign w:val="bottom"/>
          </w:tcPr>
          <w:p>
            <w:pPr>
              <w:ind w:left="6400"/>
              <w:spacing w:after="0"/>
              <w:rPr>
                <w:sz w:val="20"/>
                <w:szCs w:val="20"/>
                <w:color w:val="auto"/>
              </w:rPr>
            </w:pPr>
            <w:r>
              <w:rPr>
                <w:rFonts w:ascii="Arial" w:cs="Arial" w:eastAsia="Arial" w:hAnsi="Arial"/>
                <w:sz w:val="32"/>
                <w:szCs w:val="32"/>
                <w:b w:val="1"/>
                <w:bCs w:val="1"/>
                <w:color w:val="auto"/>
                <w:w w:val="92"/>
              </w:rPr>
              <w:t>Aegis Capital Corp</w:t>
            </w:r>
          </w:p>
        </w:tc>
      </w:tr>
      <w:tr>
        <w:trPr>
          <w:trHeight w:val="394"/>
        </w:trPr>
        <w:tc>
          <w:tcPr>
            <w:tcW w:w="2360" w:type="dxa"/>
            <w:vAlign w:val="bottom"/>
          </w:tcPr>
          <w:p>
            <w:pPr>
              <w:spacing w:after="0"/>
              <w:rPr>
                <w:sz w:val="24"/>
                <w:szCs w:val="24"/>
                <w:color w:val="auto"/>
              </w:rPr>
            </w:pPr>
          </w:p>
        </w:tc>
        <w:tc>
          <w:tcPr>
            <w:tcW w:w="9060" w:type="dxa"/>
            <w:vAlign w:val="bottom"/>
          </w:tcPr>
          <w:p>
            <w:pPr>
              <w:jc w:val="center"/>
              <w:ind w:right="2248"/>
              <w:spacing w:after="0"/>
              <w:rPr>
                <w:sz w:val="20"/>
                <w:szCs w:val="20"/>
                <w:color w:val="auto"/>
              </w:rPr>
            </w:pPr>
            <w:r>
              <w:rPr>
                <w:rFonts w:ascii="Arial" w:cs="Arial" w:eastAsia="Arial" w:hAnsi="Arial"/>
                <w:sz w:val="18"/>
                <w:szCs w:val="18"/>
                <w:i w:val="1"/>
                <w:iCs w:val="1"/>
                <w:color w:val="auto"/>
                <w:w w:val="92"/>
              </w:rPr>
              <w:t>Co-Lead Manager</w:t>
            </w:r>
          </w:p>
        </w:tc>
      </w:tr>
      <w:tr>
        <w:trPr>
          <w:trHeight w:val="329"/>
        </w:trPr>
        <w:tc>
          <w:tcPr>
            <w:tcW w:w="2360" w:type="dxa"/>
            <w:vAlign w:val="bottom"/>
          </w:tcPr>
          <w:p>
            <w:pPr>
              <w:spacing w:after="0"/>
              <w:rPr>
                <w:sz w:val="24"/>
                <w:szCs w:val="24"/>
                <w:color w:val="auto"/>
              </w:rPr>
            </w:pPr>
          </w:p>
        </w:tc>
        <w:tc>
          <w:tcPr>
            <w:tcW w:w="9060" w:type="dxa"/>
            <w:vAlign w:val="bottom"/>
          </w:tcPr>
          <w:p>
            <w:pPr>
              <w:jc w:val="center"/>
              <w:ind w:right="2248"/>
              <w:spacing w:after="0"/>
              <w:rPr>
                <w:sz w:val="20"/>
                <w:szCs w:val="20"/>
                <w:color w:val="auto"/>
              </w:rPr>
            </w:pPr>
            <w:r>
              <w:rPr>
                <w:rFonts w:ascii="Arial" w:cs="Arial" w:eastAsia="Arial" w:hAnsi="Arial"/>
                <w:sz w:val="25"/>
                <w:szCs w:val="25"/>
                <w:b w:val="1"/>
                <w:bCs w:val="1"/>
                <w:color w:val="auto"/>
                <w:w w:val="91"/>
              </w:rPr>
              <w:t>JMP Securities</w:t>
            </w:r>
          </w:p>
        </w:tc>
      </w:tr>
      <w:tr>
        <w:trPr>
          <w:trHeight w:val="424"/>
        </w:trPr>
        <w:tc>
          <w:tcPr>
            <w:tcW w:w="2360" w:type="dxa"/>
            <w:vAlign w:val="bottom"/>
          </w:tcPr>
          <w:p>
            <w:pPr>
              <w:spacing w:after="0"/>
              <w:rPr>
                <w:sz w:val="24"/>
                <w:szCs w:val="24"/>
                <w:color w:val="auto"/>
              </w:rPr>
            </w:pPr>
          </w:p>
        </w:tc>
        <w:tc>
          <w:tcPr>
            <w:tcW w:w="9060" w:type="dxa"/>
            <w:vAlign w:val="bottom"/>
          </w:tcPr>
          <w:p>
            <w:pPr>
              <w:jc w:val="center"/>
              <w:ind w:right="2248"/>
              <w:spacing w:after="0"/>
              <w:rPr>
                <w:sz w:val="20"/>
                <w:szCs w:val="20"/>
                <w:color w:val="auto"/>
              </w:rPr>
            </w:pPr>
            <w:r>
              <w:rPr>
                <w:rFonts w:ascii="Arial" w:cs="Arial" w:eastAsia="Arial" w:hAnsi="Arial"/>
                <w:sz w:val="18"/>
                <w:szCs w:val="18"/>
                <w:color w:val="auto"/>
                <w:w w:val="90"/>
              </w:rPr>
              <w:t>The date of this prospectus is October 24, 2013.</w:t>
            </w:r>
          </w:p>
        </w:tc>
      </w:tr>
      <w:tr>
        <w:trPr>
          <w:trHeight w:val="648"/>
        </w:trPr>
        <w:tc>
          <w:tcPr>
            <w:tcW w:w="236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763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76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980" w:type="dxa"/>
            <w:vAlign w:val="bottom"/>
          </w:tcPr>
          <w:p>
            <w:pPr>
              <w:ind w:left="1040"/>
              <w:spacing w:after="0"/>
              <w:rPr>
                <w:sz w:val="20"/>
                <w:szCs w:val="20"/>
                <w:color w:val="auto"/>
              </w:rPr>
            </w:pPr>
            <w:r>
              <w:rPr>
                <w:rFonts w:ascii="Arial" w:cs="Arial" w:eastAsia="Arial" w:hAnsi="Arial"/>
                <w:sz w:val="18"/>
                <w:szCs w:val="18"/>
                <w:b w:val="1"/>
                <w:bCs w:val="1"/>
                <w:color w:val="auto"/>
              </w:rPr>
              <w:t>TABLE OF CONTENTS</w:t>
            </w:r>
          </w:p>
        </w:tc>
        <w:tc>
          <w:tcPr>
            <w:tcW w:w="372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72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Prospectus Summary</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3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Cautionary Note Regarding Forward-Looking Statements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Price History of Our Ordinary Shares</w:t>
            </w:r>
          </w:p>
        </w:tc>
        <w:tc>
          <w:tcPr>
            <w:tcW w:w="3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Dividend Policy</w:t>
            </w:r>
          </w:p>
        </w:tc>
        <w:tc>
          <w:tcPr>
            <w:tcW w:w="3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Capitalization</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Dilution</w:t>
            </w:r>
          </w:p>
        </w:tc>
        <w:tc>
          <w:tcPr>
            <w:tcW w:w="3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Selected Financial Data</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Business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3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Principal Shareholders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Description of Share Capital</w:t>
            </w:r>
          </w:p>
        </w:tc>
        <w:tc>
          <w:tcPr>
            <w:tcW w:w="37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Shares Eligible for Future Sale</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Taxation</w:t>
            </w:r>
          </w:p>
        </w:tc>
        <w:tc>
          <w:tcPr>
            <w:tcW w:w="37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Underwriting</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7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Legal Matters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Experts</w:t>
            </w:r>
          </w:p>
        </w:tc>
        <w:tc>
          <w:tcPr>
            <w:tcW w:w="37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Enforceability of Civil Liabilities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Where You Can Find Additional Information</w:t>
            </w:r>
          </w:p>
        </w:tc>
        <w:tc>
          <w:tcPr>
            <w:tcW w:w="37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Index of Financial Statements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F-1</w:t>
            </w:r>
          </w:p>
        </w:tc>
      </w:tr>
      <w:tr>
        <w:trPr>
          <w:trHeight w:val="216"/>
        </w:trPr>
        <w:tc>
          <w:tcPr>
            <w:tcW w:w="372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bl>
    <w:p>
      <w:pPr>
        <w:spacing w:after="0" w:line="211" w:lineRule="exact"/>
        <w:rPr>
          <w:sz w:val="20"/>
          <w:szCs w:val="20"/>
          <w:color w:val="auto"/>
        </w:rPr>
      </w:pPr>
    </w:p>
    <w:p>
      <w:pPr>
        <w:ind w:firstLine="401"/>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55" w:lineRule="exact"/>
        <w:rPr>
          <w:sz w:val="20"/>
          <w:szCs w:val="20"/>
          <w:color w:val="auto"/>
        </w:rPr>
      </w:pPr>
    </w:p>
    <w:p>
      <w:pPr>
        <w:jc w:val="both"/>
        <w:ind w:right="240" w:firstLine="401"/>
        <w:spacing w:after="0" w:line="264" w:lineRule="auto"/>
        <w:rPr>
          <w:sz w:val="20"/>
          <w:szCs w:val="20"/>
          <w:color w:val="auto"/>
        </w:rPr>
      </w:pPr>
      <w:r>
        <w:rPr>
          <w:rFonts w:ascii="Arial" w:cs="Arial" w:eastAsia="Arial" w:hAnsi="Arial"/>
          <w:sz w:val="18"/>
          <w:szCs w:val="18"/>
          <w:color w:val="auto"/>
        </w:rPr>
        <w:t>Until and including November 18, 2013, 25 days after the date of this prospectus, all dealers that buy, sell or trade our ordinary shares,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81" w:lineRule="exact"/>
        <w:rPr>
          <w:sz w:val="20"/>
          <w:szCs w:val="20"/>
          <w:color w:val="auto"/>
        </w:rPr>
      </w:pPr>
    </w:p>
    <w:p>
      <w:pPr>
        <w:ind w:right="220" w:firstLine="401"/>
        <w:spacing w:after="0" w:line="264"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this prospectus, “we,” “us,” “our,” the “Company” and “Alcobra” refer to Alcobra Ltd. and its wholly owned subsidiary, Alcobra, Inc.</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reporting currency and functional currency is the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60" w:firstLine="396"/>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firstLine="389"/>
        <w:spacing w:after="0" w:line="288"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candidate, MG01CI, to treat both adult and pediatric Attention Deficit Hyperactivity Disorder, or ADHD, and other potential cognitive dysfunctions, including Fragile X Syndrome, or Fragile X. The most common currently available treatments for ADHD are stimulants that increase the brain chemicals dopamine and norepinephrine.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only in immediate release forms for the acute treatment of alcohol intoxication and the chronic treatment of alcoholic liver disease in Italy, Portugal, Hungary, Russia, India, China, Mexico and Thailand. In September 2011, we completed a 120 subject double-blind placebo-controlled Phase 2 study in Israel in adult ADHD subjects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9" w:lineRule="exact"/>
        <w:rPr>
          <w:sz w:val="20"/>
          <w:szCs w:val="20"/>
          <w:color w:val="auto"/>
        </w:rPr>
      </w:pPr>
    </w:p>
    <w:p>
      <w:pPr>
        <w:ind w:firstLine="389"/>
        <w:spacing w:after="0" w:line="302" w:lineRule="auto"/>
        <w:rPr>
          <w:sz w:val="20"/>
          <w:szCs w:val="20"/>
          <w:color w:val="auto"/>
        </w:rPr>
      </w:pPr>
      <w:r>
        <w:rPr>
          <w:rFonts w:ascii="Arial" w:cs="Arial" w:eastAsia="Arial" w:hAnsi="Arial"/>
          <w:sz w:val="16"/>
          <w:szCs w:val="16"/>
          <w:color w:val="auto"/>
        </w:rPr>
        <w:t>We have initiated discussions with the U.S. Food and Drug Administration, or FDA,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w:t>
      </w:r>
    </w:p>
    <w:p>
      <w:pPr>
        <w:spacing w:after="0" w:line="154" w:lineRule="exact"/>
        <w:rPr>
          <w:sz w:val="20"/>
          <w:szCs w:val="20"/>
          <w:color w:val="auto"/>
        </w:rPr>
      </w:pPr>
    </w:p>
    <w:p>
      <w:pPr>
        <w:jc w:val="both"/>
        <w:ind w:right="40" w:firstLine="389"/>
        <w:spacing w:after="0" w:line="264" w:lineRule="auto"/>
        <w:rPr>
          <w:sz w:val="20"/>
          <w:szCs w:val="20"/>
          <w:color w:val="auto"/>
        </w:rPr>
      </w:pPr>
      <w:r>
        <w:rPr>
          <w:rFonts w:ascii="Arial" w:cs="Arial" w:eastAsia="Arial" w:hAnsi="Arial"/>
          <w:sz w:val="18"/>
          <w:szCs w:val="18"/>
          <w:color w:val="auto"/>
        </w:rPr>
        <w:t>Subject to obtaining the necessary regulatory clearances, we further plan to conduct a Phase I/II study in children and adolescents with ADHD in 2014, followed by a Phase 3 study in this population in 2015, and, if the data supports it, proceed to request a marketing authorization. The requirements to conduct pediatric clinical trials are more stringent than those for adults.</w:t>
      </w:r>
    </w:p>
    <w:p>
      <w:pPr>
        <w:spacing w:after="0" w:line="181" w:lineRule="exact"/>
        <w:rPr>
          <w:sz w:val="20"/>
          <w:szCs w:val="20"/>
          <w:color w:val="auto"/>
        </w:rPr>
      </w:pPr>
    </w:p>
    <w:p>
      <w:pPr>
        <w:ind w:right="26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right="40" w:firstLine="389"/>
        <w:spacing w:after="0" w:line="268" w:lineRule="auto"/>
        <w:rPr>
          <w:sz w:val="20"/>
          <w:szCs w:val="20"/>
          <w:color w:val="auto"/>
        </w:rPr>
      </w:pPr>
      <w:r>
        <w:rPr>
          <w:rFonts w:ascii="Arial" w:cs="Arial" w:eastAsia="Arial" w:hAnsi="Arial"/>
          <w:sz w:val="17"/>
          <w:szCs w:val="17"/>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approved in 2002. This drug also has significant side effects, such as fatigue, decreased appetite, sexual problems, palpitations, increased heart rate and high blood pressure and also has regulatory warning labels relating to suicidal thoughts and liver damage. Moreover, Strattera takes six to 10 weeks to achieve full clinical effectiveness. More recently, two additional non-stimulant medications were approved for use only in children and adolescents (Intuniv (Guanfacine) and Kapvay (Clonidine)). These two drugs are not approved for adults and have not had significant commercial success. All approved ADHD drugs need to be carefully monitored by the treating physician to optimize the dose, starting with a low dose and slowly escalating to the most effective and tolerable dose.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4" w:name="page5"/>
    <w:bookmarkEnd w:id="4"/>
    <w:p>
      <w:pPr>
        <w:ind w:firstLine="389"/>
        <w:spacing w:after="0" w:line="276" w:lineRule="auto"/>
        <w:rPr>
          <w:sz w:val="20"/>
          <w:szCs w:val="20"/>
          <w:color w:val="auto"/>
        </w:rPr>
      </w:pPr>
      <w:r>
        <w:rPr>
          <w:rFonts w:ascii="Arial" w:cs="Arial" w:eastAsia="Arial" w:hAnsi="Arial"/>
          <w:sz w:val="17"/>
          <w:szCs w:val="17"/>
          <w:color w:val="auto"/>
        </w:rPr>
        <w:t>In contrast to the most common available treatments which involve the use of stimulants, MG01CI is a non-stimulant with a differentiated mechanism of action that is neither dopaminergic (related to dopamine) nor noradrenergic (related to norepinephrine). Our 120 subject Phase 2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w:t>
      </w:r>
    </w:p>
    <w:p>
      <w:pPr>
        <w:spacing w:after="0" w:line="173" w:lineRule="exact"/>
        <w:rPr>
          <w:sz w:val="20"/>
          <w:szCs w:val="20"/>
          <w:color w:val="auto"/>
        </w:rPr>
      </w:pPr>
    </w:p>
    <w:p>
      <w:pPr>
        <w:ind w:right="320" w:firstLine="389"/>
        <w:spacing w:after="0" w:line="259" w:lineRule="auto"/>
        <w:rPr>
          <w:sz w:val="20"/>
          <w:szCs w:val="20"/>
          <w:color w:val="auto"/>
        </w:rPr>
      </w:pPr>
      <w:r>
        <w:rPr>
          <w:rFonts w:ascii="Arial" w:cs="Arial" w:eastAsia="Arial" w:hAnsi="Arial"/>
          <w:sz w:val="18"/>
          <w:szCs w:val="18"/>
          <w:color w:val="auto"/>
        </w:rPr>
        <w:t>In addition, because of its unique mechanism of action and specific clinical effect on inattention and executive function, we believe that MG01CI possibly may be useful in treating additional cognitive disorders. Accordingly, recently we have completed a pre-clinical study evaluating MG01CI in the standard mouse model of Fragile X (FMR1 knockout mouse). The study showed significant improvement in cognitive and social functioning following treatment with MG01CI in the Fragile X model.</w:t>
      </w:r>
    </w:p>
    <w:p>
      <w:pPr>
        <w:spacing w:after="0" w:line="187" w:lineRule="exact"/>
        <w:rPr>
          <w:sz w:val="20"/>
          <w:szCs w:val="20"/>
          <w:color w:val="auto"/>
        </w:rPr>
      </w:pPr>
    </w:p>
    <w:p>
      <w:pPr>
        <w:ind w:right="120" w:firstLine="389"/>
        <w:spacing w:after="0" w:line="272" w:lineRule="auto"/>
        <w:rPr>
          <w:sz w:val="20"/>
          <w:szCs w:val="20"/>
          <w:color w:val="auto"/>
        </w:rPr>
      </w:pPr>
      <w:r>
        <w:rPr>
          <w:rFonts w:ascii="Arial" w:cs="Arial" w:eastAsia="Arial" w:hAnsi="Arial"/>
          <w:sz w:val="17"/>
          <w:szCs w:val="17"/>
          <w:color w:val="auto"/>
        </w:rPr>
        <w:t>Fragile X, an unmet medical need and a rare disease, as such term is defined by the Orphan Drug Act, is the most common single-gene cause of autism and inherited cause of intellectual disability among boys. Approximately one in 4,000 males and one in 8,000 females have Fragile X, according to the U.S. Centers for Disease Control and Prevention (CDC). Not everyone with the mutation will show signs or symptoms of Fragile X, and disabilities will range from mild to severe and may include physical characteristics such as an elongated face, large or protruding ears and large testes (macro-orchidism) and behavioral characteristics such as stereotypic movements (e.g., hand-flapping), problems with attention and hyperactivity and social anxiety. A majority of individuals with Fragile X will have either Autism Spectrum Disorder or autistic symptoms, and will have varying levels of cognitive impairment. The FDA has not approved any drugs specifically for the treatment of Fragile X or its symptoms.</w:t>
      </w:r>
    </w:p>
    <w:p>
      <w:pPr>
        <w:spacing w:after="0" w:line="178" w:lineRule="exact"/>
        <w:rPr>
          <w:sz w:val="20"/>
          <w:szCs w:val="20"/>
          <w:color w:val="auto"/>
        </w:rPr>
      </w:pPr>
    </w:p>
    <w:p>
      <w:pPr>
        <w:ind w:right="80" w:firstLine="389"/>
        <w:spacing w:after="0" w:line="279" w:lineRule="auto"/>
        <w:rPr>
          <w:sz w:val="20"/>
          <w:szCs w:val="20"/>
          <w:color w:val="auto"/>
        </w:rPr>
      </w:pPr>
      <w:r>
        <w:rPr>
          <w:rFonts w:ascii="Arial" w:cs="Arial" w:eastAsia="Arial" w:hAnsi="Arial"/>
          <w:sz w:val="17"/>
          <w:szCs w:val="17"/>
          <w:color w:val="auto"/>
        </w:rPr>
        <w:t>The Fragile X study we completed included multiple behavioral assessments of 40 mice, comprising 20 Fragile X knock-out mice and 20 control littermate mice that were treated with MG01CI or a placebo. The data showed significant improvement in behavioral outcomes assessed with this animal model, including contextual fear conditioning (a test primarily evaluating memory and learning), social interaction, and Y-maze alternation (a test of learning and perseverance). The individuals who rated these tests were not aware of the treatment each mouse received.</w:t>
      </w:r>
    </w:p>
    <w:p>
      <w:pPr>
        <w:spacing w:after="0" w:line="171" w:lineRule="exact"/>
        <w:rPr>
          <w:sz w:val="20"/>
          <w:szCs w:val="20"/>
          <w:color w:val="auto"/>
        </w:rPr>
      </w:pPr>
    </w:p>
    <w:p>
      <w:pPr>
        <w:ind w:right="420" w:firstLine="389"/>
        <w:spacing w:after="0" w:line="277" w:lineRule="auto"/>
        <w:rPr>
          <w:sz w:val="20"/>
          <w:szCs w:val="20"/>
          <w:color w:val="auto"/>
        </w:rPr>
      </w:pPr>
      <w:r>
        <w:rPr>
          <w:rFonts w:ascii="Arial" w:cs="Arial" w:eastAsia="Arial" w:hAnsi="Arial"/>
          <w:sz w:val="18"/>
          <w:szCs w:val="18"/>
          <w:color w:val="auto"/>
        </w:rPr>
        <w:t>We believe that the positive outcomes we reported in this animal model warrant investigation in clinical trials to evaluate the safety and efficacy of MG01CI for treatment of Fragile X. We plan to initiate such clinical studies in 2014.</w:t>
      </w:r>
    </w:p>
    <w:p>
      <w:pPr>
        <w:spacing w:after="0" w:line="170" w:lineRule="exact"/>
        <w:rPr>
          <w:sz w:val="20"/>
          <w:szCs w:val="20"/>
          <w:color w:val="auto"/>
        </w:rPr>
      </w:pPr>
    </w:p>
    <w:p>
      <w:pPr>
        <w:ind w:right="640" w:firstLine="389"/>
        <w:spacing w:after="0" w:line="277" w:lineRule="auto"/>
        <w:rPr>
          <w:sz w:val="20"/>
          <w:szCs w:val="20"/>
          <w:color w:val="auto"/>
        </w:rPr>
      </w:pPr>
      <w:r>
        <w:rPr>
          <w:rFonts w:ascii="Arial" w:cs="Arial" w:eastAsia="Arial" w:hAnsi="Arial"/>
          <w:sz w:val="18"/>
          <w:szCs w:val="18"/>
          <w:color w:val="auto"/>
        </w:rPr>
        <w:t>We have multiple claims in our issued patent as well as other U.S. pending patent applications that, if issued, would prevent the use by others of Metadoxine to treat ADHD, Fragile X and other cognitive disorders.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firstLine="376"/>
        <w:spacing w:after="0" w:line="255" w:lineRule="auto"/>
        <w:rPr>
          <w:sz w:val="20"/>
          <w:szCs w:val="20"/>
          <w:color w:val="auto"/>
        </w:rPr>
      </w:pPr>
      <w:r>
        <w:rPr>
          <w:rFonts w:ascii="Arial" w:cs="Arial" w:eastAsia="Arial" w:hAnsi="Arial"/>
          <w:sz w:val="18"/>
          <w:szCs w:val="18"/>
          <w:color w:val="auto"/>
        </w:rPr>
        <w:t>Our objective is to develop and commercialize proprietary pharmaceutical products for the treatment of central nervous system disorders and cognitive dysfunctions in particular. To this effect, we intend to conduct additional clinical trials for MG01CI and, if those trials are successful, seek marketing approval from the FDA and other worldwide regulatory bodies for MG01CI for the treatment of ADHD in adults, children and adolescents. We also plan to advance clinical studies and commercialization plans for MG01CI in additional indications of cognitive dysfunction which present significant market opportunities such as Fragile X (a rare disease, as such term is defined by the Orphan Drug Act) and Shift Work Sleep Disorder, a cognitive disorder associated with an abnormal sleep pattern.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 w:name="page6"/>
    <w:bookmarkEnd w:id="5"/>
    <w:p>
      <w:pPr>
        <w:ind w:left="380"/>
        <w:spacing w:after="0"/>
        <w:rPr>
          <w:sz w:val="20"/>
          <w:szCs w:val="20"/>
          <w:color w:val="auto"/>
        </w:rPr>
      </w:pPr>
      <w:r>
        <w:rPr>
          <w:rFonts w:ascii="Arial" w:cs="Arial" w:eastAsia="Arial" w:hAnsi="Arial"/>
          <w:sz w:val="18"/>
          <w:szCs w:val="18"/>
          <w:color w:val="auto"/>
        </w:rPr>
        <w:t>To achieve these objectives, we plan to:</w:t>
      </w:r>
    </w:p>
    <w:p>
      <w:pPr>
        <w:spacing w:after="0" w:line="225" w:lineRule="exact"/>
        <w:rPr>
          <w:sz w:val="20"/>
          <w:szCs w:val="20"/>
          <w:color w:val="auto"/>
        </w:rPr>
      </w:pPr>
    </w:p>
    <w:p>
      <w:pPr>
        <w:ind w:left="660" w:right="2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receiving the necessary regulatory approvals, initiate and complete two Phase 3 clinical trials of MG01CI for the treatment of ADHD in adults, and, if they are successful, file for marketing approval for adults initially in the U.S. and the EU;</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receiving the necessary regulatory approvals, initiate and complete clinical trials in a pediatric ADHD population, and, if successful, file for marketing approval for that use in the U.S. and EU;</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pending securing additional funding and subject to receiving the necessary regulatory approvals, initiate and complete clinical trials in Japan for both adult and pediatric ADHD, and, if successful, file for marketing approval of such uses in that country;</w:t>
      </w:r>
    </w:p>
    <w:p>
      <w:pPr>
        <w:spacing w:after="0" w:line="170"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receive marketing approval, 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conduct clinical investigations into the possible use of MG01CI to treat other cognitive disorders and impairments such as Fragile X and Shift Work Sleep Disorder;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are an Israeli corporation based in Tel Aviv and were incorporated in 2008. Our principal executive offices are located at Amot Investment Building, 2 Weizman St. 9th Floor, Tel Aviv 6423902 Israel, and our telephone number is +972 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87"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We are an “emerging growth company,” as defined in Section 2(a) of the Securities Act of 1933, or the Securities Act, as modified by the Jumpstart Our Business Startups Act of 2012, or the JOBS Act. As such, we are eligible to, and intend to, take advantage of certain exemptions from various reporting requirements applicable to other public companies that are not “emerging growth companies” such as not being required to comply with the auditor attestation requirements of Section 404 of the Sarbanes-Oxley Act of 2002.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ordinary shares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business is subject to numerous risks, as more fully described in the section entitled “Risk Factors” immediately following this prospectus summary.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these risks before you invest in our ordinary shares. In particular, our risks include, but are not limited to, the following:</w:t>
      </w:r>
    </w:p>
    <w:p>
      <w:pPr>
        <w:spacing w:after="0" w:line="211" w:lineRule="exact"/>
        <w:rPr>
          <w:sz w:val="20"/>
          <w:szCs w:val="20"/>
          <w:color w:val="auto"/>
        </w:rPr>
      </w:pPr>
    </w:p>
    <w:p>
      <w:pPr>
        <w:ind w:left="660" w:right="24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entirely on the success of our only current product candidate, MG01CI, for the treatment of ADHD and other cognitive disorders. We have not received FDA approval to conduct the clinical trials that are necessary to receive regulatory approval to market MG01CI. We require additional and more complex clinical trials of MG01CI that must be successful if we are to seek and obtain regulatory marketing clearances. Advanced clinical trials are often not successful even if prior trials were successful, and even if we are able to conduct advanced clinical trials and those trials are successful, we may not obtain necessary regulatory approvals for MG01CI or we may be unable to successfully commercialize it even if we receive the necessary regulatory approvals.</w:t>
      </w:r>
    </w:p>
    <w:p>
      <w:pPr>
        <w:spacing w:after="0" w:line="193"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data from future clinical trials may not satisfy the FDA, or the FDA may require additional time or studies to assess the safety and efficacy of MG01CI.</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ind w:left="660" w:right="4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date, we have not generated revenue from the sale of any product, and we do not expect to generate significant revenue unless and until we obtain marketing approval of, and commercialize, MG01CI. We are unable to predict the extent of future losses or when we will become profitable based on the sale of any product, if at all. Even if we succeed in developing and commercializing our product candidate, we may never generate sufficient revenue to sustain profitability. As of June 30, 2013, we had an accumulated deficit of $9.9 million.</w:t>
      </w:r>
    </w:p>
    <w:p>
      <w:pPr>
        <w:spacing w:after="0" w:line="17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 sources of revenue and may need to raise substantial additional capital to successfully commercialize MG01CI, and such capital may not be available to us or available only on unfavorable terms.</w:t>
      </w:r>
    </w:p>
    <w:p>
      <w:pPr>
        <w:spacing w:after="0" w:line="170"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one issued patent in the United States relating to our MG01CI technology and have filed patent applications with the U.S. Patent and Trademark Office, or U.S. PTO, and in other jurisdictions around the world. Our patent applications may not result in issued patents, and, even if issued, those patents may be challenged by our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88"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public company, we need to comply with extensive additional governmental regulations, which will be expensive and which will require significant management attention.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tcPr>
          <w:p>
            <w:pPr>
              <w:ind w:left="98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Ordinary shares offered by us</w:t>
            </w:r>
          </w:p>
        </w:tc>
        <w:tc>
          <w:tcPr>
            <w:tcW w:w="7380" w:type="dxa"/>
            <w:vAlign w:val="bottom"/>
          </w:tcPr>
          <w:p>
            <w:pPr>
              <w:ind w:left="320"/>
              <w:spacing w:after="0"/>
              <w:rPr>
                <w:sz w:val="20"/>
                <w:szCs w:val="20"/>
                <w:color w:val="auto"/>
              </w:rPr>
            </w:pPr>
            <w:r>
              <w:rPr>
                <w:rFonts w:ascii="Arial" w:cs="Arial" w:eastAsia="Arial" w:hAnsi="Arial"/>
                <w:sz w:val="18"/>
                <w:szCs w:val="18"/>
                <w:color w:val="auto"/>
              </w:rPr>
              <w:t>2,000,000 shares</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w w:val="97"/>
              </w:rPr>
              <w:t>Ordinary shares to be outstanding after this offering</w:t>
            </w:r>
          </w:p>
        </w:tc>
        <w:tc>
          <w:tcPr>
            <w:tcW w:w="7380" w:type="dxa"/>
            <w:vAlign w:val="bottom"/>
          </w:tcPr>
          <w:p>
            <w:pPr>
              <w:ind w:left="320"/>
              <w:spacing w:after="0"/>
              <w:rPr>
                <w:sz w:val="20"/>
                <w:szCs w:val="20"/>
                <w:color w:val="auto"/>
              </w:rPr>
            </w:pPr>
            <w:r>
              <w:rPr>
                <w:rFonts w:ascii="Arial" w:cs="Arial" w:eastAsia="Arial" w:hAnsi="Arial"/>
                <w:sz w:val="18"/>
                <w:szCs w:val="18"/>
                <w:color w:val="auto"/>
              </w:rPr>
              <w:t>13,128,001 shares</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Over-allotment option</w:t>
            </w:r>
          </w:p>
        </w:tc>
        <w:tc>
          <w:tcPr>
            <w:tcW w:w="7380" w:type="dxa"/>
            <w:vAlign w:val="bottom"/>
          </w:tcPr>
          <w:p>
            <w:pPr>
              <w:ind w:left="300"/>
              <w:spacing w:after="0"/>
              <w:rPr>
                <w:sz w:val="20"/>
                <w:szCs w:val="20"/>
                <w:color w:val="auto"/>
              </w:rPr>
            </w:pPr>
            <w:r>
              <w:rPr>
                <w:rFonts w:ascii="Arial" w:cs="Arial" w:eastAsia="Arial" w:hAnsi="Arial"/>
                <w:sz w:val="18"/>
                <w:szCs w:val="18"/>
                <w:color w:val="auto"/>
                <w:w w:val="95"/>
              </w:rPr>
              <w:t>The underwriters have an option for a period of 30 days to purchase up to 300,000 additional</w:t>
            </w:r>
          </w:p>
        </w:tc>
      </w:tr>
      <w:tr>
        <w:trPr>
          <w:trHeight w:val="230"/>
        </w:trPr>
        <w:tc>
          <w:tcPr>
            <w:tcW w:w="4040" w:type="dxa"/>
            <w:vAlign w:val="bottom"/>
          </w:tcPr>
          <w:p>
            <w:pPr>
              <w:spacing w:after="0"/>
              <w:rPr>
                <w:sz w:val="20"/>
                <w:szCs w:val="20"/>
                <w:color w:val="auto"/>
              </w:rPr>
            </w:pPr>
          </w:p>
        </w:tc>
        <w:tc>
          <w:tcPr>
            <w:tcW w:w="7380" w:type="dxa"/>
            <w:vAlign w:val="bottom"/>
          </w:tcPr>
          <w:p>
            <w:pPr>
              <w:ind w:left="300"/>
              <w:spacing w:after="0"/>
              <w:rPr>
                <w:sz w:val="20"/>
                <w:szCs w:val="20"/>
                <w:color w:val="auto"/>
              </w:rPr>
            </w:pPr>
            <w:r>
              <w:rPr>
                <w:rFonts w:ascii="Arial" w:cs="Arial" w:eastAsia="Arial" w:hAnsi="Arial"/>
                <w:sz w:val="18"/>
                <w:szCs w:val="18"/>
                <w:color w:val="auto"/>
              </w:rPr>
              <w:t>ordinary shares to cover over-allotments, if any.</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Use of proceeds</w:t>
            </w:r>
          </w:p>
        </w:tc>
        <w:tc>
          <w:tcPr>
            <w:tcW w:w="7380" w:type="dxa"/>
            <w:vAlign w:val="bottom"/>
          </w:tcPr>
          <w:p>
            <w:pPr>
              <w:ind w:left="320"/>
              <w:spacing w:after="0"/>
              <w:rPr>
                <w:sz w:val="20"/>
                <w:szCs w:val="20"/>
                <w:color w:val="auto"/>
              </w:rPr>
            </w:pPr>
            <w:r>
              <w:rPr>
                <w:rFonts w:ascii="Arial" w:cs="Arial" w:eastAsia="Arial" w:hAnsi="Arial"/>
                <w:sz w:val="18"/>
                <w:szCs w:val="18"/>
                <w:color w:val="auto"/>
                <w:w w:val="90"/>
              </w:rPr>
              <w:t>We estimate that the net proceeds from our issuance and sale of 2,000,000 ordinary shares in this</w:t>
            </w:r>
          </w:p>
        </w:tc>
      </w:tr>
      <w:tr>
        <w:trPr>
          <w:trHeight w:val="216"/>
        </w:trPr>
        <w:tc>
          <w:tcPr>
            <w:tcW w:w="404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w w:val="92"/>
              </w:rPr>
              <w:t>offering will be approximately $30.7 million, based on the offering price of $16.50 per share, and</w:t>
            </w:r>
          </w:p>
        </w:tc>
      </w:tr>
      <w:tr>
        <w:trPr>
          <w:trHeight w:val="216"/>
        </w:trPr>
        <w:tc>
          <w:tcPr>
            <w:tcW w:w="404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w w:val="91"/>
              </w:rPr>
              <w:t>after deducting underwriting discounts and commissions and offering expenses payable by us. If</w:t>
            </w:r>
          </w:p>
        </w:tc>
      </w:tr>
      <w:tr>
        <w:trPr>
          <w:trHeight w:val="216"/>
        </w:trPr>
        <w:tc>
          <w:tcPr>
            <w:tcW w:w="404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w w:val="91"/>
              </w:rPr>
              <w:t>the representative of the underwriters exercises the over-allotment option in full, we estimate that</w:t>
            </w:r>
          </w:p>
        </w:tc>
      </w:tr>
      <w:tr>
        <w:trPr>
          <w:trHeight w:val="216"/>
        </w:trPr>
        <w:tc>
          <w:tcPr>
            <w:tcW w:w="404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w w:val="96"/>
              </w:rPr>
              <w:t>the net proceeds from this offering will be approximately $35.4 million, based on the offering</w:t>
            </w:r>
          </w:p>
        </w:tc>
      </w:tr>
      <w:tr>
        <w:trPr>
          <w:trHeight w:val="216"/>
        </w:trPr>
        <w:tc>
          <w:tcPr>
            <w:tcW w:w="404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w w:val="96"/>
              </w:rPr>
              <w:t>price of $16.50 per share, and after deducting underwriting discounts and commissions and</w:t>
            </w:r>
          </w:p>
        </w:tc>
      </w:tr>
      <w:tr>
        <w:trPr>
          <w:trHeight w:val="216"/>
        </w:trPr>
        <w:tc>
          <w:tcPr>
            <w:tcW w:w="404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w w:val="92"/>
              </w:rPr>
              <w:t>offering expenses payable by us. We currently expect to use the net proceeds from this offering</w:t>
            </w:r>
          </w:p>
        </w:tc>
      </w:tr>
      <w:tr>
        <w:trPr>
          <w:trHeight w:val="230"/>
        </w:trPr>
        <w:tc>
          <w:tcPr>
            <w:tcW w:w="4040" w:type="dxa"/>
            <w:vAlign w:val="bottom"/>
          </w:tcPr>
          <w:p>
            <w:pPr>
              <w:spacing w:after="0"/>
              <w:rPr>
                <w:sz w:val="20"/>
                <w:szCs w:val="20"/>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for:</w:t>
            </w:r>
          </w:p>
        </w:tc>
      </w:tr>
      <w:tr>
        <w:trPr>
          <w:trHeight w:val="418"/>
        </w:trPr>
        <w:tc>
          <w:tcPr>
            <w:tcW w:w="4040" w:type="dxa"/>
            <w:vAlign w:val="bottom"/>
          </w:tcPr>
          <w:p>
            <w:pPr>
              <w:spacing w:after="0"/>
              <w:rPr>
                <w:sz w:val="24"/>
                <w:szCs w:val="24"/>
                <w:color w:val="auto"/>
              </w:rPr>
            </w:pPr>
          </w:p>
        </w:tc>
        <w:tc>
          <w:tcPr>
            <w:tcW w:w="7380" w:type="dxa"/>
            <w:vAlign w:val="bottom"/>
          </w:tcPr>
          <w:p>
            <w:pPr>
              <w:ind w:left="660"/>
              <w:spacing w:after="0"/>
              <w:rPr>
                <w:sz w:val="20"/>
                <w:szCs w:val="20"/>
                <w:color w:val="auto"/>
              </w:rPr>
            </w:pPr>
            <w:r>
              <w:rPr>
                <w:rFonts w:ascii="Arial" w:cs="Arial" w:eastAsia="Arial" w:hAnsi="Arial"/>
                <w:sz w:val="18"/>
                <w:szCs w:val="18"/>
                <w:color w:val="auto"/>
                <w:w w:val="97"/>
              </w:rPr>
              <w:t>·   completing the required advanced clinical trials, that, if successful, would allow us to</w:t>
            </w:r>
          </w:p>
        </w:tc>
      </w:tr>
      <w:tr>
        <w:trPr>
          <w:trHeight w:val="216"/>
        </w:trPr>
        <w:tc>
          <w:tcPr>
            <w:tcW w:w="4040" w:type="dxa"/>
            <w:vAlign w:val="bottom"/>
          </w:tcPr>
          <w:p>
            <w:pPr>
              <w:spacing w:after="0"/>
              <w:rPr>
                <w:sz w:val="18"/>
                <w:szCs w:val="18"/>
                <w:color w:val="auto"/>
              </w:rPr>
            </w:pPr>
          </w:p>
        </w:tc>
        <w:tc>
          <w:tcPr>
            <w:tcW w:w="7380" w:type="dxa"/>
            <w:vAlign w:val="bottom"/>
          </w:tcPr>
          <w:p>
            <w:pPr>
              <w:ind w:left="980"/>
              <w:spacing w:after="0"/>
              <w:rPr>
                <w:sz w:val="20"/>
                <w:szCs w:val="20"/>
                <w:color w:val="auto"/>
              </w:rPr>
            </w:pPr>
            <w:r>
              <w:rPr>
                <w:rFonts w:ascii="Arial" w:cs="Arial" w:eastAsia="Arial" w:hAnsi="Arial"/>
                <w:sz w:val="18"/>
                <w:szCs w:val="18"/>
                <w:color w:val="auto"/>
                <w:w w:val="92"/>
              </w:rPr>
              <w:t>request drug approval of MG01CI to treat children and adults with Fragile X, estimated</w:t>
            </w:r>
          </w:p>
        </w:tc>
      </w:tr>
      <w:tr>
        <w:trPr>
          <w:trHeight w:val="230"/>
        </w:trPr>
        <w:tc>
          <w:tcPr>
            <w:tcW w:w="4040" w:type="dxa"/>
            <w:vAlign w:val="bottom"/>
          </w:tcPr>
          <w:p>
            <w:pPr>
              <w:spacing w:after="0"/>
              <w:rPr>
                <w:sz w:val="20"/>
                <w:szCs w:val="20"/>
                <w:color w:val="auto"/>
              </w:rPr>
            </w:pPr>
          </w:p>
        </w:tc>
        <w:tc>
          <w:tcPr>
            <w:tcW w:w="7380" w:type="dxa"/>
            <w:vAlign w:val="bottom"/>
          </w:tcPr>
          <w:p>
            <w:pPr>
              <w:ind w:left="980"/>
              <w:spacing w:after="0"/>
              <w:rPr>
                <w:sz w:val="20"/>
                <w:szCs w:val="20"/>
                <w:color w:val="auto"/>
              </w:rPr>
            </w:pPr>
            <w:r>
              <w:rPr>
                <w:rFonts w:ascii="Arial" w:cs="Arial" w:eastAsia="Arial" w:hAnsi="Arial"/>
                <w:sz w:val="18"/>
                <w:szCs w:val="18"/>
                <w:color w:val="auto"/>
              </w:rPr>
              <w:t>at $14,000,000;</w:t>
            </w:r>
          </w:p>
        </w:tc>
      </w:tr>
      <w:tr>
        <w:trPr>
          <w:trHeight w:val="418"/>
        </w:trPr>
        <w:tc>
          <w:tcPr>
            <w:tcW w:w="4040" w:type="dxa"/>
            <w:vAlign w:val="bottom"/>
          </w:tcPr>
          <w:p>
            <w:pPr>
              <w:spacing w:after="0"/>
              <w:rPr>
                <w:sz w:val="24"/>
                <w:szCs w:val="24"/>
                <w:color w:val="auto"/>
              </w:rPr>
            </w:pPr>
          </w:p>
        </w:tc>
        <w:tc>
          <w:tcPr>
            <w:tcW w:w="7380" w:type="dxa"/>
            <w:vAlign w:val="bottom"/>
          </w:tcPr>
          <w:p>
            <w:pPr>
              <w:ind w:left="640"/>
              <w:spacing w:after="0"/>
              <w:rPr>
                <w:sz w:val="20"/>
                <w:szCs w:val="20"/>
                <w:color w:val="auto"/>
              </w:rPr>
            </w:pPr>
            <w:r>
              <w:rPr>
                <w:rFonts w:ascii="Arial" w:cs="Arial" w:eastAsia="Arial" w:hAnsi="Arial"/>
                <w:sz w:val="18"/>
                <w:szCs w:val="18"/>
                <w:color w:val="auto"/>
                <w:w w:val="96"/>
              </w:rPr>
              <w:t>·   completing necessary preparations and conducting a Phase 3 clinical trial in pediatric</w:t>
            </w:r>
          </w:p>
        </w:tc>
      </w:tr>
      <w:tr>
        <w:trPr>
          <w:trHeight w:val="230"/>
        </w:trPr>
        <w:tc>
          <w:tcPr>
            <w:tcW w:w="4040" w:type="dxa"/>
            <w:vAlign w:val="bottom"/>
          </w:tcPr>
          <w:p>
            <w:pPr>
              <w:spacing w:after="0"/>
              <w:rPr>
                <w:sz w:val="20"/>
                <w:szCs w:val="20"/>
                <w:color w:val="auto"/>
              </w:rPr>
            </w:pPr>
          </w:p>
        </w:tc>
        <w:tc>
          <w:tcPr>
            <w:tcW w:w="7380" w:type="dxa"/>
            <w:vAlign w:val="bottom"/>
          </w:tcPr>
          <w:p>
            <w:pPr>
              <w:ind w:left="980"/>
              <w:spacing w:after="0"/>
              <w:rPr>
                <w:sz w:val="20"/>
                <w:szCs w:val="20"/>
                <w:color w:val="auto"/>
              </w:rPr>
            </w:pPr>
            <w:r>
              <w:rPr>
                <w:rFonts w:ascii="Arial" w:cs="Arial" w:eastAsia="Arial" w:hAnsi="Arial"/>
                <w:sz w:val="18"/>
                <w:szCs w:val="18"/>
                <w:color w:val="auto"/>
              </w:rPr>
              <w:t>ADHD for MG01CI, estimated at $10,000,000; and</w:t>
            </w:r>
          </w:p>
        </w:tc>
      </w:tr>
      <w:tr>
        <w:trPr>
          <w:trHeight w:val="432"/>
        </w:trPr>
        <w:tc>
          <w:tcPr>
            <w:tcW w:w="4040" w:type="dxa"/>
            <w:vAlign w:val="bottom"/>
          </w:tcPr>
          <w:p>
            <w:pPr>
              <w:spacing w:after="0"/>
              <w:rPr>
                <w:sz w:val="24"/>
                <w:szCs w:val="24"/>
                <w:color w:val="auto"/>
              </w:rPr>
            </w:pPr>
          </w:p>
        </w:tc>
        <w:tc>
          <w:tcPr>
            <w:tcW w:w="7380" w:type="dxa"/>
            <w:vAlign w:val="bottom"/>
          </w:tcPr>
          <w:p>
            <w:pPr>
              <w:ind w:left="640"/>
              <w:spacing w:after="0"/>
              <w:rPr>
                <w:sz w:val="20"/>
                <w:szCs w:val="20"/>
                <w:color w:val="auto"/>
              </w:rPr>
            </w:pPr>
            <w:r>
              <w:rPr>
                <w:rFonts w:ascii="Arial" w:cs="Arial" w:eastAsia="Arial" w:hAnsi="Arial"/>
                <w:sz w:val="18"/>
                <w:szCs w:val="18"/>
                <w:color w:val="auto"/>
              </w:rPr>
              <w:t>·   the remainder for working capital and general corporate purposes.</w:t>
            </w:r>
          </w:p>
        </w:tc>
      </w:tr>
      <w:tr>
        <w:trPr>
          <w:trHeight w:val="634"/>
        </w:trPr>
        <w:tc>
          <w:tcPr>
            <w:tcW w:w="4040" w:type="dxa"/>
            <w:vAlign w:val="bottom"/>
          </w:tcPr>
          <w:p>
            <w:pPr>
              <w:spacing w:after="0"/>
              <w:rPr>
                <w:sz w:val="20"/>
                <w:szCs w:val="20"/>
                <w:color w:val="auto"/>
              </w:rPr>
            </w:pPr>
            <w:r>
              <w:rPr>
                <w:rFonts w:ascii="Arial" w:cs="Arial" w:eastAsia="Arial" w:hAnsi="Arial"/>
                <w:sz w:val="18"/>
                <w:szCs w:val="18"/>
                <w:color w:val="auto"/>
              </w:rPr>
              <w:t>Risk factors</w:t>
            </w:r>
          </w:p>
        </w:tc>
        <w:tc>
          <w:tcPr>
            <w:tcW w:w="7380" w:type="dxa"/>
            <w:vAlign w:val="bottom"/>
          </w:tcPr>
          <w:p>
            <w:pPr>
              <w:ind w:left="300"/>
              <w:spacing w:after="0"/>
              <w:rPr>
                <w:sz w:val="20"/>
                <w:szCs w:val="20"/>
                <w:color w:val="auto"/>
              </w:rPr>
            </w:pPr>
            <w:r>
              <w:rPr>
                <w:rFonts w:ascii="Arial" w:cs="Arial" w:eastAsia="Arial" w:hAnsi="Arial"/>
                <w:sz w:val="18"/>
                <w:szCs w:val="18"/>
                <w:color w:val="auto"/>
                <w:w w:val="92"/>
              </w:rPr>
              <w:t>You should read the “Risk Factors” section starting on page 7 of this prospectus for a discussion</w:t>
            </w:r>
          </w:p>
        </w:tc>
      </w:tr>
      <w:tr>
        <w:trPr>
          <w:trHeight w:val="230"/>
        </w:trPr>
        <w:tc>
          <w:tcPr>
            <w:tcW w:w="4040" w:type="dxa"/>
            <w:vAlign w:val="bottom"/>
          </w:tcPr>
          <w:p>
            <w:pPr>
              <w:spacing w:after="0"/>
              <w:rPr>
                <w:sz w:val="20"/>
                <w:szCs w:val="20"/>
                <w:color w:val="auto"/>
              </w:rPr>
            </w:pPr>
          </w:p>
        </w:tc>
        <w:tc>
          <w:tcPr>
            <w:tcW w:w="7380" w:type="dxa"/>
            <w:vAlign w:val="bottom"/>
          </w:tcPr>
          <w:p>
            <w:pPr>
              <w:ind w:left="300"/>
              <w:spacing w:after="0"/>
              <w:rPr>
                <w:sz w:val="20"/>
                <w:szCs w:val="20"/>
                <w:color w:val="auto"/>
              </w:rPr>
            </w:pPr>
            <w:r>
              <w:rPr>
                <w:rFonts w:ascii="Arial" w:cs="Arial" w:eastAsia="Arial" w:hAnsi="Arial"/>
                <w:sz w:val="18"/>
                <w:szCs w:val="18"/>
                <w:color w:val="auto"/>
              </w:rPr>
              <w:t>of factors to consider carefully before deciding to invest in ordinary shares.</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NASDAQ Capital Market Symbol</w:t>
            </w:r>
          </w:p>
        </w:tc>
        <w:tc>
          <w:tcPr>
            <w:tcW w:w="7380" w:type="dxa"/>
            <w:vAlign w:val="bottom"/>
          </w:tcPr>
          <w:p>
            <w:pPr>
              <w:ind w:left="320"/>
              <w:spacing w:after="0"/>
              <w:rPr>
                <w:sz w:val="20"/>
                <w:szCs w:val="20"/>
                <w:color w:val="auto"/>
              </w:rPr>
            </w:pPr>
            <w:r>
              <w:rPr>
                <w:rFonts w:ascii="Arial" w:cs="Arial" w:eastAsia="Arial" w:hAnsi="Arial"/>
                <w:sz w:val="18"/>
                <w:szCs w:val="18"/>
                <w:color w:val="auto"/>
              </w:rPr>
              <w:t>“ADHD"</w:t>
            </w:r>
          </w:p>
        </w:tc>
      </w:tr>
      <w:tr>
        <w:trPr>
          <w:trHeight w:val="648"/>
        </w:trPr>
        <w:tc>
          <w:tcPr>
            <w:tcW w:w="404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881" w:right="239" w:bottom="1440" w:gutter="0" w:footer="0" w:header="0"/>
        </w:sectPr>
      </w:pPr>
    </w:p>
    <w:bookmarkStart w:id="7" w:name="page8"/>
    <w:bookmarkEnd w:id="7"/>
    <w:p>
      <w:pPr>
        <w:ind w:right="60" w:firstLine="401"/>
        <w:spacing w:after="0" w:line="277" w:lineRule="auto"/>
        <w:rPr>
          <w:sz w:val="20"/>
          <w:szCs w:val="20"/>
          <w:color w:val="auto"/>
        </w:rPr>
      </w:pPr>
      <w:r>
        <w:rPr>
          <w:rFonts w:ascii="Arial" w:cs="Arial" w:eastAsia="Arial" w:hAnsi="Arial"/>
          <w:sz w:val="18"/>
          <w:szCs w:val="18"/>
          <w:color w:val="auto"/>
        </w:rPr>
        <w:t>The number of our ordinary shares to be outstanding immediately after this offering is based on 11,128,001 ordinary shares outstanding as of October 1, 2013. This number excludes: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900,516 shares issuable upon the exercise of share options outstanding as of October 1, 2013 under our equity incentive plan;</w:t>
      </w:r>
    </w:p>
    <w:p>
      <w:pPr>
        <w:spacing w:after="0" w:line="225" w:lineRule="exact"/>
        <w:rPr>
          <w:rFonts w:ascii="Arial" w:cs="Arial" w:eastAsia="Arial" w:hAnsi="Arial"/>
          <w:sz w:val="18"/>
          <w:szCs w:val="18"/>
          <w:color w:val="auto"/>
        </w:rPr>
      </w:pPr>
    </w:p>
    <w:p>
      <w:pPr>
        <w:ind w:left="660" w:righ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undertaking to issue options to purchase up to 0.75% of the issued and outstanding shares of the Company issuable to an employee of the Company upon meeting certain milestones (such options, if and when issued, to be subject to a three year vesting schedule);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214,950 shares issuable upon the exercise of warrants outstanding as of October 1, 2013.</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Unless otherwise indicated, all information in this prospectus assumes no exercise of the underwriters’ over-allotment option.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right="160" w:firstLine="396"/>
        <w:spacing w:after="0" w:line="255"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periods of six months ended June 30, 2013 and 2012 and balance sheet data as of June 30, 2013 from our unaudited financial statements included elsewhere in this prospectus and the statements of operations data for the years ended December 31, 2012 and 2011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 except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share and per share amounts)</w:t>
            </w:r>
          </w:p>
        </w:tc>
        <w:tc>
          <w:tcPr>
            <w:tcW w:w="260" w:type="dxa"/>
            <w:vAlign w:val="bottom"/>
          </w:tcPr>
          <w:p>
            <w:pPr>
              <w:spacing w:after="0"/>
              <w:rPr>
                <w:sz w:val="20"/>
                <w:szCs w:val="20"/>
                <w:color w:val="auto"/>
              </w:rPr>
            </w:pPr>
          </w:p>
        </w:tc>
        <w:tc>
          <w:tcPr>
            <w:tcW w:w="2680" w:type="dxa"/>
            <w:vAlign w:val="bottom"/>
            <w:gridSpan w:val="3"/>
            <w:vMerge w:val="restart"/>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c>
          <w:tcPr>
            <w:tcW w:w="200" w:type="dxa"/>
            <w:vAlign w:val="bottom"/>
          </w:tcPr>
          <w:p>
            <w:pPr>
              <w:spacing w:after="0"/>
              <w:rPr>
                <w:sz w:val="20"/>
                <w:szCs w:val="20"/>
                <w:color w:val="auto"/>
              </w:rPr>
            </w:pPr>
          </w:p>
        </w:tc>
        <w:tc>
          <w:tcPr>
            <w:tcW w:w="13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20"/>
                <w:szCs w:val="20"/>
                <w:color w:val="auto"/>
              </w:rPr>
            </w:pPr>
          </w:p>
        </w:tc>
        <w:tc>
          <w:tcPr>
            <w:tcW w:w="12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Operations Data:</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818</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1,114</w:t>
            </w: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CCFFCC"/>
          </w:tcPr>
          <w:p>
            <w:pPr>
              <w:spacing w:after="0"/>
              <w:rPr>
                <w:sz w:val="18"/>
                <w:szCs w:val="18"/>
                <w:color w:val="auto"/>
              </w:rPr>
            </w:pP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FFCC"/>
          </w:tcPr>
          <w:p>
            <w:pPr>
              <w:spacing w:after="0"/>
              <w:rPr>
                <w:sz w:val="18"/>
                <w:szCs w:val="18"/>
                <w:color w:val="auto"/>
              </w:rPr>
            </w:pP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Loss attributable to holders of ordinary shares</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1,716</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1,579</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w:t>
            </w:r>
          </w:p>
        </w:tc>
        <w:tc>
          <w:tcPr>
            <w:tcW w:w="26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diluted net loss per share (1)</w:t>
            </w:r>
          </w:p>
        </w:tc>
        <w:tc>
          <w:tcPr>
            <w:tcW w:w="260" w:type="dxa"/>
            <w:vAlign w:val="bottom"/>
            <w:shd w:val="clear" w:color="auto" w:fill="CCFFCC"/>
          </w:tcPr>
          <w:p>
            <w:pPr>
              <w:spacing w:after="0"/>
              <w:rPr>
                <w:sz w:val="20"/>
                <w:szCs w:val="20"/>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8,397,070</w:t>
            </w:r>
          </w:p>
        </w:tc>
        <w:tc>
          <w:tcPr>
            <w:tcW w:w="240" w:type="dxa"/>
            <w:vAlign w:val="bottom"/>
            <w:shd w:val="clear" w:color="auto" w:fill="CCFFCC"/>
          </w:tcPr>
          <w:p>
            <w:pPr>
              <w:spacing w:after="0"/>
              <w:rPr>
                <w:sz w:val="20"/>
                <w:szCs w:val="20"/>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7,791,785</w:t>
            </w:r>
          </w:p>
        </w:tc>
        <w:tc>
          <w:tcPr>
            <w:tcW w:w="200" w:type="dxa"/>
            <w:vAlign w:val="bottom"/>
            <w:shd w:val="clear" w:color="auto" w:fill="CCFFCC"/>
          </w:tcPr>
          <w:p>
            <w:pPr>
              <w:spacing w:after="0"/>
              <w:rPr>
                <w:sz w:val="20"/>
                <w:szCs w:val="20"/>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7,791,932</w:t>
            </w:r>
          </w:p>
        </w:tc>
        <w:tc>
          <w:tcPr>
            <w:tcW w:w="260" w:type="dxa"/>
            <w:vAlign w:val="bottom"/>
            <w:shd w:val="clear" w:color="auto" w:fill="CCFFCC"/>
          </w:tcPr>
          <w:p>
            <w:pPr>
              <w:spacing w:after="0"/>
              <w:rPr>
                <w:sz w:val="20"/>
                <w:szCs w:val="20"/>
                <w:color w:val="auto"/>
              </w:rPr>
            </w:pP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7,843,388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right="10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2(m) to our financial statements for the year ended December 31, 2012 for an explanation of the method used to calculate basic and diluted net loss per ordinary share and the weighted average number of shares used in computation of the per share amounts.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460" w:type="dxa"/>
            <w:vAlign w:val="bottom"/>
          </w:tcPr>
          <w:p>
            <w:pPr>
              <w:spacing w:after="0"/>
              <w:rPr>
                <w:sz w:val="18"/>
                <w:szCs w:val="18"/>
                <w:color w:val="auto"/>
              </w:rPr>
            </w:pP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As of June 30,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46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Actual</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(unaudited)(1)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2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24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343</w:t>
            </w: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21,361</w:t>
            </w: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52,081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unaudited as adjusted column in the balance sheet data above gives effect to the sale of 2,000,000 ordinary shares in this offering at a public offering price of $16.50 per share, after deducting underwriting discounts and commissions and estimated offering expenses payable by us, as if the sale had occurred on June 30, 2013.</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416"/>
        <w:spacing w:after="0" w:line="297" w:lineRule="auto"/>
        <w:rPr>
          <w:sz w:val="20"/>
          <w:szCs w:val="20"/>
          <w:color w:val="auto"/>
        </w:rPr>
      </w:pPr>
      <w:r>
        <w:rPr>
          <w:rFonts w:ascii="Arial" w:cs="Arial" w:eastAsia="Arial" w:hAnsi="Arial"/>
          <w:sz w:val="16"/>
          <w:szCs w:val="16"/>
          <w:i w:val="1"/>
          <w:iCs w:val="1"/>
          <w:color w:val="auto"/>
        </w:rPr>
        <w:t>An investment in our ordinary shares involves a high degree of risk. We operate in a dynamic and rapidly changing industry that involves numerous risks and uncertainties. You should consider carefully the risks and uncertainties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We depend entirely on the success of our only current product candidate, MG01CI, and we may not obtain regulatory approval of MG01CI for the treatment of ADHD or other cognitive dysfunctions such as Fragile X, or we may be unable to successfully commercialize it.</w:t>
      </w:r>
    </w:p>
    <w:p>
      <w:pPr>
        <w:spacing w:after="0" w:line="124"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87" w:lineRule="exact"/>
        <w:rPr>
          <w:sz w:val="20"/>
          <w:szCs w:val="20"/>
          <w:color w:val="auto"/>
        </w:rPr>
      </w:pPr>
    </w:p>
    <w:p>
      <w:pPr>
        <w:ind w:right="120" w:firstLine="416"/>
        <w:spacing w:after="0" w:line="272" w:lineRule="auto"/>
        <w:rPr>
          <w:sz w:val="20"/>
          <w:szCs w:val="20"/>
          <w:color w:val="auto"/>
        </w:rPr>
      </w:pPr>
      <w:r>
        <w:rPr>
          <w:rFonts w:ascii="Arial" w:cs="Arial" w:eastAsia="Arial" w:hAnsi="Arial"/>
          <w:sz w:val="17"/>
          <w:szCs w:val="17"/>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received regulatory clearance to conduct the additional clinical trials that are necessary to be able to submit an NDA to the FDA or comparable applications to other regulatory authorities in other countries or received marketing approval for MG01CI. The results of additional clinical trials may be unsatisfactory, and even if we believe those clinical trials to be successful, there are many reasons why the FDA may not approve our NDA should we be in a position to file one.</w:t>
      </w:r>
    </w:p>
    <w:p>
      <w:pPr>
        <w:spacing w:after="0" w:line="178" w:lineRule="exact"/>
        <w:rPr>
          <w:sz w:val="20"/>
          <w:szCs w:val="20"/>
          <w:color w:val="auto"/>
        </w:rPr>
      </w:pPr>
    </w:p>
    <w:p>
      <w:pPr>
        <w:ind w:right="100" w:firstLine="416"/>
        <w:spacing w:after="0" w:line="270"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82"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commencement and completion of clinical trials can be delayed or prevented for a number of reasons.</w:t>
      </w:r>
    </w:p>
    <w:p>
      <w:pPr>
        <w:spacing w:after="0" w:line="225"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contract research organizations, or CROs, contract manufacturing organizations, or CMOs, and trial sites, the terms of which can be subject to extensive negotiation and may vary significantly among different CROs and trial sites;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third-party contractors, such as CROs and CMOs, or our investigators to comply with regulatory requirements or otherwise meet their contractual obligations in a timely manner;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requiring alterations to any of our study designs, our pre-clinical strategy or our manufacturing plans;</w:t>
      </w:r>
    </w:p>
    <w:p>
      <w:pPr>
        <w:spacing w:after="0" w:line="225"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recruiting and enrolling subjects to participate in clinical trials for a variety of reasons, including size and nature of subject population, proximity of subjects to clinical sites, eligibility criteria for the trial, nature of trial protocol, the availability of approved effective treatments for the relevant disease and competition from other clinical trial programs for similar indications;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maintaining contact with subjects after treatment, which results in incomplete data;</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by a competitor of marketing approval for a product targeting an indication that our product targets, such that we are not “first to market” with our product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safety issues, including serious adverse events associated with a product candidate, or lack of effectiveness;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b w:val="1"/>
          <w:bCs w:val="1"/>
          <w:i w:val="1"/>
          <w:iCs w:val="1"/>
          <w:color w:val="auto"/>
        </w:rPr>
        <w:t>Positive results in previous pre-clinical and clinical trials of MG01CI may not be replicated in future clinical trials of MG01CI, which could result in development delays or a failure to obtain marketing approval.</w:t>
      </w:r>
    </w:p>
    <w:p>
      <w:pPr>
        <w:spacing w:after="0" w:line="17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Positive results in previous pre-clinical and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in-license molecules or new technologies, this may delay or otherwise adversely affect the development of our existing drug candidates, which may negatively impact our business, results of operations and financial condition.</w:t>
      </w:r>
    </w:p>
    <w:p>
      <w:pPr>
        <w:spacing w:after="0" w:line="170" w:lineRule="exact"/>
        <w:rPr>
          <w:sz w:val="20"/>
          <w:szCs w:val="20"/>
          <w:color w:val="auto"/>
        </w:rPr>
      </w:pPr>
    </w:p>
    <w:p>
      <w:pPr>
        <w:ind w:right="280" w:firstLine="415"/>
        <w:spacing w:after="0" w:line="293" w:lineRule="auto"/>
        <w:rPr>
          <w:sz w:val="20"/>
          <w:szCs w:val="20"/>
          <w:color w:val="auto"/>
        </w:rPr>
      </w:pPr>
      <w:r>
        <w:rPr>
          <w:rFonts w:ascii="Arial" w:cs="Arial" w:eastAsia="Arial" w:hAnsi="Arial"/>
          <w:sz w:val="16"/>
          <w:szCs w:val="16"/>
          <w:color w:val="auto"/>
        </w:rPr>
        <w:t>In addition to our own internally developed MG01CI to treat ADHD and other cognitive dysfunctions, we may seek opportunities to in-license and advance other molecules that can treat cognitive dysfunctions and have value-creating potential to take advantage of our development know-how and experience in this market. If we in-license any additional molecule, our capital requirements may increase significantly. In addition, in-licensing additional molecules may place a strain on the time of our existing personnel, which may delay or otherwise adversely affect the development of our existing drug candidate or cause us to re-prioritize our drug pipeline if we do not have the necessary capital resources to develop all of our drug candidates, which may delay the development of our drug candidates and materially and adversely impact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approval of an NDA even after clinical trials that are believed to be successful is an uncertain process.</w:t>
      </w:r>
    </w:p>
    <w:p>
      <w:pPr>
        <w:spacing w:after="0" w:line="225"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the FDA that MG01CI is safe and effective for any indication;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for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not find the data from pre-clinical studies and clinical trials sufficient to demonstrate that MG01CI’s clinical and other benefits outweigh its safety risks;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not accept data generated at our clinical trial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data collected from pre-clinical studies and clinical trials of MG01CI may not be sufficient to support the submission of an NDA;</w:t>
      </w:r>
    </w:p>
    <w:p>
      <w:pPr>
        <w:spacing w:after="0" w:line="225"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as a condition of approval;</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identify deficiencies in the manufacturing processes or facilities of third party manufacturers with which we enter into agreements for clinical and commercial supplies;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may require simultaneous approval for both adults and for children and adolescents delaying needed approvals, or we may have successful clinical trial results for adults but not children and adolescents, or vice versa.</w:t>
      </w:r>
    </w:p>
    <w:p>
      <w:pPr>
        <w:spacing w:after="0" w:line="170"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Before we can submit an NDA to the FDA, we must conduct at least two Phase 3 clinical trials that will be substantially broader than our Phase 2 trial. We will also need to agree on a protocol with the FDA for the clinical trials before commencing those trials. Phase 3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79" w:lineRule="exact"/>
        <w:rPr>
          <w:sz w:val="20"/>
          <w:szCs w:val="20"/>
          <w:color w:val="auto"/>
        </w:rPr>
      </w:pPr>
    </w:p>
    <w:p>
      <w:pPr>
        <w:jc w:val="both"/>
        <w:ind w:right="480" w:firstLine="416"/>
        <w:spacing w:after="0" w:line="312" w:lineRule="auto"/>
        <w:rPr>
          <w:sz w:val="20"/>
          <w:szCs w:val="20"/>
          <w:color w:val="auto"/>
        </w:rPr>
      </w:pPr>
      <w:r>
        <w:rPr>
          <w:rFonts w:ascii="Arial" w:cs="Arial" w:eastAsia="Arial" w:hAnsi="Arial"/>
          <w:sz w:val="16"/>
          <w:szCs w:val="16"/>
          <w:color w:val="auto"/>
        </w:rPr>
        <w:t>Even if we obtain FDA approval for MG01CI for the treatment of ADHD, or other cognitive dysfunctions,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MG01CI receives marketing approval, there could be adverse effects not discovered during development.</w:t>
      </w:r>
    </w:p>
    <w:p>
      <w:pPr>
        <w:spacing w:after="0" w:line="225" w:lineRule="exact"/>
        <w:rPr>
          <w:sz w:val="20"/>
          <w:szCs w:val="20"/>
          <w:color w:val="auto"/>
        </w:rPr>
      </w:pPr>
    </w:p>
    <w:p>
      <w:pPr>
        <w:ind w:firstLine="415"/>
        <w:spacing w:after="0" w:line="342" w:lineRule="auto"/>
        <w:rPr>
          <w:sz w:val="20"/>
          <w:szCs w:val="20"/>
          <w:color w:val="auto"/>
        </w:rPr>
      </w:pPr>
      <w:r>
        <w:rPr>
          <w:rFonts w:ascii="Arial" w:cs="Arial" w:eastAsia="Arial" w:hAnsi="Arial"/>
          <w:sz w:val="16"/>
          <w:szCs w:val="16"/>
          <w:color w:val="auto"/>
        </w:rPr>
        <w:t>Even if MG01CI receives marketing approval, we or others may later identify undesirable side effects caused by the product or problems with our third-party manufacturers or manufacturing processes, and in either event a number of potentially significant negative consequences could result, including:</w:t>
      </w:r>
    </w:p>
    <w:p>
      <w:pPr>
        <w:spacing w:after="0" w:line="12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suspend or withdraw their approval of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us to issue specific communications to healthcare professionals, such as “Dear Doctor”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issue negative publicity regarding the affected product, including safety communications;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pre-clinical studies or clinical trials or restrict the distribution or use of the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commercialization costs or even force us to cease operations.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do not have significant pre-clinical or clinical data that support the applicability of MG01CI to other cognitive conditions, and ultimate regulatory approval for any additional applications is highly uncertain.</w:t>
      </w:r>
    </w:p>
    <w:p>
      <w:pPr>
        <w:spacing w:after="0" w:line="170"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We recently completed a pre-clinical study evaluating MG01CI in a recognized mouse model of Fragile X. In addition, we plan to investigate the use of MG01CI to treat other cognitive disorders and impairments. To date, we have obtained very little data regarding such uses. The regulatory approval process for additional indications may be as complex, time consuming and expensive as that for MG01CI in ADHD. As a result, ultimate regulatory approval for one or more of such indications is highly uncertain.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3" w:name="page14"/>
    <w:bookmarkEnd w:id="13"/>
    <w:p>
      <w:pPr>
        <w:ind w:right="40"/>
        <w:spacing w:after="0" w:line="277" w:lineRule="auto"/>
        <w:rPr>
          <w:sz w:val="20"/>
          <w:szCs w:val="20"/>
          <w:color w:val="auto"/>
        </w:rPr>
      </w:pPr>
      <w:r>
        <w:rPr>
          <w:rFonts w:ascii="Arial" w:cs="Arial" w:eastAsia="Arial" w:hAnsi="Arial"/>
          <w:sz w:val="18"/>
          <w:szCs w:val="18"/>
          <w:b w:val="1"/>
          <w:bCs w:val="1"/>
          <w:i w:val="1"/>
          <w:iCs w:val="1"/>
          <w:color w:val="auto"/>
        </w:rPr>
        <w:t>Obtaining regulatory approval for clinical trials of MGO1CI in children will be more difficult than obtaining such approvals for adult clinical trials since the requirements for regulatory approval to conduct pediatric clinical trials are more stringent.</w:t>
      </w:r>
    </w:p>
    <w:p>
      <w:pPr>
        <w:spacing w:after="0" w:line="170" w:lineRule="exact"/>
        <w:rPr>
          <w:sz w:val="20"/>
          <w:szCs w:val="20"/>
          <w:color w:val="auto"/>
        </w:rPr>
      </w:pPr>
    </w:p>
    <w:p>
      <w:pPr>
        <w:ind w:right="40" w:firstLine="416"/>
        <w:spacing w:after="0" w:line="312" w:lineRule="auto"/>
        <w:rPr>
          <w:sz w:val="20"/>
          <w:szCs w:val="20"/>
          <w:color w:val="auto"/>
        </w:rPr>
      </w:pPr>
      <w:r>
        <w:rPr>
          <w:rFonts w:ascii="Arial" w:cs="Arial" w:eastAsia="Arial" w:hAnsi="Arial"/>
          <w:sz w:val="16"/>
          <w:szCs w:val="16"/>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81"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MG01CI to treat Fragile X. In addition, we might be prevented from commercializing such drug candidate if, for instance, another company receives marketing exclusivity for its drug candidate.</w:t>
      </w:r>
    </w:p>
    <w:p>
      <w:pPr>
        <w:spacing w:after="0" w:line="170" w:lineRule="exact"/>
        <w:rPr>
          <w:sz w:val="20"/>
          <w:szCs w:val="20"/>
          <w:color w:val="auto"/>
        </w:rPr>
      </w:pPr>
    </w:p>
    <w:p>
      <w:pPr>
        <w:jc w:val="both"/>
        <w:ind w:right="340" w:firstLine="416"/>
        <w:spacing w:after="0" w:line="28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w:t>
      </w:r>
    </w:p>
    <w:p>
      <w:pPr>
        <w:spacing w:after="0" w:line="166"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the FDA or the European Medicines Agency, or EMA, from approving another marketing application for the same drug for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ind w:right="80" w:firstLine="416"/>
        <w:spacing w:after="0" w:line="302" w:lineRule="auto"/>
        <w:rPr>
          <w:sz w:val="20"/>
          <w:szCs w:val="20"/>
          <w:color w:val="auto"/>
        </w:rPr>
      </w:pPr>
      <w:r>
        <w:rPr>
          <w:rFonts w:ascii="Arial" w:cs="Arial" w:eastAsia="Arial" w:hAnsi="Arial"/>
          <w:sz w:val="16"/>
          <w:szCs w:val="16"/>
          <w:color w:val="auto"/>
        </w:rPr>
        <w:t>Even if we obtain orphan drug exclusivity for MG01CI to treat Fragile X,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If any of the above happens, we might not be able to commercialize and generate revenue from using MG01CI to treat Fragile X.</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70" w:lineRule="exact"/>
        <w:rPr>
          <w:sz w:val="20"/>
          <w:szCs w:val="20"/>
          <w:color w:val="auto"/>
        </w:rPr>
      </w:pPr>
    </w:p>
    <w:p>
      <w:pPr>
        <w:ind w:right="80" w:firstLine="416"/>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ind w:right="80" w:firstLine="41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00" w:firstLine="416"/>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6"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More recently, President Obama signed into law the Patient Protection and Affordable Care Act,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Although it is too early to determine its effect, the new law appears likely to continue the pressure on pharmaceutical pricing, especially under the Medicare program, and may also increase our regulatory burdens and operating costs.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 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83" w:lineRule="exact"/>
        <w:rPr>
          <w:sz w:val="20"/>
          <w:szCs w:val="20"/>
          <w:color w:val="auto"/>
        </w:rPr>
      </w:pPr>
    </w:p>
    <w:p>
      <w:pPr>
        <w:ind w:right="500" w:firstLine="416"/>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5" w:name="page16"/>
    <w:bookmarkEnd w:id="15"/>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7" w:lineRule="exact"/>
        <w:rPr>
          <w:sz w:val="20"/>
          <w:szCs w:val="20"/>
          <w:color w:val="auto"/>
        </w:rPr>
      </w:pPr>
    </w:p>
    <w:p>
      <w:pPr>
        <w:ind w:right="260" w:firstLine="693"/>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70"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6" w:name="page17"/>
    <w:bookmarkEnd w:id="16"/>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receive marketing approval for MG01CI, sales will be limited unless the product achieves broad market acceptance.</w:t>
      </w:r>
    </w:p>
    <w:p>
      <w:pPr>
        <w:spacing w:after="0" w:line="225" w:lineRule="exact"/>
        <w:rPr>
          <w:sz w:val="20"/>
          <w:szCs w:val="20"/>
          <w:color w:val="auto"/>
        </w:rPr>
      </w:pPr>
    </w:p>
    <w:p>
      <w:pPr>
        <w:ind w:right="140" w:firstLine="415"/>
        <w:spacing w:after="0" w:line="264" w:lineRule="auto"/>
        <w:rPr>
          <w:sz w:val="20"/>
          <w:szCs w:val="20"/>
          <w:color w:val="auto"/>
        </w:rPr>
      </w:pPr>
      <w:r>
        <w:rPr>
          <w:rFonts w:ascii="Arial" w:cs="Arial" w:eastAsia="Arial" w:hAnsi="Arial"/>
          <w:sz w:val="18"/>
          <w:szCs w:val="18"/>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approved labeling;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agreed to by us as part of a mandatory or voluntary risk management plan;</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availability of alternative treatments, including, in the case of MG01CI, a number of competitive products already approved for the treatment of ADHD (or Fragile X, or other cognitive dysfunctions, as the case may be) or expected to be commercially launched in the near future;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or any future collaborators’ sales and marketing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81" w:right="419" w:bottom="1440" w:gutter="0" w:footer="0" w:header="0"/>
        </w:sectPr>
      </w:pPr>
    </w:p>
    <w:bookmarkStart w:id="17" w:name="page18"/>
    <w:bookmarkEnd w:id="17"/>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will be difficult for us to profitably sell MG01CI if reimbursement for the product is limited.</w:t>
      </w:r>
    </w:p>
    <w:p>
      <w:pPr>
        <w:spacing w:after="0" w:line="225"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effective;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4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88" w:lineRule="exact"/>
        <w:rPr>
          <w:sz w:val="20"/>
          <w:szCs w:val="20"/>
          <w:color w:val="auto"/>
        </w:rPr>
      </w:pPr>
    </w:p>
    <w:p>
      <w:pPr>
        <w:ind w:right="360" w:firstLine="416"/>
        <w:spacing w:after="0" w:line="286" w:lineRule="auto"/>
        <w:rPr>
          <w:sz w:val="20"/>
          <w:szCs w:val="20"/>
          <w:color w:val="auto"/>
        </w:rPr>
      </w:pPr>
      <w:r>
        <w:rPr>
          <w:rFonts w:ascii="Arial" w:cs="Arial" w:eastAsia="Arial" w:hAnsi="Arial"/>
          <w:sz w:val="17"/>
          <w:szCs w:val="17"/>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intend to rely primarily on third parties to market and sell MG01CI.</w:t>
      </w:r>
    </w:p>
    <w:p>
      <w:pPr>
        <w:spacing w:after="0" w:line="225" w:lineRule="exact"/>
        <w:rPr>
          <w:sz w:val="20"/>
          <w:szCs w:val="20"/>
          <w:color w:val="auto"/>
        </w:rPr>
      </w:pPr>
    </w:p>
    <w:p>
      <w:pPr>
        <w:ind w:right="240" w:firstLine="416"/>
        <w:spacing w:after="0" w:line="302" w:lineRule="auto"/>
        <w:rPr>
          <w:sz w:val="20"/>
          <w:szCs w:val="20"/>
          <w:color w:val="auto"/>
        </w:rPr>
      </w:pPr>
      <w:r>
        <w:rPr>
          <w:rFonts w:ascii="Arial" w:cs="Arial" w:eastAsia="Arial" w:hAnsi="Arial"/>
          <w:sz w:val="16"/>
          <w:szCs w:val="16"/>
          <w:color w:val="auto"/>
        </w:rPr>
        <w:t>We currently have no manufacturing, sales or distribution capabilities. To the extent we rely on third parties to commercialize MG01CI, if marketing approval is obtained, we may receive less revenue than if we commercialized MG01CI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revenue will be limited.</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70" w:lineRule="exact"/>
        <w:rPr>
          <w:sz w:val="20"/>
          <w:szCs w:val="20"/>
          <w:color w:val="auto"/>
        </w:rPr>
      </w:pPr>
    </w:p>
    <w:p>
      <w:pPr>
        <w:ind w:firstLine="415"/>
        <w:spacing w:after="0" w:line="287"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The FDA has not approved any drugs specifically for the treatment of Fragile X or its symptoms, although there are several pharmaceutical companies with compounds to treat Fragile X in late stage clinical development.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we may have in the future.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may develop in the future are likely to be efficacy, time of onset, safety and tolerability profile, reliability, convenience of dosing, price and reimbursement.</w:t>
      </w:r>
    </w:p>
    <w:p>
      <w:pPr>
        <w:spacing w:after="0" w:line="173"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Established competitors may invest heavily to quickly discover and develop novel compounds that could make MG01CI or other product candidates we may develop obsolete.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25" w:lineRule="exact"/>
        <w:rPr>
          <w:sz w:val="20"/>
          <w:szCs w:val="20"/>
          <w:color w:val="auto"/>
        </w:rPr>
      </w:pPr>
    </w:p>
    <w:p>
      <w:pPr>
        <w:jc w:val="both"/>
        <w:ind w:right="40" w:firstLine="415"/>
        <w:spacing w:after="0" w:line="312" w:lineRule="auto"/>
        <w:rPr>
          <w:sz w:val="20"/>
          <w:szCs w:val="20"/>
          <w:color w:val="auto"/>
        </w:rPr>
      </w:pPr>
      <w:r>
        <w:rPr>
          <w:rFonts w:ascii="Arial" w:cs="Arial" w:eastAsia="Arial" w:hAnsi="Arial"/>
          <w:sz w:val="16"/>
          <w:szCs w:val="16"/>
          <w:color w:val="auto"/>
        </w:rPr>
        <w:t>The use of MG01CI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4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MG01CI or any other product candidate for which we obtain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our business reputation and exposure to adverse publicity;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warnings on product labels;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9" w:name="page20"/>
    <w:bookmarkEnd w:id="19"/>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successfully commercialize MG01CI or any other product candidate for which we obtain marketing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lawsuits are successfully brought against us, our insurance may be inadequate.</w:t>
      </w:r>
    </w:p>
    <w:p>
      <w:pPr>
        <w:spacing w:after="0" w:line="225"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We have previously obtained clinical trial insurance coverage for our clinical trials with a $3.0 million annual aggregate coverage limit and we expect that we will obtain additional insurance as we conduct additional clinical trials.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82" w:lineRule="exact"/>
        <w:rPr>
          <w:sz w:val="20"/>
          <w:szCs w:val="20"/>
          <w:color w:val="auto"/>
        </w:rPr>
      </w:pPr>
    </w:p>
    <w:p>
      <w:pPr>
        <w:ind w:right="440" w:firstLine="416"/>
        <w:spacing w:after="0" w:line="302"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70"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We are an emerging biopharmaceutical company with a limited operating history. We are in the development stage. To date, we have focused almost exclusively on developing our lead compound, MG01CI. We have funded our operations to date primarily through proceeds from the private and public placement of ordinary shares and convertible notes.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six months ended June 30, 2012 and 2013 and full year 2012 was approximately $1 million, $1.7 million and $1.6 million, respectively. As of June 30, 2013, we had an accumulated deficit of $9.9 million. Substantially all of our operating losses resulted from costs incurred in connection with our development program and from general and administrative costs associated with our operations.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0" w:name="page21"/>
    <w:bookmarkEnd w:id="20"/>
    <w:p>
      <w:pPr>
        <w:ind w:right="60" w:firstLine="416"/>
        <w:spacing w:after="0" w:line="293" w:lineRule="auto"/>
        <w:rPr>
          <w:sz w:val="20"/>
          <w:szCs w:val="20"/>
          <w:color w:val="auto"/>
        </w:rPr>
      </w:pPr>
      <w:r>
        <w:rPr>
          <w:rFonts w:ascii="Arial" w:cs="Arial" w:eastAsia="Arial" w:hAnsi="Arial"/>
          <w:sz w:val="16"/>
          <w:szCs w:val="16"/>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following the initial public offering of our ordinary shares in May 2013, we incur and expect to continue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not generated any revenue from MG01CI or any other product candidate and may never be profitable.</w:t>
      </w:r>
    </w:p>
    <w:p>
      <w:pPr>
        <w:spacing w:after="0" w:line="225" w:lineRule="exact"/>
        <w:rPr>
          <w:sz w:val="20"/>
          <w:szCs w:val="20"/>
          <w:color w:val="auto"/>
        </w:rPr>
      </w:pPr>
    </w:p>
    <w:p>
      <w:pPr>
        <w:jc w:val="both"/>
        <w:ind w:right="20" w:firstLine="416"/>
        <w:spacing w:after="0" w:line="312"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4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favorable results from and progress the clinical development of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protocols for MG01CI;</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successful completion of registration, clinical trials and perhaps additional clinical trials of MG01CI, apply for and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for the manufacture of commercial quantities of MG01CI at acceptable cost levels if marketing approval is received;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sales and marketing capabilities, both internal and external, to effectively market and sell MG01CI in the United States and other countries.</w:t>
      </w:r>
    </w:p>
    <w:p>
      <w:pPr>
        <w:spacing w:after="0" w:line="248"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Even if MG01CI is approved for commercial sale for the treatment of ADHD or Fragile X,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substantial additional capital in the future. If additional capital is not available, we will have to delay, reduce or cease operations.</w:t>
      </w:r>
    </w:p>
    <w:p>
      <w:pPr>
        <w:spacing w:after="0" w:line="248" w:lineRule="exact"/>
        <w:rPr>
          <w:sz w:val="20"/>
          <w:szCs w:val="20"/>
          <w:color w:val="auto"/>
        </w:rPr>
      </w:pPr>
    </w:p>
    <w:p>
      <w:pPr>
        <w:ind w:right="80" w:firstLine="416"/>
        <w:spacing w:after="0" w:line="277" w:lineRule="auto"/>
        <w:rPr>
          <w:sz w:val="20"/>
          <w:szCs w:val="20"/>
          <w:color w:val="auto"/>
        </w:rPr>
      </w:pPr>
      <w:r>
        <w:rPr>
          <w:rFonts w:ascii="Arial" w:cs="Arial" w:eastAsia="Arial" w:hAnsi="Arial"/>
          <w:sz w:val="18"/>
          <w:szCs w:val="18"/>
          <w:color w:val="auto"/>
        </w:rPr>
        <w:t>We may need to raise substantial additional capital to fund our operations and to develop and commercialize MG01CI. Our future capital requirements may be substantial and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clinical trials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timing and outcomes of seeking marketing approval of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the cost of defending our one issued patent and future patents, if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prosecuting infringement actions against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exploration and possible label expansion of MG01CI for the treatment of other conditions;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commercializing MG01CI if we receive marketing approval, including the cost and timing of establishing sales, marketing and distribution capabilities to market and sell MG01CI;</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1" w:name="page22"/>
    <w:bookmarkEnd w:id="21"/>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sales of MG01CI,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receipt of marketing approval, revenue received from sales of approved products, if any,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Based on our current operating plan, we anticipate that the net proceeds of this offering, together with our existing resources, will be sufficient to enable us to maintain our currently planned operations, including our continued product development (which does not include conducting clinical trials in the EU or Japan), at least through 2016. We believe these funds will enable us, among other things, to complete any preparatory clinical and non-clinical work, as well as two Phase 3 clinical trials in ADHD for adults, complete two advanced clinical trials of MG01CI for Fragile X and to complete the necessary preparations and conducting a Phase 3 clinical study in children that suffer from ADHD.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limit, reduce, or terminate clinical trials or other development activities for MG01CI; or</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commercialize MG01CI, if we obtain marketing approval.</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addition, we may seek additional capital due to favorable market conditions or strategic considerations even if we believe we have sufficient funds for our current or future operating plans.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48"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notes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capacity and anticipate reliance on third-party manufacturers for our products.</w:t>
      </w:r>
    </w:p>
    <w:p>
      <w:pPr>
        <w:spacing w:after="0" w:line="225"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on a timely basis. We plan to continue to rely upon contract manufacturers and, potentially, collaboration partners to manufacture commercial quantities of our drug product candidates if and when approved for marketing by the applicable regulatory authorities. If the third-party manufacturing sources we rely on cease to be available to us on commercially reasonable terms or on a timely basis, we may not be able to complete development, production and marketing of MG01CI.</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ind w:firstLine="416"/>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based on its own business priorities, at a time that is costly or damaging to us. We will be dependent on the ability of these third-party manufacturers to produce supplies of drug product adequate to support our clinical development programs and future commercialization of our MG01CI. In addition, the FDA and other regulatory authorities require that MG01CI be manufactured according to cGMP and similar foreign standards. Any failure by our third-party manufacturers to comply with cGMP or failure to scale up manufacturing processes, including any failure to deliver sufficient quantities of MG01CI in a timely manner, could lead to a delay in, or failure to obtain, regulatory approval for trial initiation or marketing of MG01CI. In addition, such failure could be the basis for action by the FDA to withdraw approvals for product candidates previously granted to us and for other regulatory action, including recall or seizure, fines, imposition of operating restrictions, total or partial suspension of production or injunctions.</w:t>
      </w:r>
    </w:p>
    <w:p>
      <w:pPr>
        <w:spacing w:after="0" w:line="183" w:lineRule="exact"/>
        <w:rPr>
          <w:sz w:val="20"/>
          <w:szCs w:val="20"/>
          <w:color w:val="auto"/>
        </w:rPr>
      </w:pPr>
    </w:p>
    <w:p>
      <w:pPr>
        <w:ind w:right="20" w:firstLine="416"/>
        <w:spacing w:after="0" w:line="289" w:lineRule="auto"/>
        <w:rPr>
          <w:sz w:val="20"/>
          <w:szCs w:val="20"/>
          <w:color w:val="auto"/>
        </w:rPr>
      </w:pPr>
      <w:r>
        <w:rPr>
          <w:rFonts w:ascii="Arial" w:cs="Arial" w:eastAsia="Arial" w:hAnsi="Arial"/>
          <w:sz w:val="16"/>
          <w:szCs w:val="16"/>
          <w:color w:val="auto"/>
        </w:rPr>
        <w:t>We have limited staffing and rely on our manufacturers to purchase from third-party suppliers the materials necessary to produce MG01CI for our clinical studies. There are a small number of suppliers for certain capital equipment and materials that we use to manufacture our drugs. Such suppliers may not sell these materials to our manufacturers at the times we need them or on commercially reasonable terms. We do not have any control over the process or timing of the acquisition of these materials by our manufacturers. Moreover, we currently do not have any agreements for the commercial production of these materials. Although we generally do not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If our manufacturers or we are unable to purchase these materials after regulatory approval has been obtained for MG01CI, its commercial launch would be delayed or there would be a shortage in supply, either of which would impair our ability to generate revenues from the sale of MG01CI.</w:t>
      </w:r>
    </w:p>
    <w:p>
      <w:pPr>
        <w:spacing w:after="0" w:line="167"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188" w:lineRule="exact"/>
        <w:rPr>
          <w:sz w:val="20"/>
          <w:szCs w:val="20"/>
          <w:color w:val="auto"/>
        </w:rPr>
      </w:pPr>
    </w:p>
    <w:p>
      <w:pPr>
        <w:ind w:right="200" w:firstLine="416"/>
        <w:spacing w:after="0" w:line="279" w:lineRule="auto"/>
        <w:rPr>
          <w:sz w:val="20"/>
          <w:szCs w:val="20"/>
          <w:color w:val="auto"/>
        </w:rPr>
      </w:pPr>
      <w:r>
        <w:rPr>
          <w:rFonts w:ascii="Arial" w:cs="Arial" w:eastAsia="Arial" w:hAnsi="Arial"/>
          <w:sz w:val="17"/>
          <w:szCs w:val="17"/>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71" w:lineRule="exact"/>
        <w:rPr>
          <w:sz w:val="20"/>
          <w:szCs w:val="20"/>
          <w:color w:val="auto"/>
        </w:rPr>
      </w:pPr>
    </w:p>
    <w:p>
      <w:pPr>
        <w:jc w:val="both"/>
        <w:ind w:right="20" w:firstLine="416"/>
        <w:spacing w:after="0" w:line="264" w:lineRule="auto"/>
        <w:rPr>
          <w:sz w:val="20"/>
          <w:szCs w:val="20"/>
          <w:color w:val="auto"/>
        </w:rPr>
      </w:pPr>
      <w:r>
        <w:rPr>
          <w:rFonts w:ascii="Arial" w:cs="Arial" w:eastAsia="Arial" w:hAnsi="Arial"/>
          <w:sz w:val="18"/>
          <w:szCs w:val="18"/>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81" w:lineRule="exact"/>
        <w:rPr>
          <w:sz w:val="20"/>
          <w:szCs w:val="20"/>
          <w:color w:val="auto"/>
        </w:rPr>
      </w:pPr>
    </w:p>
    <w:p>
      <w:pPr>
        <w:ind w:right="760" w:firstLine="416"/>
        <w:spacing w:after="0" w:line="264" w:lineRule="auto"/>
        <w:rPr>
          <w:sz w:val="20"/>
          <w:szCs w:val="20"/>
          <w:color w:val="auto"/>
        </w:rPr>
      </w:pPr>
      <w:r>
        <w:rPr>
          <w:rFonts w:ascii="Arial" w:cs="Arial" w:eastAsia="Arial" w:hAnsi="Arial"/>
          <w:sz w:val="18"/>
          <w:szCs w:val="18"/>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70"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67"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We previously had a collaboration with Teva Pharmaceuticals, Ltd., a large Israeli generic drug manufacturer. After our successful proof of concept trial in 2010, Teva made an equity investment in us, negotiated the right to acquire us should MG01CI reach market, and funded the next stage of clinical development of MG01CI. All of Teva’s rights with respect to the development of MG01CI and its right to acquire us terminated when it failed to timely exercise an option to continue financing the development of MG01CI in November 2011. We do not have any continuing obligations to Teva other than that Teva continues to be a shareholder of the Company with related rights.</w:t>
      </w:r>
    </w:p>
    <w:p>
      <w:pPr>
        <w:spacing w:after="0" w:line="188"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81"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81" w:lineRule="exact"/>
        <w:rPr>
          <w:sz w:val="20"/>
          <w:szCs w:val="20"/>
          <w:color w:val="auto"/>
        </w:rPr>
      </w:pPr>
    </w:p>
    <w:p>
      <w:pPr>
        <w:ind w:right="100" w:firstLine="416"/>
        <w:spacing w:after="0" w:line="302" w:lineRule="auto"/>
        <w:rPr>
          <w:sz w:val="20"/>
          <w:szCs w:val="20"/>
          <w:color w:val="auto"/>
        </w:rPr>
      </w:pPr>
      <w:r>
        <w:rPr>
          <w:rFonts w:ascii="Arial" w:cs="Arial" w:eastAsia="Arial" w:hAnsi="Arial"/>
          <w:sz w:val="16"/>
          <w:szCs w:val="16"/>
          <w:color w:val="auto"/>
        </w:rPr>
        <w:t>Even with respect to certain other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acceptable terms or at all.</w:t>
      </w:r>
    </w:p>
    <w:p>
      <w:pPr>
        <w:spacing w:after="0" w:line="154"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depend on third parties to conduct our clinical trials.</w:t>
      </w:r>
    </w:p>
    <w:p>
      <w:pPr>
        <w:spacing w:after="0" w:line="225" w:lineRule="exact"/>
        <w:rPr>
          <w:sz w:val="20"/>
          <w:szCs w:val="20"/>
          <w:color w:val="auto"/>
        </w:rPr>
      </w:pPr>
    </w:p>
    <w:p>
      <w:pPr>
        <w:ind w:right="80" w:firstLine="416"/>
        <w:spacing w:after="0" w:line="253" w:lineRule="auto"/>
        <w:rPr>
          <w:sz w:val="20"/>
          <w:szCs w:val="20"/>
          <w:color w:val="auto"/>
        </w:rPr>
      </w:pPr>
      <w:r>
        <w:rPr>
          <w:rFonts w:ascii="Arial" w:cs="Arial" w:eastAsia="Arial" w:hAnsi="Arial"/>
          <w:sz w:val="18"/>
          <w:szCs w:val="18"/>
          <w:color w:val="auto"/>
        </w:rPr>
        <w:t>We rely on third parties, such as contract research organizations, medical institutions, clinical investigators and contract laboratories to oversee some of the operations of our clinical trials and to perform data collection and analysis. If we are unable to maintain or enter into agreements with these third parties on acceptable terms, or if any such agreement is terminated, we may be unable to enroll patients on a timely basis or otherwise conduct our trials in the manner we anticipate. Even if we are able to maintain or enter into such agreements,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780"/>
        <w:spacing w:after="0" w:line="381" w:lineRule="auto"/>
        <w:rPr>
          <w:sz w:val="20"/>
          <w:szCs w:val="20"/>
          <w:color w:val="auto"/>
        </w:rPr>
      </w:pPr>
      <w:r>
        <w:rPr>
          <w:rFonts w:ascii="Arial" w:cs="Arial" w:eastAsia="Arial" w:hAnsi="Arial"/>
          <w:sz w:val="15"/>
          <w:szCs w:val="15"/>
          <w:b w:val="1"/>
          <w:bCs w:val="1"/>
          <w:i w:val="1"/>
          <w:iCs w:val="1"/>
          <w:color w:val="auto"/>
        </w:rPr>
        <w:t>We have filed multiple patent applications and have one issued patent by the U.S. PTO. There can be no assurance that any of our other patent applications will result in issued patents. As a result, we may have limited protection of our proprietary technology in the marketplace.</w:t>
      </w:r>
    </w:p>
    <w:p>
      <w:pPr>
        <w:spacing w:after="0" w:line="10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The U.S. PTO has issued one patent to us, covering the composition of the sustained release form of MG01CI. Unless and until other pending applications issue, their additional protective scope is impossible to determine. It is impossible to predict whether or how many of these additional applications will result in issued patents. Even if pending applications issue, they may issue with claims significantly narrower than those we currently seek. The patent position of biotechnology and pharmaceutical companies is generally uncertain because it involves complex legal and factual considerations. The standards applied by the U.S. 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patent positions of pharmaceutical products are complex and uncertain and therefore we cannot predict the scope and extent of patent protection for MG01CI with respect to our issued patent, or any patents we may be issued in the future.</w:t>
      </w:r>
    </w:p>
    <w:p>
      <w:pPr>
        <w:spacing w:after="0" w:line="170" w:lineRule="exact"/>
        <w:rPr>
          <w:sz w:val="20"/>
          <w:szCs w:val="20"/>
          <w:color w:val="auto"/>
        </w:rPr>
      </w:pPr>
    </w:p>
    <w:p>
      <w:pPr>
        <w:ind w:right="140" w:firstLine="416"/>
        <w:spacing w:after="0" w:line="277" w:lineRule="auto"/>
        <w:rPr>
          <w:sz w:val="20"/>
          <w:szCs w:val="20"/>
          <w:color w:val="auto"/>
        </w:rPr>
      </w:pPr>
      <w:r>
        <w:rPr>
          <w:rFonts w:ascii="Arial" w:cs="Arial" w:eastAsia="Arial" w:hAnsi="Arial"/>
          <w:sz w:val="18"/>
          <w:szCs w:val="18"/>
          <w:color w:val="auto"/>
        </w:rPr>
        <w:t>The patent we were issued as well as any additional patents that may in the future issue to us will not ensure the protection of our intellectual property for a number of reasons, including without limitation the following: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issued patents may not be broad or strong enough to prevent competition from other products including identical or similar products;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we are not issued additional patents or if issued patents expire, there would be no protections against competitors making generic equivalents;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other patents existing in the patent landscape for MG01CI that will affect our freedom to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our one issued patent or future ones, if issued, are challenged, a court could determine that they are not valid or enforceable;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our one issued patent or future patents, if issued;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one issued patent and future patents, if issued, could irretrievably lapse due to failure to pay fees or otherwise comply with regulations, or could be subject to compulsory licensing; and</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25" w:name="page26"/>
    <w:bookmarkEnd w:id="25"/>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70" w:lineRule="exact"/>
        <w:rPr>
          <w:sz w:val="20"/>
          <w:szCs w:val="20"/>
          <w:color w:val="auto"/>
        </w:rPr>
      </w:pPr>
    </w:p>
    <w:p>
      <w:pPr>
        <w:ind w:right="60" w:firstLine="416"/>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intellectual property rights, and will make it more difficult to monitor and enforce any patent rights that may be issued to us.</w:t>
      </w:r>
    </w:p>
    <w:p>
      <w:pPr>
        <w:spacing w:after="0" w:line="18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70"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78"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ind w:right="40"/>
        <w:spacing w:after="0" w:line="264"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w:t>
      </w:r>
    </w:p>
    <w:p>
      <w:pPr>
        <w:spacing w:after="0" w:line="181" w:lineRule="exact"/>
        <w:rPr>
          <w:sz w:val="20"/>
          <w:szCs w:val="20"/>
          <w:color w:val="auto"/>
        </w:rPr>
      </w:pPr>
    </w:p>
    <w:p>
      <w:pPr>
        <w:ind w:firstLine="389"/>
        <w:spacing w:after="0" w:line="268" w:lineRule="auto"/>
        <w:rPr>
          <w:sz w:val="20"/>
          <w:szCs w:val="20"/>
          <w:color w:val="auto"/>
        </w:rPr>
      </w:pPr>
      <w:r>
        <w:rPr>
          <w:rFonts w:ascii="Arial" w:cs="Arial" w:eastAsia="Arial" w:hAnsi="Arial"/>
          <w:sz w:val="17"/>
          <w:szCs w:val="17"/>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the Israeli Supreme Court ruled in 2012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employee’s right for royalties and compensation, does not rule out the right of the employee to claim their right for royalties. As a result, it is unclear if, and to what extent, our employees may be able to claim compensation with respect to our future revenue. As a result, we may receive less revenue from future products if such claims are successful which in turn could impact our future profitability.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60" w:lineRule="exact"/>
        <w:rPr>
          <w:sz w:val="20"/>
          <w:szCs w:val="20"/>
          <w:color w:val="auto"/>
        </w:rPr>
      </w:pPr>
    </w:p>
    <w:p>
      <w:pPr>
        <w:ind w:right="140" w:firstLine="416"/>
        <w:spacing w:after="0" w:line="279" w:lineRule="auto"/>
        <w:rPr>
          <w:sz w:val="20"/>
          <w:szCs w:val="20"/>
          <w:color w:val="auto"/>
        </w:rPr>
      </w:pPr>
      <w:r>
        <w:rPr>
          <w:rFonts w:ascii="Arial" w:cs="Arial" w:eastAsia="Arial" w:hAnsi="Arial"/>
          <w:sz w:val="17"/>
          <w:szCs w:val="17"/>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71" w:lineRule="exact"/>
        <w:rPr>
          <w:sz w:val="20"/>
          <w:szCs w:val="20"/>
          <w:color w:val="auto"/>
        </w:rPr>
      </w:pPr>
    </w:p>
    <w:p>
      <w:pPr>
        <w:ind w:right="60" w:firstLine="416"/>
        <w:spacing w:after="0" w:line="259" w:lineRule="auto"/>
        <w:rPr>
          <w:sz w:val="20"/>
          <w:szCs w:val="20"/>
          <w:color w:val="auto"/>
        </w:rPr>
      </w:pPr>
      <w:r>
        <w:rPr>
          <w:rFonts w:ascii="Arial" w:cs="Arial" w:eastAsia="Arial" w:hAnsi="Arial"/>
          <w:sz w:val="18"/>
          <w:szCs w:val="18"/>
          <w:color w:val="auto"/>
        </w:rPr>
        <w:t>In addition, our patent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 and patent applications subject to challenge. Any of these challenges, regardless of their success, would likely be time consuming and expensive to defend and resolve and would divert our management’s time and attention.</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our one issued patent, or future patents, if issued, in general, thereby impairing our ability to protect our products.</w:t>
      </w:r>
    </w:p>
    <w:p>
      <w:pPr>
        <w:spacing w:after="0" w:line="170" w:lineRule="exact"/>
        <w:rPr>
          <w:sz w:val="20"/>
          <w:szCs w:val="20"/>
          <w:color w:val="auto"/>
        </w:rPr>
      </w:pPr>
    </w:p>
    <w:p>
      <w:pPr>
        <w:ind w:right="180" w:firstLine="416"/>
        <w:spacing w:after="0" w:line="290"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ordinary shares to decline.</w:t>
      </w:r>
    </w:p>
    <w:p>
      <w:pPr>
        <w:spacing w:after="0" w:line="260" w:lineRule="exact"/>
        <w:rPr>
          <w:sz w:val="20"/>
          <w:szCs w:val="20"/>
          <w:color w:val="auto"/>
        </w:rPr>
      </w:pPr>
    </w:p>
    <w:p>
      <w:pPr>
        <w:ind w:right="420" w:firstLine="416"/>
        <w:spacing w:after="0" w:line="264" w:lineRule="auto"/>
        <w:rPr>
          <w:sz w:val="20"/>
          <w:szCs w:val="20"/>
          <w:color w:val="auto"/>
        </w:rPr>
      </w:pPr>
      <w:r>
        <w:rPr>
          <w:rFonts w:ascii="Arial" w:cs="Arial" w:eastAsia="Arial" w:hAnsi="Arial"/>
          <w:sz w:val="18"/>
          <w:szCs w:val="18"/>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ordinary shares may decline.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clinical-stage company with no approved products, which makes it difficult to assess our future viability.</w:t>
      </w:r>
    </w:p>
    <w:p>
      <w:pPr>
        <w:spacing w:after="0" w:line="225"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We are a clinical-stage biopharmaceutical company with a limited operating history. We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8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execute product candidate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build and maintain robust sales, distribution and marketing capabilities, either on our own or in collaboration with strategic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gain market acceptance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maintain any strategic relationships we elect to enter into; and</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drug discovery, pre-clinical development, clinical trials, regulatory approvals and commercialization.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develop product candidates, raise capital, expand our business or continue our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60"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Our key employees include our Chief Executive Officer, Dr. Yaron Daniely, who has been with us since 2010, our Chief Medical Officer, Dr. Jonathan Rubin, who has been with us since 2013, our Vice President CMC (chemistry, manufacturing and controls) &amp; Non-Clinical Development, Ms. Hanna Ron, who has been with us since 2011, and our Vice President, Finance Mr. Nir Peles, who has been with us since 2013. A key consultant is our Chief Financial Officer/Chief Accounting Officer, Udi Gilboa, who co-founded us in 2008 and has been with us since. Our future growth and success depend on our ability to recruit, retain, manage and motivate our employees and key consultants. The loss of the services of our chief executive officer, our chief financial officer or any of our key employees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92" w:lineRule="exact"/>
        <w:rPr>
          <w:sz w:val="20"/>
          <w:szCs w:val="20"/>
          <w:color w:val="auto"/>
        </w:rPr>
      </w:pPr>
    </w:p>
    <w:p>
      <w:pPr>
        <w:ind w:right="80" w:firstLine="416"/>
        <w:spacing w:after="0" w:line="276" w:lineRule="auto"/>
        <w:rPr>
          <w:sz w:val="20"/>
          <w:szCs w:val="20"/>
          <w:color w:val="auto"/>
        </w:rPr>
      </w:pPr>
      <w:r>
        <w:rPr>
          <w:rFonts w:ascii="Arial" w:cs="Arial" w:eastAsia="Arial" w:hAnsi="Arial"/>
          <w:sz w:val="17"/>
          <w:szCs w:val="17"/>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73" w:lineRule="exact"/>
        <w:rPr>
          <w:sz w:val="20"/>
          <w:szCs w:val="20"/>
          <w:color w:val="auto"/>
        </w:rPr>
      </w:pPr>
    </w:p>
    <w:p>
      <w:pPr>
        <w:ind w:right="220" w:firstLine="45"/>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our shareholders could lose confidence in our financial and other public reporting, which would harm our business and the trading price of our ordinary shares.</w:t>
      </w:r>
    </w:p>
    <w:p>
      <w:pPr>
        <w:spacing w:after="0" w:line="181" w:lineRule="exact"/>
        <w:rPr>
          <w:sz w:val="20"/>
          <w:szCs w:val="20"/>
          <w:color w:val="auto"/>
        </w:rPr>
      </w:pPr>
    </w:p>
    <w:p>
      <w:pPr>
        <w:ind w:right="20" w:firstLine="416"/>
        <w:spacing w:after="0" w:line="293"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ordinary shares.</w:t>
      </w:r>
    </w:p>
    <w:p>
      <w:pPr>
        <w:spacing w:after="0" w:line="165"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of the Sarbanes-Oxley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significantly increase the size of our organization, and we may experience difficulties in managing growth.</w:t>
      </w:r>
    </w:p>
    <w:p>
      <w:pPr>
        <w:spacing w:after="0" w:line="225" w:lineRule="exact"/>
        <w:rPr>
          <w:sz w:val="20"/>
          <w:szCs w:val="20"/>
          <w:color w:val="auto"/>
        </w:rPr>
      </w:pPr>
    </w:p>
    <w:p>
      <w:pPr>
        <w:ind w:right="180" w:firstLine="416"/>
        <w:spacing w:after="0" w:line="312" w:lineRule="auto"/>
        <w:rPr>
          <w:sz w:val="20"/>
          <w:szCs w:val="20"/>
          <w:color w:val="auto"/>
        </w:rPr>
      </w:pPr>
      <w:r>
        <w:rPr>
          <w:rFonts w:ascii="Arial" w:cs="Arial" w:eastAsia="Arial" w:hAnsi="Arial"/>
          <w:sz w:val="16"/>
          <w:szCs w:val="16"/>
          <w:color w:val="auto"/>
        </w:rPr>
        <w:t>We currently have only seven employees and in order to commercialize our products, we may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4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9" w:name="page30"/>
    <w:bookmarkEnd w:id="29"/>
    <w:p>
      <w:pPr>
        <w:ind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188" w:lineRule="exact"/>
        <w:rPr>
          <w:sz w:val="20"/>
          <w:szCs w:val="20"/>
          <w:color w:val="auto"/>
        </w:rPr>
      </w:pPr>
    </w:p>
    <w:p>
      <w:pPr>
        <w:ind w:left="600" w:hanging="187"/>
        <w:spacing w:after="0" w:line="259"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Medicare-Medicaid Anti-Fraud and Abuse Act, as amended (the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86" w:lineRule="exact"/>
        <w:rPr>
          <w:rFonts w:ascii="Arial" w:cs="Arial" w:eastAsia="Arial" w:hAnsi="Arial"/>
          <w:sz w:val="18"/>
          <w:szCs w:val="18"/>
          <w:color w:val="auto"/>
        </w:rPr>
      </w:pPr>
    </w:p>
    <w:p>
      <w:pPr>
        <w:ind w:left="600" w:right="40" w:hanging="187"/>
        <w:spacing w:after="0" w:line="286"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165" w:lineRule="exact"/>
        <w:rPr>
          <w:rFonts w:ascii="Arial" w:cs="Arial" w:eastAsia="Arial" w:hAnsi="Arial"/>
          <w:sz w:val="17"/>
          <w:szCs w:val="17"/>
          <w:color w:val="auto"/>
        </w:rPr>
      </w:pPr>
    </w:p>
    <w:p>
      <w:pPr>
        <w:ind w:left="600" w:hanging="187"/>
        <w:spacing w:after="0" w:line="273"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or HITECH,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78" w:lineRule="exact"/>
        <w:rPr>
          <w:rFonts w:ascii="Arial" w:cs="Arial" w:eastAsia="Arial" w:hAnsi="Arial"/>
          <w:sz w:val="17"/>
          <w:szCs w:val="17"/>
          <w:color w:val="auto"/>
        </w:rPr>
      </w:pPr>
    </w:p>
    <w:p>
      <w:pPr>
        <w:ind w:left="600" w:right="220" w:hanging="187"/>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delivery of or payment for healthcare benefits, items or services;</w:t>
      </w:r>
    </w:p>
    <w:p>
      <w:pPr>
        <w:spacing w:after="0" w:line="170" w:lineRule="exact"/>
        <w:rPr>
          <w:rFonts w:ascii="Arial" w:cs="Arial" w:eastAsia="Arial" w:hAnsi="Arial"/>
          <w:sz w:val="18"/>
          <w:szCs w:val="18"/>
          <w:color w:val="auto"/>
        </w:rPr>
      </w:pPr>
    </w:p>
    <w:p>
      <w:pPr>
        <w:ind w:left="600" w:right="40" w:hanging="187"/>
        <w:spacing w:after="0" w:line="264"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U.S. Department of Health and Human Services information related to physician payments and other transfers of value and physician ownership and investment interests;</w:t>
      </w:r>
    </w:p>
    <w:p>
      <w:pPr>
        <w:spacing w:after="0" w:line="181" w:lineRule="exact"/>
        <w:rPr>
          <w:rFonts w:ascii="Arial" w:cs="Arial" w:eastAsia="Arial" w:hAnsi="Arial"/>
          <w:sz w:val="18"/>
          <w:szCs w:val="18"/>
          <w:color w:val="auto"/>
        </w:rPr>
      </w:pPr>
    </w:p>
    <w:p>
      <w:pPr>
        <w:ind w:left="600" w:right="80" w:hanging="187"/>
        <w:spacing w:after="0" w:line="25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88" w:lineRule="exact"/>
        <w:rPr>
          <w:rFonts w:ascii="Arial" w:cs="Arial" w:eastAsia="Arial" w:hAnsi="Arial"/>
          <w:sz w:val="18"/>
          <w:szCs w:val="18"/>
          <w:color w:val="auto"/>
        </w:rPr>
      </w:pPr>
    </w:p>
    <w:p>
      <w:pPr>
        <w:ind w:left="600" w:hanging="187"/>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 may also apply.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0" w:name="page31"/>
    <w:bookmarkEnd w:id="30"/>
    <w:p>
      <w:pPr>
        <w:ind w:right="40" w:firstLine="41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employees commit fraud or other misconduct, including noncompliance with regulatory standards and requirements and insider trading, our business may experience serious adverse consequences.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to provide accurate information to the FDA, to comply with manufacturing standards we have established, to comply with federal and state healthcare fraud and abuse laws and regulations,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0" w:lineRule="exact"/>
        <w:rPr>
          <w:sz w:val="20"/>
          <w:szCs w:val="20"/>
          <w:color w:val="auto"/>
        </w:rPr>
      </w:pPr>
    </w:p>
    <w:p>
      <w:pPr>
        <w:ind w:right="120" w:firstLine="416"/>
        <w:spacing w:after="0" w:line="293" w:lineRule="auto"/>
        <w:rPr>
          <w:sz w:val="20"/>
          <w:szCs w:val="20"/>
          <w:color w:val="auto"/>
        </w:rPr>
      </w:pPr>
      <w:r>
        <w:rPr>
          <w:rFonts w:ascii="Arial" w:cs="Arial" w:eastAsia="Arial" w:hAnsi="Arial"/>
          <w:sz w:val="16"/>
          <w:szCs w:val="16"/>
          <w:color w:val="auto"/>
        </w:rPr>
        <w:t>In addition, during the course of our operations, our directors, executives and employees may have access to material, nonpublic information regarding our business, our results of operations or potential transactions we are considering. Despite the adoption of an Insider Trading Policy, we may not be able to prevent a director, executive or employee from trading in our ordinary shares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macroeconomic conditions.</w:t>
      </w:r>
    </w:p>
    <w:p>
      <w:pPr>
        <w:spacing w:after="0" w:line="225" w:lineRule="exact"/>
        <w:rPr>
          <w:sz w:val="20"/>
          <w:szCs w:val="20"/>
          <w:color w:val="auto"/>
        </w:rPr>
      </w:pPr>
    </w:p>
    <w:p>
      <w:pPr>
        <w:ind w:right="20" w:firstLine="416"/>
        <w:spacing w:after="0" w:line="279" w:lineRule="auto"/>
        <w:rPr>
          <w:sz w:val="20"/>
          <w:szCs w:val="20"/>
          <w:color w:val="auto"/>
        </w:rPr>
      </w:pPr>
      <w:r>
        <w:rPr>
          <w:rFonts w:ascii="Arial" w:cs="Arial" w:eastAsia="Arial" w:hAnsi="Arial"/>
          <w:sz w:val="17"/>
          <w:szCs w:val="17"/>
          <w:color w:val="auto"/>
        </w:rPr>
        <w:t>A deterioration in global economic conditions and uncertainties may have an adverse effect on our business. Interest rates and the ability to access credit markets could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Ownership of Our Ordinary Shares</w:t>
      </w:r>
    </w:p>
    <w:p>
      <w:pPr>
        <w:spacing w:after="0" w:line="229" w:lineRule="exact"/>
        <w:rPr>
          <w:sz w:val="20"/>
          <w:szCs w:val="20"/>
          <w:color w:val="auto"/>
        </w:rPr>
      </w:pPr>
    </w:p>
    <w:p>
      <w:pPr>
        <w:ind w:right="40" w:firstLine="45"/>
        <w:spacing w:after="0" w:line="277" w:lineRule="auto"/>
        <w:rPr>
          <w:sz w:val="20"/>
          <w:szCs w:val="20"/>
          <w:color w:val="auto"/>
        </w:rPr>
      </w:pPr>
      <w:r>
        <w:rPr>
          <w:rFonts w:ascii="Arial" w:cs="Arial" w:eastAsia="Arial" w:hAnsi="Arial"/>
          <w:sz w:val="18"/>
          <w:szCs w:val="18"/>
          <w:b w:val="1"/>
          <w:bCs w:val="1"/>
          <w:i w:val="1"/>
          <w:iCs w:val="1"/>
          <w:color w:val="auto"/>
        </w:rPr>
        <w:t>We do not know whether a market for our ordinary shares will be sustained or what the market price of our ordinary shares will be and as a result it may be difficult for you to sell your shares.</w:t>
      </w:r>
    </w:p>
    <w:p>
      <w:pPr>
        <w:spacing w:after="0" w:line="170"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Although our ordinary shares are quoted on the NASDAQ Capital Market, an active trading market for our shares may not be sustained. It may be difficult for you to sell your shares at all or without depressing the market price for the shares. As a result of these and other factors, you may not be able to sell your ordinary shares at or above the offering price or at all. In addition, the trading price of our ordinary shares is likely to be volatile. The following factors, in addition to other risk factors described in this section, may have a significant impact on the market price of our ordinary shares: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further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adverse actions taken by regulatory agencies with respect to our clinical trials, manufacturing supply chain or sales and marketing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pharmaceuticals.</w:t>
      </w:r>
    </w:p>
    <w:p>
      <w:pPr>
        <w:spacing w:after="0" w:line="225"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firstLine="416"/>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6"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two major shareholders currently own approximately 50% of our outstanding ordinary shares and will own approximately 42% of our ordinary shares upon the closing of this offering. They will therefore be able to exert significant control over matters submitted to our shareholders for approval.</w:t>
      </w:r>
    </w:p>
    <w:p>
      <w:pPr>
        <w:spacing w:after="0" w:line="101" w:lineRule="exact"/>
        <w:rPr>
          <w:sz w:val="20"/>
          <w:szCs w:val="20"/>
          <w:color w:val="auto"/>
        </w:rPr>
      </w:pPr>
    </w:p>
    <w:p>
      <w:pPr>
        <w:jc w:val="both"/>
        <w:ind w:right="20" w:firstLine="416"/>
        <w:spacing w:after="0" w:line="273" w:lineRule="auto"/>
        <w:rPr>
          <w:sz w:val="20"/>
          <w:szCs w:val="20"/>
          <w:color w:val="auto"/>
        </w:rPr>
      </w:pPr>
      <w:r>
        <w:rPr>
          <w:rFonts w:ascii="Arial" w:cs="Arial" w:eastAsia="Arial" w:hAnsi="Arial"/>
          <w:sz w:val="17"/>
          <w:szCs w:val="17"/>
          <w:color w:val="auto"/>
        </w:rPr>
        <w:t>After this offering, our two major shareholders will, in the aggregate, beneficially own approximately 42% of our ordinary shares (assuming no 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If you purchase our ordinary shares in this offering, you will incur immediate and substantial dilution in the book value of your shares.</w:t>
      </w:r>
    </w:p>
    <w:p>
      <w:pPr>
        <w:spacing w:after="0" w:line="23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$12.53 per share, based on a public offering price of $16.50 per share, and our pro forma net tangible book value as of June 30, 2013. In addition, as of that date, options and warrants to purchase 1,115,466 of our ordinary shares at a weighted average exercise price of $5.24 per share were outstanding. The exercise of these options and warrants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our ordinary shares in the public market by our existing shareholders could cause our share price to fall.</w:t>
      </w:r>
    </w:p>
    <w:p>
      <w:pPr>
        <w:spacing w:after="0" w:line="237" w:lineRule="exact"/>
        <w:rPr>
          <w:sz w:val="20"/>
          <w:szCs w:val="20"/>
          <w:color w:val="auto"/>
        </w:rPr>
      </w:pPr>
    </w:p>
    <w:p>
      <w:pPr>
        <w:ind w:firstLine="416"/>
        <w:spacing w:after="0" w:line="289" w:lineRule="auto"/>
        <w:rPr>
          <w:sz w:val="20"/>
          <w:szCs w:val="20"/>
          <w:color w:val="auto"/>
        </w:rPr>
      </w:pPr>
      <w:r>
        <w:rPr>
          <w:rFonts w:ascii="Arial" w:cs="Arial" w:eastAsia="Arial" w:hAnsi="Arial"/>
          <w:sz w:val="16"/>
          <w:szCs w:val="16"/>
          <w:color w:val="auto"/>
        </w:rPr>
        <w:t>Sales of a substantial number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Approximately half of the shares owned by our existing shareholders and option holders are subject to lock-up agreements with the underwriters of this offering that restrict the shareholders’ ability to transfer our ordinary shares for at least three months from the date of this prospectus. In addition, other existing shareholders and option holders, who held our securities prior to our initial public offering consummated in May 2013, are subject to lock-up agreements that expire no earlier than November 21, 2013. Substantially all of our outstanding shares will become eligible for sale upon expiration of the applicable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our current policy is to invest available cash in bank deposits with banks that have a credit rating of at least A-minus. These investments may not yield a favorable return to our shareholders.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were to be characterized as a “passive foreign investment company” for U.S. tax purposes, U.S. holders of our ordinary shares could have adverse U.S. income tax consequences.</w:t>
      </w:r>
    </w:p>
    <w:p>
      <w:pPr>
        <w:spacing w:after="0" w:line="170"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3" w:name="page34"/>
    <w:bookmarkEnd w:id="33"/>
    <w:p>
      <w:pPr>
        <w:ind w:right="12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24"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70" w:lineRule="exact"/>
        <w:rPr>
          <w:sz w:val="20"/>
          <w:szCs w:val="20"/>
          <w:color w:val="auto"/>
        </w:rPr>
      </w:pPr>
    </w:p>
    <w:p>
      <w:pPr>
        <w:ind w:right="180" w:firstLine="416"/>
        <w:spacing w:after="0" w:line="259" w:lineRule="auto"/>
        <w:rPr>
          <w:sz w:val="20"/>
          <w:szCs w:val="20"/>
          <w:color w:val="auto"/>
        </w:rPr>
      </w:pPr>
      <w:r>
        <w:rPr>
          <w:rFonts w:ascii="Arial" w:cs="Arial" w:eastAsia="Arial" w:hAnsi="Arial"/>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require significant company resources and management attention.</w:t>
      </w:r>
    </w:p>
    <w:p>
      <w:pPr>
        <w:spacing w:after="0" w:line="225" w:lineRule="exact"/>
        <w:rPr>
          <w:sz w:val="20"/>
          <w:szCs w:val="20"/>
          <w:color w:val="auto"/>
        </w:rPr>
      </w:pPr>
    </w:p>
    <w:p>
      <w:pPr>
        <w:ind w:right="40" w:firstLine="416"/>
        <w:spacing w:after="0" w:line="290" w:lineRule="auto"/>
        <w:rPr>
          <w:sz w:val="20"/>
          <w:szCs w:val="20"/>
          <w:color w:val="auto"/>
        </w:rPr>
      </w:pPr>
      <w:r>
        <w:rPr>
          <w:rFonts w:ascii="Arial" w:cs="Arial" w:eastAsia="Arial" w:hAnsi="Arial"/>
          <w:sz w:val="16"/>
          <w:szCs w:val="16"/>
          <w:color w:val="auto"/>
        </w:rPr>
        <w:t>We are subject to the reporting requirements of the Exchange Act, the Sarbanes-Oxley Act, the listing requirements of the securities exchange on which our ordinary shares are traded,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incur additional legal, accounting and other expenses that we did not incur as a nonpublic company. We estimate that these expenses will be at least several hundred thousand dollars annually.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6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The recently enacted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81" w:lineRule="exact"/>
        <w:rPr>
          <w:sz w:val="20"/>
          <w:szCs w:val="20"/>
          <w:color w:val="auto"/>
        </w:rPr>
      </w:pPr>
    </w:p>
    <w:p>
      <w:pPr>
        <w:ind w:right="160" w:firstLine="415"/>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70" w:lineRule="exact"/>
        <w:rPr>
          <w:sz w:val="20"/>
          <w:szCs w:val="20"/>
          <w:color w:val="auto"/>
        </w:rPr>
      </w:pPr>
    </w:p>
    <w:p>
      <w:pPr>
        <w:ind w:left="660" w:right="5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not to comply with new accounting principles that do not apply to public companies until such accounting principles become applicable to private companies;</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ind w:right="20" w:firstLine="405"/>
        <w:spacing w:after="0" w:line="288"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ordinary shares that is</w:t>
      </w:r>
    </w:p>
    <w:p>
      <w:pPr>
        <w:ind w:right="100"/>
        <w:spacing w:after="0" w:line="205" w:lineRule="auto"/>
        <w:rPr>
          <w:sz w:val="20"/>
          <w:szCs w:val="20"/>
          <w:color w:val="auto"/>
        </w:rPr>
      </w:pPr>
      <w:r>
        <w:rPr>
          <w:rFonts w:ascii="Arial" w:cs="Arial" w:eastAsia="Arial" w:hAnsi="Arial"/>
          <w:sz w:val="18"/>
          <w:szCs w:val="18"/>
          <w:color w:val="auto"/>
        </w:rPr>
        <w:t>held by non-affiliates exceeds $700 million as of the prior June 30</w:t>
      </w:r>
      <w:r>
        <w:rPr>
          <w:rFonts w:ascii="Arial" w:cs="Arial" w:eastAsia="Arial" w:hAnsi="Arial"/>
          <w:sz w:val="30"/>
          <w:szCs w:val="3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203"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election to use the extended transition period for complying with new or revised accounting standards under the recently enacted JOBS Act could undermine investor confidence in our company and adversely affect the market price of our ordinary shares.</w:t>
      </w:r>
    </w:p>
    <w:p>
      <w:pPr>
        <w:spacing w:after="0" w:line="14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election to use the extended transition period for complying with new or revised accounting standards means that we may delay the adoption of new or revised accounting standards that have different effective dates for public and private companies until those standards apply to private companies. This election could undermine investor confidence in our company and adversely affect the market price of our ordinary shares in part because our financial statements may not be comparable to companies that comply with public company effective dates.</w:t>
      </w:r>
    </w:p>
    <w:p>
      <w:pPr>
        <w:spacing w:after="0" w:line="187"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01" w:lineRule="exact"/>
        <w:rPr>
          <w:sz w:val="20"/>
          <w:szCs w:val="20"/>
          <w:color w:val="auto"/>
        </w:rPr>
      </w:pPr>
    </w:p>
    <w:p>
      <w:pPr>
        <w:ind w:right="160" w:firstLine="405"/>
        <w:spacing w:after="0" w:line="270" w:lineRule="auto"/>
        <w:rPr>
          <w:sz w:val="20"/>
          <w:szCs w:val="20"/>
          <w:color w:val="auto"/>
        </w:rPr>
      </w:pPr>
      <w:r>
        <w:rPr>
          <w:rFonts w:ascii="Arial" w:cs="Arial" w:eastAsia="Arial" w:hAnsi="Arial"/>
          <w:sz w:val="17"/>
          <w:szCs w:val="17"/>
          <w:color w:val="auto"/>
        </w:rPr>
        <w:t>As a foreign private issuer, we are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82"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addition, as a foreign private issuer,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8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17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may be disrupted as a result of the obligation of management or key personnel or consultants to perform military service.</w:t>
      </w:r>
    </w:p>
    <w:p>
      <w:pPr>
        <w:spacing w:after="0" w:line="23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In this connection, we note that our chief executive officer, Yaron Daniely, is 38 years old. In the event of a military conflict, he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currencies may negatively affect us.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vast majority of our expenses are in U.S. dollars and New Israeli Shekels, or NIS. Our functional currency is the U.S. dollar and substantially all of our financial resources are denominated by U.S. dollars. As a result, we are exposed to the risks that the NIS may depreciate relative to the U.S. dollar, or that the inflation rate in Israel would increase materially. In any such event, the U.S. dollar cost of our operations in Israel would increase and our U.S. dollar-denominated results of operations would be adversely affected. For instance, in 2012, approximately 40% of our expenses were denominated in New Israeli Shekel. Changes of 5% and 10% in the USD/NIS exchange rate would have increased/decreased the operation expenses by 2% and 4%, respectively. The exchange rate as of October 23, 2013 was $1.00 = NIS3.52. We cannot predict any future trends in the rate of inflation in Israel or the rate of devaluation (if any) of the NIS against the U.S. dollar.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6" w:name="page37"/>
    <w:bookmarkEnd w:id="36"/>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8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according to the OCS approval, the company is required to pay royalties from any income generated in connection with delayed release Metadoxine tablets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8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78"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Our obligations and limitations pursuant to the Research Law are not limited in time and may not be terminated by us at will. As of the date of this prospectus, we have not been required to pay any royalties with respect to the OCS grants. As of the date of this prospectus,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 Patheon Inc., located in Cincinnati, Ohio.</w:t>
      </w:r>
    </w:p>
    <w:p>
      <w:pPr>
        <w:spacing w:after="0" w:line="173"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01"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right="240" w:firstLine="405"/>
        <w:spacing w:after="0" w:line="342"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2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amended and restated articles of association also contain provisions that could delay or prevent changes in control or changes in our management without the consent of our Board of Directors. These provisions include the following:</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shareholders to elect director candidates;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the Board of Directors or the resignation, death or removal of a director, which may prevent shareholders from being able to fill vacancies on our Board of Directors.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81"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were incorporated in Israel. The vast majority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6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Your liabilities and responsibilities as a shareholder will be governed by Israeli law, which differs in some material respects from the U.S. law that governs the liabilities and responsibilities of shareholders of U.S. companies.</w:t>
      </w:r>
    </w:p>
    <w:p>
      <w:pPr>
        <w:spacing w:after="0" w:line="170"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liabilities and responsibilities of the holders of our ordinary shares are governed by our amended and restated articles of association and by Israeli law. These liabilities and responsibilities differ in some material respects from the liabilities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 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415"/>
        <w:spacing w:after="0" w:line="259" w:lineRule="auto"/>
        <w:rPr>
          <w:sz w:val="20"/>
          <w:szCs w:val="20"/>
          <w:color w:val="auto"/>
        </w:rPr>
      </w:pPr>
      <w:r>
        <w:rPr>
          <w:rFonts w:ascii="Arial" w:cs="Arial" w:eastAsia="Arial" w:hAnsi="Arial"/>
          <w:sz w:val="18"/>
          <w:szCs w:val="18"/>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approval of, or other regulatory action in the U.S. and elsewhere with respect to,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commercial launch and future sales of MG01CI or any other future products or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achieve favorable pricing for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potential for our drug candidate MG01CI to receive designation as an orphan drug and implications if it does not receive such designation;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regarding the commercial supply of our MG01CI drug candidate;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third-party payor reimbursement for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estimates regarding anticipated expenses, capital requirements and our needs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ADHD patient market size and market adoption of MG01CI by physicians and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cost or other aspects of the commercial launch of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commencement, duration and cost of clinical trials for MG01CI or whether such trials will be conducted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completion and receiving favorable results of clinical trials for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use of proceeds from this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issuance of patents to us by the U.S. PTO and other governmental patent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and approval of the use of MG01CI for additional indications other than ADHD and Fragile X;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regarding licensing, acquisitions and strategic operations.</w:t>
      </w:r>
    </w:p>
    <w:p>
      <w:pPr>
        <w:spacing w:after="0" w:line="225" w:lineRule="exact"/>
        <w:rPr>
          <w:sz w:val="20"/>
          <w:szCs w:val="20"/>
          <w:color w:val="auto"/>
        </w:rPr>
      </w:pPr>
    </w:p>
    <w:p>
      <w:pPr>
        <w:ind w:right="140" w:firstLine="45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87"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PRICE HISTORY OF OUR ORDINARY SHARES</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Our ordinary shares have been listed on the NASDAQ Capital Market under the symbol “ADHD” since May 22, 2013. Prior to that date, there was no public trading market for our ordinary shares. Our initial public offering was priced at $8.00 per share on May 21, 2013. The following table sets forth for the periods indicated the high and low sales prices per ordinary share as reported on the NASDAQ Capital Market: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Low</w:t>
            </w: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High</w:t>
            </w:r>
          </w:p>
        </w:tc>
      </w:tr>
      <w:tr>
        <w:trPr>
          <w:trHeight w:val="216"/>
        </w:trPr>
        <w:tc>
          <w:tcPr>
            <w:tcW w:w="5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Quarterly:</w:t>
            </w:r>
          </w:p>
        </w:tc>
        <w:tc>
          <w:tcPr>
            <w:tcW w:w="29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Fourth Quarter (through October 24, 2013)</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26.96</w:t>
            </w:r>
          </w:p>
        </w:tc>
      </w:tr>
      <w:tr>
        <w:trPr>
          <w:trHeight w:val="216"/>
        </w:trPr>
        <w:tc>
          <w:tcPr>
            <w:tcW w:w="5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Third Quarter</w:t>
            </w:r>
          </w:p>
        </w:tc>
        <w:tc>
          <w:tcPr>
            <w:tcW w:w="29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6.80</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18.99</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Second Quarter (beginning May 22, 2013)</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16"/>
        </w:trPr>
        <w:tc>
          <w:tcPr>
            <w:tcW w:w="5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Most Recent Six Months:</w:t>
            </w:r>
          </w:p>
        </w:tc>
        <w:tc>
          <w:tcPr>
            <w:tcW w:w="29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October (through October 24, 2013)</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26.96</w:t>
            </w:r>
          </w:p>
        </w:tc>
      </w:tr>
      <w:tr>
        <w:trPr>
          <w:trHeight w:val="216"/>
        </w:trPr>
        <w:tc>
          <w:tcPr>
            <w:tcW w:w="5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September</w:t>
            </w:r>
          </w:p>
        </w:tc>
        <w:tc>
          <w:tcPr>
            <w:tcW w:w="29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12.29</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18.99</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August</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15.83</w:t>
            </w:r>
          </w:p>
        </w:tc>
      </w:tr>
      <w:tr>
        <w:trPr>
          <w:trHeight w:val="216"/>
        </w:trPr>
        <w:tc>
          <w:tcPr>
            <w:tcW w:w="5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July</w:t>
            </w:r>
          </w:p>
        </w:tc>
        <w:tc>
          <w:tcPr>
            <w:tcW w:w="29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6.80</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11.45</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June</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216"/>
        </w:trPr>
        <w:tc>
          <w:tcPr>
            <w:tcW w:w="5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May (beginning May 22, 2013)</w:t>
            </w:r>
          </w:p>
        </w:tc>
        <w:tc>
          <w:tcPr>
            <w:tcW w:w="29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6.81</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8.30</w:t>
            </w:r>
          </w:p>
        </w:tc>
      </w:tr>
    </w:tbl>
    <w:p>
      <w:pPr>
        <w:spacing w:after="0" w:line="198"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416"/>
        <w:spacing w:after="0" w:line="276" w:lineRule="auto"/>
        <w:rPr>
          <w:sz w:val="20"/>
          <w:szCs w:val="20"/>
          <w:color w:val="auto"/>
        </w:rPr>
      </w:pPr>
      <w:r>
        <w:rPr>
          <w:rFonts w:ascii="Arial" w:cs="Arial" w:eastAsia="Arial" w:hAnsi="Arial"/>
          <w:sz w:val="17"/>
          <w:szCs w:val="17"/>
          <w:color w:val="auto"/>
        </w:rPr>
        <w:t>We estimate that the net proceeds from our issuance and sale of 2,000,000 shares of our ordinary shares in this offering will be approximately $30.7 million, based on the offering price of $16.50 per share, and after deducting underwriting discounts and commissions and offering expenses payable by us. If the representative of the underwriters exercises the over-allotment option in full, we estimate that the net proceeds from this offering will be approximately $35.4 million, based on the offering price of $16.50 per share, and after deducting underwriting discounts and commissions and offering expenses payable by us. We currently expect to use the net proceeds from this offering for:</w:t>
      </w:r>
    </w:p>
    <w:p>
      <w:pPr>
        <w:spacing w:after="0" w:line="173" w:lineRule="exact"/>
        <w:rPr>
          <w:sz w:val="20"/>
          <w:szCs w:val="20"/>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completing the required advanced clinical trials, that, if successful, would allow us to request drug approval of MG01CI to treat children and adults with Fragile X, estimated at $14,000,000;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completing necessary preparations and conducting a Phase 3 clinical study in pediatric ADHD for MG01CI, estimated at $10,000,000;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225" w:lineRule="exact"/>
        <w:rPr>
          <w:sz w:val="20"/>
          <w:szCs w:val="20"/>
          <w:color w:val="auto"/>
        </w:rPr>
      </w:pPr>
    </w:p>
    <w:p>
      <w:pPr>
        <w:ind w:right="520" w:firstLine="416"/>
        <w:spacing w:after="0" w:line="312"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4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We have no current commitments or binding agreements with respect to any material acquisition of or investment in any technologies, products or companies.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ind w:right="200" w:firstLine="405"/>
        <w:spacing w:after="0" w:line="277" w:lineRule="auto"/>
        <w:rPr>
          <w:sz w:val="20"/>
          <w:szCs w:val="20"/>
          <w:color w:val="auto"/>
        </w:rPr>
      </w:pPr>
      <w:r>
        <w:rPr>
          <w:rFonts w:ascii="Arial" w:cs="Arial" w:eastAsia="Arial" w:hAnsi="Arial"/>
          <w:sz w:val="18"/>
          <w:szCs w:val="18"/>
          <w:color w:val="auto"/>
        </w:rPr>
        <w:t>The Israeli Companies Law imposes further restrictions on our ability to declare and pay dividends. See “Description of Share Capital—Dividend and Liquidation Rights” for additional information.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 of dividends may be subject to Israeli withholding taxes. See “Taxation—Israeli Tax Considerations” for additional information.</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2013:</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 pro forma basis to give further effect to the issuance and sale of 2,000,000 ordinary shares in this offering at a public offering price of $16.50 per share, after deducting underwriting discounts and commissions and estimated offering expenses payable by us.</w:t>
      </w:r>
    </w:p>
    <w:p>
      <w:pPr>
        <w:spacing w:after="0" w:line="17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June 30, 2013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9"/>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Actual</w:t>
            </w:r>
          </w:p>
        </w:tc>
        <w:tc>
          <w:tcPr>
            <w:tcW w:w="20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Ordinary shares NIS 0.01 par value per share-</w:t>
            </w:r>
          </w:p>
        </w:tc>
        <w:tc>
          <w:tcPr>
            <w:tcW w:w="9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50,000,000 shares authorized at June 30, 2013; 11,128,001 issued shares at June 30, 2013</w:t>
            </w:r>
          </w:p>
        </w:tc>
        <w:tc>
          <w:tcPr>
            <w:tcW w:w="9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31,231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FFCC"/>
          </w:tcPr>
          <w:p>
            <w:pPr>
              <w:spacing w:after="0"/>
              <w:rPr>
                <w:sz w:val="20"/>
                <w:szCs w:val="20"/>
                <w:color w:val="auto"/>
              </w:rPr>
            </w:pPr>
            <w:r>
              <w:rPr>
                <w:rFonts w:ascii="Arial" w:cs="Arial" w:eastAsia="Arial" w:hAnsi="Arial"/>
                <w:sz w:val="18"/>
                <w:szCs w:val="18"/>
                <w:color w:val="auto"/>
              </w:rPr>
              <w:t>Deficit accumulated during the development stage</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(9,902)</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21,361</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FFCC"/>
          </w:tcPr>
          <w:p>
            <w:pPr>
              <w:spacing w:after="0"/>
              <w:rPr>
                <w:sz w:val="20"/>
                <w:szCs w:val="20"/>
                <w:color w:val="auto"/>
              </w:rPr>
            </w:pPr>
            <w:r>
              <w:rPr>
                <w:rFonts w:ascii="Arial" w:cs="Arial" w:eastAsia="Arial" w:hAnsi="Arial"/>
                <w:sz w:val="18"/>
                <w:szCs w:val="18"/>
                <w:color w:val="auto"/>
              </w:rPr>
              <w:t>Total capitalization</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21,361</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52,081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01"/>
        <w:spacing w:after="0" w:line="277" w:lineRule="auto"/>
        <w:rPr>
          <w:sz w:val="20"/>
          <w:szCs w:val="20"/>
          <w:color w:val="auto"/>
        </w:rPr>
      </w:pPr>
      <w:r>
        <w:rPr>
          <w:rFonts w:ascii="Arial" w:cs="Arial" w:eastAsia="Arial" w:hAnsi="Arial"/>
          <w:sz w:val="18"/>
          <w:szCs w:val="18"/>
          <w:color w:val="auto"/>
        </w:rPr>
        <w:t>The number of our ordinary shares to be outstanding immediately after this offering is based on 11,128,001 ordinary shares outstanding as of June 30, 2013. This number excludes:</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900,516 shares issuable upon the exercise of share options outstanding as of October 1, 2013 under our equity incentive plan;</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undertaking to issue options to purchase up to 0.75% of the issued and outstanding shares of the Company issuable to an employee of the Company upon meeting certain milestones (such options, if and when issued, to be subject to a three year vesting schedule);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214,950 shares issuable upon the exercise of warrants outstanding as of October 1,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40" w:firstLine="416"/>
        <w:spacing w:after="0" w:line="308" w:lineRule="auto"/>
        <w:rPr>
          <w:sz w:val="20"/>
          <w:szCs w:val="20"/>
          <w:color w:val="auto"/>
        </w:rPr>
      </w:pPr>
      <w:r>
        <w:rPr>
          <w:rFonts w:ascii="Arial" w:cs="Arial" w:eastAsia="Arial" w:hAnsi="Arial"/>
          <w:sz w:val="17"/>
          <w:szCs w:val="17"/>
          <w:color w:val="auto"/>
        </w:rPr>
        <w:t>If you invest in our ordinary shares, you will experience immediate and substantial dilution to the extent of the difference between the public offering price of our ordinary shares and the pro forma net tangible book value per share of our ordinary shares immediately after the offering.</w:t>
      </w:r>
    </w:p>
    <w:p>
      <w:pPr>
        <w:spacing w:after="0" w:line="147" w:lineRule="exact"/>
        <w:rPr>
          <w:sz w:val="20"/>
          <w:szCs w:val="20"/>
          <w:color w:val="auto"/>
        </w:rPr>
      </w:pPr>
    </w:p>
    <w:p>
      <w:pPr>
        <w:ind w:right="700" w:firstLine="416"/>
        <w:spacing w:after="0" w:line="342" w:lineRule="auto"/>
        <w:rPr>
          <w:sz w:val="20"/>
          <w:szCs w:val="20"/>
          <w:color w:val="auto"/>
        </w:rPr>
      </w:pPr>
      <w:r>
        <w:rPr>
          <w:rFonts w:ascii="Arial" w:cs="Arial" w:eastAsia="Arial" w:hAnsi="Arial"/>
          <w:sz w:val="16"/>
          <w:szCs w:val="16"/>
          <w:color w:val="auto"/>
        </w:rPr>
        <w:t>Our historical net tangible book value per share is determined by dividing our total tangible assets, less total liabilities, by the actual number of outstanding ordinary shares. The historical net tangible book value of our ordinary shares as of June 30, 2013 was $21,361,000, or $1.92 per share.</w:t>
      </w:r>
    </w:p>
    <w:p>
      <w:pPr>
        <w:spacing w:after="0" w:line="12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pro forma net tangible book value of our ordinary shares as of June 30, 2013 was $52,081,000, or $3.97 per share. The pro forma net tangible book value gives effect to the issuance and sale of 2,000,000 ordinary shares in this offering at a public offering price of $16.50 per share, after deducting underwriting discounts and commissions and estimated offering expenses payable by 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2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Assumed public offering price per share</w:t>
            </w:r>
          </w:p>
        </w:tc>
        <w:tc>
          <w:tcPr>
            <w:tcW w:w="2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tangible book value per share before this offering, as of June 30, 2013</w:t>
            </w: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1.92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256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rPr>
              <w:t>2.05</w:t>
            </w:r>
          </w:p>
        </w:tc>
        <w:tc>
          <w:tcPr>
            <w:tcW w:w="8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 forma net tangible book value per share after offering</w:t>
            </w:r>
          </w:p>
        </w:tc>
        <w:tc>
          <w:tcPr>
            <w:tcW w:w="25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Dilution in pro forma tangible book value per share to new investors</w:t>
            </w:r>
          </w:p>
        </w:tc>
        <w:tc>
          <w:tcPr>
            <w:tcW w:w="256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15"/>
        <w:spacing w:after="0" w:line="302" w:lineRule="auto"/>
        <w:rPr>
          <w:sz w:val="20"/>
          <w:szCs w:val="20"/>
          <w:color w:val="auto"/>
        </w:rPr>
      </w:pPr>
      <w:r>
        <w:rPr>
          <w:rFonts w:ascii="Arial" w:cs="Arial" w:eastAsia="Arial" w:hAnsi="Arial"/>
          <w:sz w:val="16"/>
          <w:szCs w:val="16"/>
          <w:color w:val="auto"/>
        </w:rPr>
        <w:t>If the underwriters’ over-allotment option to purchase additional shares from us is exercised in full, and based on a public offering price of $16.50 per share, and after deducting underwriting discounts and commissions and estimated offering expenses payable by us, the pro forma net tangible book value per share after this offering would be approximately $4.23 per share, the increase in the pro forma net tangible book value per share attributable to new investors would be approximately $2.31 per share and the dilution to new investors purchasing shares in this offering would be approximately $12.27 per share.</w:t>
      </w:r>
    </w:p>
    <w:p>
      <w:pPr>
        <w:spacing w:after="0" w:line="15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table below summarizes, as of June 30, 2013, on the pro forma basis described above, the number of ordinary shares we issued and sold, the total consideration we received and the average price per share (1) paid by our existing shareholders and (2) to be paid by new investors purchasing our ordinary shares in offering at the public offering price of $16.50 per share, before deducting underwriting discounts and commissions and estimated offering expenses payable by 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4080" w:type="dxa"/>
            <w:vAlign w:val="bottom"/>
          </w:tcPr>
          <w:p>
            <w:pPr>
              <w:spacing w:after="0"/>
              <w:rPr>
                <w:sz w:val="20"/>
                <w:szCs w:val="20"/>
                <w:color w:val="auto"/>
              </w:rPr>
            </w:pPr>
          </w:p>
        </w:tc>
        <w:tc>
          <w:tcPr>
            <w:tcW w:w="29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Shares Purchased</w:t>
            </w:r>
          </w:p>
        </w:tc>
        <w:tc>
          <w:tcPr>
            <w:tcW w:w="200" w:type="dxa"/>
            <w:vAlign w:val="bottom"/>
          </w:tcPr>
          <w:p>
            <w:pPr>
              <w:spacing w:after="0"/>
              <w:rPr>
                <w:sz w:val="20"/>
                <w:szCs w:val="20"/>
                <w:color w:val="auto"/>
              </w:rPr>
            </w:pPr>
          </w:p>
        </w:tc>
        <w:tc>
          <w:tcPr>
            <w:tcW w:w="28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Total Consideration</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Price</w:t>
            </w:r>
          </w:p>
        </w:tc>
      </w:tr>
      <w:tr>
        <w:trPr>
          <w:trHeight w:val="223"/>
        </w:trPr>
        <w:tc>
          <w:tcPr>
            <w:tcW w:w="4080" w:type="dxa"/>
            <w:vAlign w:val="bottom"/>
            <w:tcBorders>
              <w:bottom w:val="single" w:sz="8" w:color="CCFFC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FFC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28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FFC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300" w:type="dxa"/>
            <w:vAlign w:val="bottom"/>
            <w:tcBorders>
              <w:bottom w:val="single" w:sz="8" w:color="CCFFCC"/>
            </w:tcBorders>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 Share</w:t>
            </w:r>
          </w:p>
        </w:tc>
        <w:tc>
          <w:tcPr>
            <w:tcW w:w="100" w:type="dxa"/>
            <w:vAlign w:val="bottom"/>
            <w:tcBorders>
              <w:bottom w:val="single" w:sz="8" w:color="CCFFCC"/>
            </w:tcBorders>
          </w:tcPr>
          <w:p>
            <w:pPr>
              <w:spacing w:after="0"/>
              <w:rPr>
                <w:sz w:val="19"/>
                <w:szCs w:val="19"/>
                <w:color w:val="auto"/>
              </w:rPr>
            </w:pPr>
          </w:p>
        </w:tc>
      </w:tr>
      <w:tr>
        <w:trPr>
          <w:trHeight w:val="210"/>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Existing shareholders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11,128,001</w:t>
            </w:r>
          </w:p>
        </w:tc>
        <w:tc>
          <w:tcPr>
            <w:tcW w:w="2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27,796,000</w:t>
            </w:r>
          </w:p>
        </w:tc>
        <w:tc>
          <w:tcPr>
            <w:tcW w:w="22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45.7%</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FFCC"/>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New investors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2,000,000</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15.2%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33,000,000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54.3 %</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r>
      <w:tr>
        <w:trPr>
          <w:trHeight w:val="223"/>
        </w:trPr>
        <w:tc>
          <w:tcPr>
            <w:tcW w:w="40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13,128,001</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60,796,000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CFFCC"/>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2" w:name="page43"/>
    <w:bookmarkEnd w:id="42"/>
    <w:p>
      <w:pPr>
        <w:ind w:right="220" w:firstLine="401"/>
        <w:spacing w:after="0" w:line="277" w:lineRule="auto"/>
        <w:rPr>
          <w:sz w:val="20"/>
          <w:szCs w:val="20"/>
          <w:color w:val="auto"/>
        </w:rPr>
      </w:pPr>
      <w:r>
        <w:rPr>
          <w:rFonts w:ascii="Arial" w:cs="Arial" w:eastAsia="Arial" w:hAnsi="Arial"/>
          <w:sz w:val="18"/>
          <w:szCs w:val="18"/>
          <w:color w:val="auto"/>
        </w:rPr>
        <w:t>The number of our ordinary shares to be outstanding immediately after this offering is based on 11,128,001 ordinary shares outstanding as of June 30, 2013 and is based on a public offering price of $16.50 per share.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number excludes:</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900,516 shares issuable upon the exercise of share options outstanding as of October 1, 2013 under our equity incentive plan;</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undertaking to issue options to purchase up to 0.75% of the issued and outstanding shares of the Company issuable to an employee of the Company upon meeting certain milestones (such options, if and when issued, to be subject to a three year vesting schedule);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214,950 shares issuable upon the exercise of warrants outstanding as of October 1, 2013.</w:t>
      </w:r>
    </w:p>
    <w:p>
      <w:pPr>
        <w:spacing w:after="0" w:line="225" w:lineRule="exact"/>
        <w:rPr>
          <w:sz w:val="20"/>
          <w:szCs w:val="20"/>
          <w:color w:val="auto"/>
        </w:rPr>
      </w:pPr>
    </w:p>
    <w:p>
      <w:pPr>
        <w:ind w:right="280" w:firstLine="415"/>
        <w:spacing w:after="0" w:line="277" w:lineRule="auto"/>
        <w:rPr>
          <w:sz w:val="20"/>
          <w:szCs w:val="20"/>
          <w:color w:val="auto"/>
        </w:rPr>
      </w:pPr>
      <w:r>
        <w:rPr>
          <w:rFonts w:ascii="Arial" w:cs="Arial" w:eastAsia="Arial" w:hAnsi="Arial"/>
          <w:sz w:val="18"/>
          <w:szCs w:val="18"/>
          <w:color w:val="auto"/>
        </w:rPr>
        <w:t>To the extent that new options are granted under our equity benefit plans, there will be further dilution to investors purchasing ordinary shares in this offering.</w:t>
      </w:r>
    </w:p>
    <w:p>
      <w:pPr>
        <w:spacing w:after="0" w:line="170" w:lineRule="exact"/>
        <w:rPr>
          <w:sz w:val="20"/>
          <w:szCs w:val="20"/>
          <w:color w:val="auto"/>
        </w:rPr>
      </w:pPr>
    </w:p>
    <w:p>
      <w:pPr>
        <w:ind w:right="60" w:firstLine="415"/>
        <w:spacing w:after="0" w:line="264" w:lineRule="auto"/>
        <w:rPr>
          <w:sz w:val="20"/>
          <w:szCs w:val="20"/>
          <w:color w:val="auto"/>
        </w:rPr>
      </w:pPr>
      <w:r>
        <w:rPr>
          <w:rFonts w:ascii="Arial" w:cs="Arial" w:eastAsia="Arial" w:hAnsi="Arial"/>
          <w:sz w:val="18"/>
          <w:szCs w:val="18"/>
          <w:color w:val="auto"/>
        </w:rPr>
        <w:t>If the underwriters exercise their option to purchase additional ordinary shares in full in this offering, the number of ordinary shares held by new investors will increase to 2,300,000, or 17.1% of the total number of ordinary shares outstanding after this offering and the percentage of ordinary shares held by existing shareholders will decrease to 82.9% of the total ordinary shares outstanding.</w:t>
      </w:r>
    </w:p>
    <w:p>
      <w:pPr>
        <w:spacing w:after="0" w:line="17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60" w:firstLine="396"/>
        <w:spacing w:after="0" w:line="255"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periods of six months ended June 30, 2013 and 2012 and balance sheet data as of June 30, 2013 from our unaudited financial statements included elsewhere in this prospectus and the statements of operations data for the years ended December 31, 2012 and 2011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(in thousands of U.S. dollars, except share and per share amounts)</w:t>
            </w:r>
          </w:p>
        </w:tc>
        <w:tc>
          <w:tcPr>
            <w:tcW w:w="300" w:type="dxa"/>
            <w:vAlign w:val="bottom"/>
          </w:tcPr>
          <w:p>
            <w:pPr>
              <w:spacing w:after="0"/>
              <w:rPr>
                <w:sz w:val="20"/>
                <w:szCs w:val="20"/>
                <w:color w:val="auto"/>
              </w:rPr>
            </w:pPr>
          </w:p>
        </w:tc>
        <w:tc>
          <w:tcPr>
            <w:tcW w:w="2620" w:type="dxa"/>
            <w:vAlign w:val="bottom"/>
            <w:gridSpan w:val="3"/>
            <w:vMerge w:val="restart"/>
          </w:tcPr>
          <w:p>
            <w:pPr>
              <w:jc w:val="center"/>
              <w:ind w:right="90"/>
              <w:spacing w:after="0"/>
              <w:rPr>
                <w:sz w:val="20"/>
                <w:szCs w:val="20"/>
                <w:color w:val="auto"/>
              </w:rPr>
            </w:pPr>
            <w:r>
              <w:rPr>
                <w:rFonts w:ascii="Arial" w:cs="Arial" w:eastAsia="Arial" w:hAnsi="Arial"/>
                <w:sz w:val="18"/>
                <w:szCs w:val="18"/>
                <w:b w:val="1"/>
                <w:bCs w:val="1"/>
                <w:color w:val="auto"/>
                <w:w w:val="88"/>
              </w:rPr>
              <w:t>Six months period ended June</w:t>
            </w:r>
          </w:p>
        </w:tc>
        <w:tc>
          <w:tcPr>
            <w:tcW w:w="380" w:type="dxa"/>
            <w:vAlign w:val="bottom"/>
          </w:tcPr>
          <w:p>
            <w:pPr>
              <w:spacing w:after="0"/>
              <w:rPr>
                <w:sz w:val="20"/>
                <w:szCs w:val="20"/>
                <w:color w:val="auto"/>
              </w:rPr>
            </w:pPr>
          </w:p>
        </w:tc>
        <w:tc>
          <w:tcPr>
            <w:tcW w:w="2640" w:type="dxa"/>
            <w:vAlign w:val="bottom"/>
            <w:gridSpan w:val="3"/>
            <w:vMerge w:val="restart"/>
          </w:tcPr>
          <w:p>
            <w:pPr>
              <w:jc w:val="right"/>
              <w:ind w:right="490"/>
              <w:spacing w:after="0"/>
              <w:rPr>
                <w:sz w:val="20"/>
                <w:szCs w:val="20"/>
                <w:color w:val="auto"/>
              </w:rPr>
            </w:pPr>
            <w:r>
              <w:rPr>
                <w:rFonts w:ascii="Arial" w:cs="Arial" w:eastAsia="Arial" w:hAnsi="Arial"/>
                <w:sz w:val="18"/>
                <w:szCs w:val="18"/>
                <w:b w:val="1"/>
                <w:bCs w:val="1"/>
                <w:color w:val="auto"/>
              </w:rPr>
              <w:t>Years ended December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26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30,</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b w:val="1"/>
                <w:bCs w:val="1"/>
                <w:color w:val="auto"/>
              </w:rPr>
              <w:t>31,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Operations Data:</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396</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632</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w:t>
            </w:r>
          </w:p>
        </w:tc>
        <w:tc>
          <w:tcPr>
            <w:tcW w:w="3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1,114</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w:t>
            </w: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683</w:t>
            </w: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Loss attributable to holders of ordinary shares</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1,716</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1,001</w:t>
            </w: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w:t>
            </w:r>
          </w:p>
        </w:tc>
        <w:tc>
          <w:tcPr>
            <w:tcW w:w="3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diluted net loss per share</w:t>
            </w:r>
          </w:p>
        </w:tc>
        <w:tc>
          <w:tcPr>
            <w:tcW w:w="30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8,397,070</w:t>
            </w:r>
          </w:p>
        </w:tc>
        <w:tc>
          <w:tcPr>
            <w:tcW w:w="36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7,791,785</w:t>
            </w:r>
          </w:p>
        </w:tc>
        <w:tc>
          <w:tcPr>
            <w:tcW w:w="38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7,791,932</w:t>
            </w:r>
          </w:p>
        </w:tc>
        <w:tc>
          <w:tcPr>
            <w:tcW w:w="380" w:type="dxa"/>
            <w:vAlign w:val="bottom"/>
            <w:shd w:val="clear" w:color="auto" w:fill="CCFFCC"/>
          </w:tcPr>
          <w:p>
            <w:pPr>
              <w:spacing w:after="0"/>
              <w:rPr>
                <w:sz w:val="20"/>
                <w:szCs w:val="20"/>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7,843,388</w:t>
            </w:r>
          </w:p>
        </w:tc>
        <w:tc>
          <w:tcPr>
            <w:tcW w:w="0" w:type="dxa"/>
            <w:vAlign w:val="bottom"/>
          </w:tcPr>
          <w:p>
            <w:pPr>
              <w:spacing w:after="0"/>
              <w:rPr>
                <w:sz w:val="1"/>
                <w:szCs w:val="1"/>
                <w:color w:val="auto"/>
              </w:rPr>
            </w:pPr>
          </w:p>
        </w:tc>
      </w:tr>
      <w:tr>
        <w:trPr>
          <w:trHeight w:val="414"/>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Pr>
          <w:p>
            <w:pPr>
              <w:spacing w:after="0"/>
              <w:rPr>
                <w:sz w:val="18"/>
                <w:szCs w:val="18"/>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b w:val="1"/>
                <w:bCs w:val="1"/>
                <w:color w:val="auto"/>
                <w:w w:val="99"/>
              </w:rPr>
              <w:t>2013</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2013</w:t>
            </w:r>
          </w:p>
        </w:tc>
        <w:tc>
          <w:tcPr>
            <w:tcW w:w="14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As Adjusted</w:t>
            </w: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w w:val="94"/>
              </w:rPr>
              <w:t>December 31, 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Actual</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(unaudited)(1)</w:t>
            </w:r>
          </w:p>
        </w:tc>
        <w:tc>
          <w:tcPr>
            <w:tcW w:w="38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343</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343</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21,361</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52,081</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2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As Adjusted column in the balance sheet data above gives effect to the issuance and sale of 2,000,000 ordinary shares in this offering at an assumed public offering price of $16.50 per share, and after deducting underwriting discounts and commissions and estimated offering expenses payable by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firstLine="389"/>
        <w:spacing w:after="0" w:line="272"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candidate, MG01CI, to treat Attention Deficit Hyperactivity Disorder, or ADHD, and, potentially, additional cognitive dysfunctions, such as Fragile X. The most common currently available treatments for ADHD are stimulants that increase the brain chemicals dopamine and norepinephrine. Stimulants have significant side effects, and as controlled substances, have significant potential for misuse, abuse and addiction. MG01CI is a non-stimulant with a different mechanism of action. In September 2011, we completed a 120 subject double-blind placebo-controlled Phase 2 study in adult ADHD subjects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ind w:right="40" w:firstLine="389"/>
        <w:spacing w:after="0" w:line="302" w:lineRule="auto"/>
        <w:rPr>
          <w:sz w:val="20"/>
          <w:szCs w:val="20"/>
          <w:color w:val="auto"/>
        </w:rPr>
      </w:pPr>
      <w:r>
        <w:rPr>
          <w:rFonts w:ascii="Arial" w:cs="Arial" w:eastAsia="Arial" w:hAnsi="Arial"/>
          <w:sz w:val="16"/>
          <w:szCs w:val="16"/>
          <w:color w:val="auto"/>
        </w:rPr>
        <w:t>We have initiated discussions with the U.S. Food and Drug Administration, or FDA,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w:t>
      </w:r>
    </w:p>
    <w:p>
      <w:pPr>
        <w:spacing w:after="0" w:line="154" w:lineRule="exact"/>
        <w:rPr>
          <w:sz w:val="20"/>
          <w:szCs w:val="20"/>
          <w:color w:val="auto"/>
        </w:rPr>
      </w:pPr>
    </w:p>
    <w:p>
      <w:pPr>
        <w:jc w:val="both"/>
        <w:ind w:right="140" w:firstLine="389"/>
        <w:spacing w:after="0" w:line="279" w:lineRule="auto"/>
        <w:rPr>
          <w:sz w:val="20"/>
          <w:szCs w:val="20"/>
          <w:color w:val="auto"/>
        </w:rPr>
      </w:pPr>
      <w:r>
        <w:rPr>
          <w:rFonts w:ascii="Arial" w:cs="Arial" w:eastAsia="Arial" w:hAnsi="Arial"/>
          <w:sz w:val="17"/>
          <w:szCs w:val="17"/>
          <w:color w:val="auto"/>
        </w:rPr>
        <w:t>Subject to obtaining the necessary regulatory clearances, we further plan to conduct a Phase I/II study in children and adolescents with ADHD in 2014, followed by a Phase 3 study in this population in 2015, and, if the data supports it, proceed to request a marketing authorization. In addition, we completed a pre-clinical study in mice that suffer from Fragile X and the positive outcomes we reported in this animal model we believe warrant investigation in clinical trials to evaluate the safety and efficacy of MG01CI for treatment of Fragile X. We plan to initiate such clinical studies in 2014.</w:t>
      </w:r>
    </w:p>
    <w:p>
      <w:pPr>
        <w:spacing w:after="0" w:line="17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MG01CI. As of June 30, 2013, we had an accumulated deficit of $9.9 million. Our financing activities are described below under “Liquidity and Capital Resources.”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research and development expenses consist primarily of salaries and related personnel expenses, cost of third party clinical consultants and expenses related to conducting clinical and preclinical trials, share-based compensation expenses, travel expenses and other research and development expenses.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ind w:left="420"/>
        <w:spacing w:after="0"/>
        <w:rPr>
          <w:sz w:val="20"/>
          <w:szCs w:val="20"/>
          <w:color w:val="auto"/>
        </w:rPr>
      </w:pPr>
      <w:r>
        <w:rPr>
          <w:rFonts w:ascii="Arial" w:cs="Arial" w:eastAsia="Arial" w:hAnsi="Arial"/>
          <w:sz w:val="18"/>
          <w:szCs w:val="18"/>
          <w:color w:val="auto"/>
        </w:rPr>
        <w:t>The following table discloses the breakdown of research and development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Salaries and related personnel expenses</w:t>
            </w: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w w:val="95"/>
              </w:rPr>
              <w:t>Cost to third party clinical consultants and expenses related to conducting</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620" w:type="dxa"/>
            <w:vAlign w:val="bottom"/>
            <w:gridSpan w:val="2"/>
          </w:tcPr>
          <w:p>
            <w:pPr>
              <w:ind w:left="320"/>
              <w:spacing w:after="0"/>
              <w:rPr>
                <w:sz w:val="20"/>
                <w:szCs w:val="20"/>
                <w:color w:val="auto"/>
              </w:rPr>
            </w:pPr>
            <w:r>
              <w:rPr>
                <w:rFonts w:ascii="Arial" w:cs="Arial" w:eastAsia="Arial" w:hAnsi="Arial"/>
                <w:sz w:val="18"/>
                <w:szCs w:val="18"/>
                <w:color w:val="auto"/>
              </w:rPr>
              <w:t>clinical trials</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20"/>
                <w:szCs w:val="20"/>
                <w:color w:val="auto"/>
              </w:rPr>
            </w:pPr>
          </w:p>
        </w:tc>
      </w:tr>
      <w:tr>
        <w:trPr>
          <w:trHeight w:val="216"/>
        </w:trPr>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FFCC"/>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FFCC"/>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Represents an amount less than $1.</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expect that our research and development expenses will materially increase as we have initiated recently clinical activity and prepare to conduct in clinical trials in MG01CI in the near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General and administrative expenses consist primarily of salaries and related personnel expenses, share-based compensation expense, professional service fees for accounting, legal, bookkeeping and facilities costs (including rent expense for our facility in Tel Aviv Israel), and depreciation expenses.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expect that our general and administrative expenses, such as salaries, accounting and legal fees, will increase because we became recently a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public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Expense and Income</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Financial expense and income consist of bank fees and other transactional costs, exchange rate differences, financial expenses related to our outstanding convertible notes and interest earned on our cash, cash equivalents and short-term bank deposits.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w:t>
      </w:r>
    </w:p>
    <w:p>
      <w:pPr>
        <w:spacing w:after="0" w:line="22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prepare our financial statements in accordance with accounting principles generally accepted in the United States, or U.S. GAAP.</w:t>
      </w:r>
    </w:p>
    <w:p>
      <w:pPr>
        <w:spacing w:after="0" w:line="225"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jc w:val="both"/>
        <w:ind w:firstLine="405"/>
        <w:spacing w:after="0" w:line="276" w:lineRule="auto"/>
        <w:rPr>
          <w:sz w:val="20"/>
          <w:szCs w:val="20"/>
          <w:color w:val="auto"/>
        </w:rPr>
      </w:pPr>
      <w:r>
        <w:rPr>
          <w:rFonts w:ascii="Arial" w:cs="Arial" w:eastAsia="Arial" w:hAnsi="Arial"/>
          <w:sz w:val="17"/>
          <w:szCs w:val="17"/>
          <w:color w:val="auto"/>
        </w:rPr>
        <w:t>Subject to certain conditions set forth in the JOBS Act, as an “emerging growth company”, we elected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Fair Value of Ordinary Shares</w:t>
      </w:r>
    </w:p>
    <w:p>
      <w:pPr>
        <w:spacing w:after="0" w:line="225" w:lineRule="exact"/>
        <w:rPr>
          <w:sz w:val="20"/>
          <w:szCs w:val="20"/>
          <w:color w:val="auto"/>
        </w:rPr>
      </w:pPr>
    </w:p>
    <w:p>
      <w:pPr>
        <w:ind w:right="180" w:firstLine="389"/>
        <w:spacing w:after="0" w:line="279" w:lineRule="auto"/>
        <w:rPr>
          <w:sz w:val="20"/>
          <w:szCs w:val="20"/>
          <w:color w:val="auto"/>
        </w:rPr>
      </w:pPr>
      <w:r>
        <w:rPr>
          <w:rFonts w:ascii="Arial" w:cs="Arial" w:eastAsia="Arial" w:hAnsi="Arial"/>
          <w:sz w:val="17"/>
          <w:szCs w:val="17"/>
          <w:color w:val="auto"/>
        </w:rPr>
        <w:t>We account for stock-based compensation in accordance with ASC 718, “Compensation - Stock Compensation,”, or ASC 718,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accelerated method over the requisite service period of each of the awards.</w:t>
      </w:r>
    </w:p>
    <w:p>
      <w:pPr>
        <w:spacing w:after="0" w:line="171" w:lineRule="exact"/>
        <w:rPr>
          <w:sz w:val="20"/>
          <w:szCs w:val="20"/>
          <w:color w:val="auto"/>
        </w:rPr>
      </w:pPr>
    </w:p>
    <w:p>
      <w:pPr>
        <w:ind w:right="380" w:firstLine="389"/>
        <w:spacing w:after="0" w:line="277" w:lineRule="auto"/>
        <w:rPr>
          <w:sz w:val="20"/>
          <w:szCs w:val="20"/>
          <w:color w:val="auto"/>
        </w:rPr>
      </w:pPr>
      <w:r>
        <w:rPr>
          <w:rFonts w:ascii="Arial" w:cs="Arial" w:eastAsia="Arial" w:hAnsi="Arial"/>
          <w:sz w:val="18"/>
          <w:szCs w:val="18"/>
          <w:color w:val="auto"/>
        </w:rPr>
        <w:t>We selected the Black-Scholes-Merton, or "Black-Scholes", option-pricing model as a fair value method for our options awards. The option-pricing model requires a number of assumptions:</w:t>
      </w:r>
    </w:p>
    <w:p>
      <w:pPr>
        <w:spacing w:after="0" w:line="170"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expected dividend yield assumption is based on our historical experience and expectation of no future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payouts. We have historically not paid cash dividends and have no foreseeable plans to pay cash dividends in the future.</w:t>
      </w:r>
    </w:p>
    <w:p>
      <w:pPr>
        <w:spacing w:after="0" w:line="147" w:lineRule="exact"/>
        <w:rPr>
          <w:sz w:val="20"/>
          <w:szCs w:val="20"/>
          <w:color w:val="auto"/>
        </w:rPr>
      </w:pPr>
    </w:p>
    <w:p>
      <w:pPr>
        <w:ind w:left="640" w:right="120"/>
        <w:spacing w:after="0" w:line="264" w:lineRule="auto"/>
        <w:rPr>
          <w:sz w:val="20"/>
          <w:szCs w:val="20"/>
          <w:color w:val="auto"/>
        </w:rPr>
      </w:pPr>
      <w:r>
        <w:rPr>
          <w:rFonts w:ascii="Arial" w:cs="Arial" w:eastAsia="Arial" w:hAnsi="Arial"/>
          <w:sz w:val="18"/>
          <w:szCs w:val="18"/>
          <w:i w:val="1"/>
          <w:iCs w:val="1"/>
          <w:color w:val="auto"/>
        </w:rPr>
        <w:t xml:space="preserve">Volatility - </w:t>
      </w:r>
      <w:r>
        <w:rPr>
          <w:rFonts w:ascii="Arial" w:cs="Arial" w:eastAsia="Arial" w:hAnsi="Arial"/>
          <w:sz w:val="18"/>
          <w:szCs w:val="18"/>
          <w:color w:val="auto"/>
        </w:rPr>
        <w:t>Since the Company’s shares started trading on a stock exchange market only in May 2013, quoted prices data of our shares is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ASC 718-10-30-20, in case of insufficient historical data for a company, the expected volatility was based on similar companies' stock volatility.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 must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193"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i w:val="1"/>
          <w:iCs w:val="1"/>
          <w:color w:val="auto"/>
        </w:rPr>
        <w:t xml:space="preserve">Share price </w:t>
      </w:r>
      <w:r>
        <w:rPr>
          <w:rFonts w:ascii="Arial" w:cs="Arial" w:eastAsia="Arial" w:hAnsi="Arial"/>
          <w:sz w:val="18"/>
          <w:szCs w:val="18"/>
          <w:color w:val="auto"/>
        </w:rPr>
        <w:t>– Up until our initial public offering, because there had been no public market for our ordinary shares, the fair value of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underlying the options had been determined by our management, using the assistance of an independent valuation firm. Following our initial public offering, fair market value has been determined by NASDAQ Capital Market quotes.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Options granted during 2013 (all granted at the IPO date or afterwards) were granted at then Ordinary share's closing price at the date of issuance.</w:t>
      </w:r>
    </w:p>
    <w:p>
      <w:pPr>
        <w:spacing w:after="0" w:line="248"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We did not grant options to employees or directors in 2011 and 2012 (other than two grants as stated in Note 9(c) to the financial statements for the year ended December 31, 2012,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our shares in order to evaluate the present value of our total shareholders' equity. Options granted during 2013 were granted at the initial public offering price or the then closing price at the date of issuance.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ind w:left="660" w:right="120"/>
        <w:spacing w:after="0" w:line="276" w:lineRule="auto"/>
        <w:rPr>
          <w:sz w:val="20"/>
          <w:szCs w:val="20"/>
          <w:color w:val="auto"/>
        </w:rPr>
      </w:pPr>
      <w:r>
        <w:rPr>
          <w:rFonts w:ascii="Arial" w:cs="Arial" w:eastAsia="Arial" w:hAnsi="Arial"/>
          <w:sz w:val="17"/>
          <w:szCs w:val="17"/>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ectPr>
          <w:pgSz w:w="11900" w:h="16838" w:orient="portrait"/>
          <w:cols w:equalWidth="0" w:num="1">
            <w:col w:w="11420"/>
          </w:cols>
          <w:pgMar w:left="240" w:top="882" w:right="239" w:bottom="1440" w:gutter="0" w:footer="0" w:header="0"/>
        </w:sectPr>
      </w:pPr>
    </w:p>
    <w:p>
      <w:pPr>
        <w:spacing w:after="0" w:line="239"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w:t>
            </w:r>
          </w:p>
        </w:tc>
      </w:tr>
      <w:tr>
        <w:trPr>
          <w:trHeight w:val="243"/>
        </w:trPr>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2013</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-153670</wp:posOffset>
            </wp:positionV>
            <wp:extent cx="17665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b w:val="1"/>
          <w:bCs w:val="1"/>
          <w:color w:val="auto"/>
        </w:rPr>
        <w:t>(in thousands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7665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6657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-130810</wp:posOffset>
            </wp:positionV>
            <wp:extent cx="17665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88"/>
              </w:rPr>
              <w:t>December 31,</w:t>
            </w:r>
          </w:p>
        </w:tc>
      </w:tr>
      <w:tr>
        <w:trPr>
          <w:trHeight w:val="228"/>
        </w:trPr>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7151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b w:val="1"/>
          <w:bCs w:val="1"/>
          <w:color w:val="auto"/>
        </w:rPr>
        <w:t>(in thousands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7151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680"/>
            <w:col w:w="2800"/>
          </w:cols>
          <w:pgMar w:left="240" w:top="882" w:right="239" w:bottom="1440"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396</w:t>
            </w: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632</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52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52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FFCC"/>
          </w:tcPr>
          <w:p>
            <w:pPr>
              <w:spacing w:after="0"/>
              <w:rPr>
                <w:sz w:val="21"/>
                <w:szCs w:val="21"/>
                <w:color w:val="auto"/>
              </w:rPr>
            </w:pP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1,001</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52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FFCC"/>
          </w:tcPr>
          <w:p>
            <w:pPr>
              <w:spacing w:after="0"/>
              <w:rPr>
                <w:sz w:val="21"/>
                <w:szCs w:val="21"/>
                <w:color w:val="auto"/>
              </w:rPr>
            </w:pP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1,001</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1440" w:gutter="0" w:footer="0" w:header="0"/>
          <w:type w:val="continuous"/>
        </w:sectPr>
      </w:pPr>
    </w:p>
    <w:bookmarkStart w:id="48" w:name="page49"/>
    <w:bookmarkEnd w:id="48"/>
    <w:p>
      <w:pPr>
        <w:ind w:right="260"/>
        <w:spacing w:after="0" w:line="282" w:lineRule="auto"/>
        <w:rPr>
          <w:sz w:val="20"/>
          <w:szCs w:val="20"/>
          <w:color w:val="auto"/>
        </w:rPr>
      </w:pPr>
      <w:r>
        <w:rPr>
          <w:rFonts w:ascii="Arial" w:cs="Arial" w:eastAsia="Arial" w:hAnsi="Arial"/>
          <w:sz w:val="18"/>
          <w:szCs w:val="18"/>
          <w:b w:val="1"/>
          <w:bCs w:val="1"/>
          <w:color w:val="auto"/>
        </w:rPr>
        <w:t>Comparison of the Six Months ended June 30, 2013 to the Six Months ended June 30, 2012 and Year Ended December 31, 2012 to the Year Ended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research and development expenses amounted to $396,000 for six months ended June 30, 2013, representing a decrease of $236,000, or 37%, compared to $632,000 for the six months ended June 30, 2012. The decrease is primarily attributable to a reduction of $411,000 in expenses to third party clinical consultants and other expenses related to conducting clinical trials. The decrease was offset by an increase of payroll related expenses in an amount of $33,000 and additional increase of $178,000 in share-based compensation expenses.</w:t>
      </w:r>
    </w:p>
    <w:p>
      <w:pPr>
        <w:spacing w:after="0" w:line="187"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Our research and development expenses for the year ended December 31, 2012 amounted to $818,000, representing a decrease of $1,004,000, or 55%, compared to $1,822,000 for the year ended December 31, 2011. The decrease was primarily attributable to a reduction of payroll related expenses in an amount of $105,000, reflecting a decrease in the number of employees engaged in research and development related activities from four to one, and a reduction of expenses related to third party clinical consultants and other expenses related to conducting clinical trials in an amount of $801,000. The reduction in our research and development expenses was a result of a decrease in available funds and a decrease of research and development activity that took place after our clinical trials completed. Following clinical trial completion in 2011, research and development was limited to clinical study report writing, regulatory preparation and document collection, and study data presentations.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general and administrative expenses totaled $1,114,000 for the six months ended June 30, 2013, representing an increase of $758,000, or 213%, compared to $356,000 for the six months ended June 30, 2012. The increase is attributable primarily to an increase of $103,000 in salaries and related personnel expenses, of $551,000 in share-based compensation expenses, as well as an increase of $85,000 in professional services.</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general and administrative expenses totaled $683,000 for the year ended December 31, 2012, a decrease of $1,401,000, or 67%, compared to $2,084,000 for the year ended December 31, 2011. The decrease resulted primarily from a decrease of $1,508,000 in share-based compensation expenses, an increase of $113,000 in professional services and an increase of $52,000 in travel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result of the foregoing, our operating loss for the six months ended June 30, 2013 was $1,510,000, as compared to an operating loss of $988,000 for the six months ended June 30, 2012, an increase of $522,000, or 52%.</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Operating loss for the year ended December 31, 2012 was $1,501,000, as compared to an operating loss of $3,906,000 for the year ended December 31, 2011, a decrease of $2,405,000, or 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recognized financial expenses of $206,000 for the six months ended June 30, 2013, representing an increase of $193,000 compared to financial expenses of $13,000 for the six months ended June 30, 2012. The increase in financial expenses in an amount of $203,000 is attributable to financial expenses related to the convertible notes which were converted into equity upon our initial public offering.</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2012, we recognized financial expenses of $78,000 representing an increase of $55,000, or 239%, compared to financial expenses of $23,000 for the year ended December 31,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w:t>
      </w:r>
    </w:p>
    <w:p>
      <w:pPr>
        <w:spacing w:after="0" w:line="2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As a result of the foregoing, our loss for the six months ended June 30, 2013 was $1,716,000, as compared to $1,001,000 for the six months ended June 30, 2012, an increase of $715,000, or 71%.</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loss for the year ended December 31, 2012 was $1,579,000, as compared to $3,929,000 for the year ended December 31, 2011, a decrease of $2,350,000, or 60%.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Since our inception through June 30, 2013, we have funded our operations principally with $27.8 million from the sale of ordinary shares, preferred shares and convertible notes. As of June 30, 2013, we had $17.6 million in cash and cash equivalents and an additional amount of $4 million in a short-term deposit.</w:t>
      </w:r>
    </w:p>
    <w:p>
      <w:pPr>
        <w:sectPr>
          <w:pgSz w:w="11900" w:h="16838" w:orient="portrait"/>
          <w:cols w:equalWidth="0" w:num="1">
            <w:col w:w="11420"/>
          </w:cols>
          <w:pgMar w:left="240" w:top="877" w:right="239" w:bottom="1440" w:gutter="0" w:footer="0" w:header="0"/>
        </w:sectPr>
      </w:pPr>
    </w:p>
    <w:p>
      <w:pPr>
        <w:spacing w:after="0" w:line="177" w:lineRule="exact"/>
        <w:rPr>
          <w:sz w:val="20"/>
          <w:szCs w:val="20"/>
          <w:color w:val="auto"/>
        </w:rPr>
      </w:pPr>
    </w:p>
    <w:p>
      <w:pPr>
        <w:jc w:val="center"/>
        <w:ind w:left="56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56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7665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6060"/>
        <w:spacing w:after="0"/>
        <w:tabs>
          <w:tab w:leader="none" w:pos="756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5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(in thousands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7665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6657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-130810</wp:posOffset>
            </wp:positionV>
            <wp:extent cx="17665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Years Ended,</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5715</wp:posOffset>
            </wp:positionV>
            <wp:extent cx="17151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tabs>
          <w:tab w:leader="none" w:pos="1440" w:val="left"/>
        </w:tabs>
        <w:rPr>
          <w:sz w:val="20"/>
          <w:szCs w:val="20"/>
          <w:color w:val="auto"/>
        </w:rPr>
      </w:pPr>
      <w:r>
        <w:rPr>
          <w:rFonts w:ascii="Arial" w:cs="Arial" w:eastAsia="Arial" w:hAnsi="Arial"/>
          <w:sz w:val="15"/>
          <w:szCs w:val="15"/>
          <w:b w:val="1"/>
          <w:bCs w:val="1"/>
          <w:color w:val="auto"/>
        </w:rPr>
        <w:t>2012</w:t>
      </w:r>
      <w:r>
        <w:rPr>
          <w:sz w:val="20"/>
          <w:szCs w:val="20"/>
          <w:color w:val="auto"/>
        </w:rPr>
        <w:tab/>
      </w:r>
      <w:r>
        <w:rPr>
          <w:rFonts w:ascii="Arial" w:cs="Arial" w:eastAsia="Arial" w:hAnsi="Arial"/>
          <w:sz w:val="15"/>
          <w:szCs w:val="15"/>
          <w:b w:val="1"/>
          <w:bCs w:val="1"/>
          <w:color w:val="auto"/>
        </w:rPr>
        <w:t>2011</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(in thousands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21590</wp:posOffset>
            </wp:positionV>
            <wp:extent cx="17151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5135" cy="88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-123190</wp:posOffset>
            </wp:positionV>
            <wp:extent cx="17151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340" w:space="720"/>
            <w:col w:w="2360"/>
          </w:cols>
          <w:pgMar w:left="240" w:top="877"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Operating activities</w:t>
            </w:r>
          </w:p>
        </w:tc>
        <w:tc>
          <w:tcPr>
            <w:tcW w:w="13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(532)</w:t>
            </w:r>
          </w:p>
        </w:tc>
        <w:tc>
          <w:tcPr>
            <w:tcW w:w="60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(986)</w:t>
            </w:r>
          </w:p>
        </w:tc>
        <w:tc>
          <w:tcPr>
            <w:tcW w:w="5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(1,585)</w:t>
            </w:r>
          </w:p>
        </w:tc>
        <w:tc>
          <w:tcPr>
            <w:tcW w:w="5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Investing activities</w:t>
            </w:r>
          </w:p>
        </w:tc>
        <w:tc>
          <w:tcPr>
            <w:tcW w:w="134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(4,007)</w:t>
            </w:r>
          </w:p>
        </w:tc>
        <w:tc>
          <w:tcPr>
            <w:tcW w:w="6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974</w:t>
            </w:r>
          </w:p>
        </w:tc>
        <w:tc>
          <w:tcPr>
            <w:tcW w:w="50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1,026</w:t>
            </w:r>
          </w:p>
        </w:tc>
        <w:tc>
          <w:tcPr>
            <w:tcW w:w="5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Financing activities</w:t>
            </w:r>
          </w:p>
        </w:tc>
        <w:tc>
          <w:tcPr>
            <w:tcW w:w="134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22,035</w:t>
            </w:r>
          </w:p>
        </w:tc>
        <w:tc>
          <w:tcPr>
            <w:tcW w:w="6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601</w:t>
            </w:r>
          </w:p>
        </w:tc>
        <w:tc>
          <w:tcPr>
            <w:tcW w:w="500" w:type="dxa"/>
            <w:vAlign w:val="bottom"/>
            <w:shd w:val="clear" w:color="auto" w:fill="CCFFCC"/>
          </w:tcPr>
          <w:p>
            <w:pPr>
              <w:spacing w:after="0"/>
              <w:rPr>
                <w:sz w:val="18"/>
                <w:szCs w:val="18"/>
                <w:color w:val="auto"/>
              </w:rPr>
            </w:pPr>
          </w:p>
        </w:tc>
        <w:tc>
          <w:tcPr>
            <w:tcW w:w="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17,496</w:t>
            </w:r>
          </w:p>
        </w:tc>
        <w:tc>
          <w:tcPr>
            <w:tcW w:w="6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Net cash used in operating activities of $0.5 million during the six months ended June 30, 2013 was primarily used for payment of $0.1 million for clinical trials and other third party related expenses, $0.1 million for patent registration and an aggregate of $0.2 million in salary payments. The remaining amount of $0.1 million was for travel, rent and other miscellaneous expenses. Net cash used in operating activities of $1 million during the six months ended June 30, 2012 was primarily used for a payment of $0.6 million for clinical trials and other third party expenses and an aggregate of $0.1 million in salary payments. The remaining amount of $0.3 million was for travel, patent registration, rent and other miscellaneous expenses.</w:t>
      </w:r>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 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investing activities of $4 million during the six months ended June 30, 2013 reflected our use of cash to invest in short-term deposits. Net cash provided by investing activities of $1 million during the six months ended June 30, 2012 reflected withdrawal of short-term and restricted bank deposits.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50" w:name="page51"/>
    <w:bookmarkEnd w:id="50"/>
    <w:p>
      <w:pPr>
        <w:jc w:val="both"/>
        <w:ind w:firstLine="405"/>
        <w:spacing w:after="0" w:line="277" w:lineRule="auto"/>
        <w:rPr>
          <w:sz w:val="20"/>
          <w:szCs w:val="20"/>
          <w:color w:val="auto"/>
        </w:rPr>
      </w:pPr>
      <w:r>
        <w:rPr>
          <w:rFonts w:ascii="Arial" w:cs="Arial" w:eastAsia="Arial" w:hAnsi="Arial"/>
          <w:sz w:val="18"/>
          <w:szCs w:val="18"/>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financing activities of $22 million in the six months ended June 30, 2013 consisted of a $21.9 million issuance of share capital upon initial public offering and $0.1 million of proceeds from issuance of convertible notes. In the six months ended June 30, 2012 there were no financing activities.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financing activities in the year ended December 31, 2012 consisted of $0.6 million of net proceeds from issuance of convertible notes. Net cash provided by financing activities in the year ended December 31, 2011 consisted of $2.1 million of net proceeds from issuance of ordinary shares, and $0.5 million of proceeds from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financed our operations to date primarily through proceeds from sales of our ordinary shares, loans and issuances of convertible notes. We have incurred losses and generated negative cash flows from operations since inception. To date, we have not generated any revenue from the sale of products and we do not expect to generate revenues from sale of our products in the next three years. Even if we are able to raise funds in the offering contemplated herein, we believe that we will need to raise additional funds before we have any cash flow from operations.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2013, our cash, cash equivalents and short term deposits totaled $21.6 million. Our current investment policy is to invest available cash in bank deposits with banks that have a credit rating of at least A-minus.</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believe that our existing cash resources and the net proceeds from the current offering will be sufficient to fund our projected cash requirements approximately through 2016 (such activities do not include conducting clinical trials in the EU or Japan).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$36 million for clinical trial activities over the course of the next 30 months. We also anticipate utilizing between $1 million to $6 million for capital expenditures over such 30-month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17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cost that we may incur under in- and out-licensing arrangements relating to our drug candidate that we may enter into in the future; the costs and timing of obtaining regulatory approval for our drug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potential costs of contracting with third parties to provide marketing and distribution services for us or for building such capacities internally;</w:t>
      </w:r>
    </w:p>
    <w:p>
      <w:pPr>
        <w:spacing w:after="0" w:line="236"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costs of acquiring or undertaking the development and commercialization efforts for additional, future therapeutic applications of our drug candidate; the magnitude of our general and administrative expenses; and payments to the OCS. Until we can generate significant recurring revenues, we expect to satisfy our future cash needs through our existing cash, cash equivalents and short term deposits,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5"/>
          </w:tcPr>
          <w:p>
            <w:pPr>
              <w:jc w:val="right"/>
              <w:ind w:right="1390"/>
              <w:spacing w:after="0"/>
              <w:rPr>
                <w:sz w:val="20"/>
                <w:szCs w:val="20"/>
                <w:color w:val="auto"/>
              </w:rPr>
            </w:pPr>
            <w:r>
              <w:rPr>
                <w:rFonts w:ascii="Arial" w:cs="Arial" w:eastAsia="Arial" w:hAnsi="Arial"/>
                <w:sz w:val="18"/>
                <w:szCs w:val="18"/>
                <w:color w:val="auto"/>
                <w:w w:val="96"/>
              </w:rPr>
              <w:t>The following table summarizes our significant contractual obligations at December 31, 2012:</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Less than 1</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More than 5</w:t>
            </w:r>
          </w:p>
        </w:tc>
      </w:tr>
      <w:tr>
        <w:trPr>
          <w:trHeight w:val="230"/>
        </w:trPr>
        <w:tc>
          <w:tcPr>
            <w:tcW w:w="4120" w:type="dxa"/>
            <w:vAlign w:val="bottom"/>
          </w:tcPr>
          <w:p>
            <w:pPr>
              <w:spacing w:after="0"/>
              <w:rPr>
                <w:sz w:val="20"/>
                <w:szCs w:val="20"/>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rPr>
              <w:t>Total</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year</w:t>
            </w:r>
          </w:p>
        </w:tc>
        <w:tc>
          <w:tcPr>
            <w:tcW w:w="240" w:type="dxa"/>
            <w:vAlign w:val="bottom"/>
          </w:tcPr>
          <w:p>
            <w:pPr>
              <w:spacing w:after="0"/>
              <w:rPr>
                <w:sz w:val="20"/>
                <w:szCs w:val="20"/>
                <w:color w:val="auto"/>
              </w:rPr>
            </w:pP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1-3 years</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3-5 years</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years</w:t>
            </w:r>
          </w:p>
        </w:tc>
      </w:tr>
      <w:tr>
        <w:trPr>
          <w:trHeight w:val="210"/>
        </w:trPr>
        <w:tc>
          <w:tcPr>
            <w:tcW w:w="4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(in thousands US$)</w:t>
            </w:r>
          </w:p>
        </w:tc>
        <w:tc>
          <w:tcPr>
            <w:tcW w:w="1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leases:</w:t>
            </w:r>
          </w:p>
        </w:tc>
        <w:tc>
          <w:tcPr>
            <w:tcW w:w="16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1620" w:type="dxa"/>
            <w:vAlign w:val="bottom"/>
          </w:tcPr>
          <w:p>
            <w:pPr>
              <w:jc w:val="right"/>
              <w:ind w:right="1210"/>
              <w:spacing w:after="0"/>
              <w:rPr>
                <w:sz w:val="20"/>
                <w:szCs w:val="20"/>
                <w:color w:val="auto"/>
              </w:rPr>
            </w:pPr>
            <w:r>
              <w:rPr>
                <w:rFonts w:ascii="Arial" w:cs="Arial" w:eastAsia="Arial" w:hAnsi="Arial"/>
                <w:sz w:val="18"/>
                <w:szCs w:val="18"/>
                <w:color w:val="auto"/>
              </w:rPr>
              <w:t>4</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Motor Vehicles</w:t>
            </w:r>
          </w:p>
        </w:tc>
        <w:tc>
          <w:tcPr>
            <w:tcW w:w="1620" w:type="dxa"/>
            <w:vAlign w:val="bottom"/>
            <w:shd w:val="clear" w:color="auto" w:fill="CCFFCC"/>
          </w:tcPr>
          <w:p>
            <w:pPr>
              <w:jc w:val="right"/>
              <w:ind w:right="121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14</w:t>
            </w:r>
          </w:p>
        </w:tc>
        <w:tc>
          <w:tcPr>
            <w:tcW w:w="17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six months period ended June 30, 2013, and in particular since we completed our initial public offering in May 2013, we initiated our plan to commence an advanced Clinical Trial in adult ADHD. To that end, during such six months period, we engaged with various service providers and vendors. However, we do not deem such engagements as significant compared with our current financial resources.</w:t>
      </w:r>
    </w:p>
    <w:p>
      <w:pPr>
        <w:spacing w:after="0" w:line="17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do not have any off-balance sheet arrangements.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A-minus.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results of operations and cash flow are subject to fluctuations due to changes in foreign currency exchange rates. As discussed above, the vast majority of our liquid assets is held in USD, and a certain portion of our expenses is denominated in NIS. For instance, in 2012, approximately 40% of our expenses were denominated in New Israeli Shekel. Changes of 5% and 10% in the USD/NIS exchange rate would have increased/decreased the operation expenses by 2% and 4%, respectively. However, these historical figures may not be indicative of future exposure, as we expect that the percentage of our NIS denominated expenses will materially decrease in the near future, therefore reducing our exposure to exchange rate fluctuations.</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firstLine="389"/>
        <w:spacing w:after="0" w:line="270"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candidate, MG01CI, to treat Attention Deficit Hyperactivity Disorder, or ADHD, and other potential cognitive dysfunctions including Fragile X. The most common currently available treatments for ADHD are stimulants that increase the brain chemicals dopamine and norepinephrine.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only in immediate release forms for the acute treatment of alcohol intoxication and the chronic treatment of alcoholic liver disease in Italy, Portugal, Hungary, Russia, India, China, Mexico and Thailand. In September 2011, we completed a 120 subject double-blind placebo-controlled Phase 2 study in adult ADHD subjects in Israel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ind w:right="40" w:firstLine="389"/>
        <w:spacing w:after="0" w:line="302" w:lineRule="auto"/>
        <w:rPr>
          <w:sz w:val="20"/>
          <w:szCs w:val="20"/>
          <w:color w:val="auto"/>
        </w:rPr>
      </w:pPr>
      <w:r>
        <w:rPr>
          <w:rFonts w:ascii="Arial" w:cs="Arial" w:eastAsia="Arial" w:hAnsi="Arial"/>
          <w:sz w:val="16"/>
          <w:szCs w:val="16"/>
          <w:color w:val="auto"/>
        </w:rPr>
        <w:t>We have initiated discussions with the U.S. Food and Drug Administration, or FDA,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w:t>
      </w:r>
    </w:p>
    <w:p>
      <w:pPr>
        <w:spacing w:after="0" w:line="154" w:lineRule="exact"/>
        <w:rPr>
          <w:sz w:val="20"/>
          <w:szCs w:val="20"/>
          <w:color w:val="auto"/>
        </w:rPr>
      </w:pPr>
    </w:p>
    <w:p>
      <w:pPr>
        <w:jc w:val="both"/>
        <w:ind w:right="80" w:firstLine="389"/>
        <w:spacing w:after="0" w:line="264" w:lineRule="auto"/>
        <w:rPr>
          <w:sz w:val="20"/>
          <w:szCs w:val="20"/>
          <w:color w:val="auto"/>
        </w:rPr>
      </w:pPr>
      <w:r>
        <w:rPr>
          <w:rFonts w:ascii="Arial" w:cs="Arial" w:eastAsia="Arial" w:hAnsi="Arial"/>
          <w:sz w:val="18"/>
          <w:szCs w:val="18"/>
          <w:color w:val="auto"/>
        </w:rPr>
        <w:t>Subject to obtaining the necessary regulatory clearances, we further plan to conduct a Phase I/II study in children and adolescents with ADHD in 2014, followed by a Phase 3 study in this population in 2015, and, if the data supports it, proceed to request a marketing authorization. The requirements to conduct pediatric clinical trials are more stringent than those for adults.</w:t>
      </w:r>
    </w:p>
    <w:p>
      <w:pPr>
        <w:spacing w:after="0" w:line="181" w:lineRule="exact"/>
        <w:rPr>
          <w:sz w:val="20"/>
          <w:szCs w:val="20"/>
          <w:color w:val="auto"/>
        </w:rPr>
      </w:pPr>
    </w:p>
    <w:p>
      <w:pPr>
        <w:ind w:right="30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right="20" w:firstLine="389"/>
        <w:spacing w:after="0" w:line="268" w:lineRule="auto"/>
        <w:rPr>
          <w:sz w:val="20"/>
          <w:szCs w:val="20"/>
          <w:color w:val="auto"/>
        </w:rPr>
      </w:pPr>
      <w:r>
        <w:rPr>
          <w:rFonts w:ascii="Arial" w:cs="Arial" w:eastAsia="Arial" w:hAnsi="Arial"/>
          <w:sz w:val="17"/>
          <w:szCs w:val="17"/>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approved in 2002. This drug also has significant side effects, such as fatigue, decreased appetite, sexual problems, palpitations, increased heart rate and high blood pressure and also has regulatory warning labels relating to suicidal thoughts and liver damage. Moreover, Strattera takes six to 10 weeks to achieve full clinical effectiveness. More recently, two additional non-stimulant medications were approved for use only in children and adolescents (Intuniv (Guanfacine) and Kapvay (Clonidine)). These two drugs have not been approved for use in adults and have not had significant commercial success. All approved ADHD drugs need to be carefully monitored by the treating physician to optimize the dose, starting with a low dose and slowly escalating to the most effective and tolerable dose.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ind w:right="20" w:firstLine="389"/>
        <w:spacing w:after="0" w:line="276" w:lineRule="auto"/>
        <w:rPr>
          <w:sz w:val="20"/>
          <w:szCs w:val="20"/>
          <w:color w:val="auto"/>
        </w:rPr>
      </w:pPr>
      <w:r>
        <w:rPr>
          <w:rFonts w:ascii="Arial" w:cs="Arial" w:eastAsia="Arial" w:hAnsi="Arial"/>
          <w:sz w:val="17"/>
          <w:szCs w:val="17"/>
          <w:color w:val="auto"/>
        </w:rPr>
        <w:t>In contrast to the most common available treatments which involve the use of stimulants, MG01CI is a non-stimulant with a differentiated mechanism of action that is neither dopaminergic (related to dopamine) nor noradrenergic (related to norepinephrine). Our 120 subject Phase 2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w:t>
      </w:r>
    </w:p>
    <w:p>
      <w:pPr>
        <w:spacing w:after="0" w:line="173" w:lineRule="exact"/>
        <w:rPr>
          <w:sz w:val="20"/>
          <w:szCs w:val="20"/>
          <w:color w:val="auto"/>
        </w:rPr>
      </w:pPr>
    </w:p>
    <w:p>
      <w:pPr>
        <w:ind w:right="340" w:firstLine="389"/>
        <w:spacing w:after="0" w:line="259" w:lineRule="auto"/>
        <w:rPr>
          <w:sz w:val="20"/>
          <w:szCs w:val="20"/>
          <w:color w:val="auto"/>
        </w:rPr>
      </w:pPr>
      <w:r>
        <w:rPr>
          <w:rFonts w:ascii="Arial" w:cs="Arial" w:eastAsia="Arial" w:hAnsi="Arial"/>
          <w:sz w:val="18"/>
          <w:szCs w:val="18"/>
          <w:color w:val="auto"/>
        </w:rPr>
        <w:t>In addition, because of its unique mechanism of action and specific clinical effect on inattention and executive function, we believe that MG01CI possibly may be useful in treating additional cognitive disorders. Accordingly, recently we have completed a pre-clinical study evaluating MG01CI in the standard mouse model of Fragile X (FMR1 knockout mouse). The study showed significant improvement in cognitive and social functioning following treatment with MG01CI in the Fragile X model.</w:t>
      </w:r>
    </w:p>
    <w:p>
      <w:pPr>
        <w:spacing w:after="0" w:line="187" w:lineRule="exact"/>
        <w:rPr>
          <w:sz w:val="20"/>
          <w:szCs w:val="20"/>
          <w:color w:val="auto"/>
        </w:rPr>
      </w:pPr>
    </w:p>
    <w:p>
      <w:pPr>
        <w:ind w:firstLine="389"/>
        <w:spacing w:after="0" w:line="255" w:lineRule="auto"/>
        <w:rPr>
          <w:sz w:val="20"/>
          <w:szCs w:val="20"/>
          <w:color w:val="auto"/>
        </w:rPr>
      </w:pPr>
      <w:r>
        <w:rPr>
          <w:rFonts w:ascii="Arial" w:cs="Arial" w:eastAsia="Arial" w:hAnsi="Arial"/>
          <w:sz w:val="18"/>
          <w:szCs w:val="18"/>
          <w:color w:val="auto"/>
        </w:rPr>
        <w:t>Fragile X, a rare disease, as such term is defined by the Orphan Drug Act, is the most common single-gene cause of autism and inherited cause of intellectual disability among boys. Approximately one in 4,000 males and one in 8,000 females have Fragile X, according to Centers for Disease Control and Prevention (CDC). Not everyone with the mutation will show signs or symptoms of Fragile X, and disabilities will range from mild to severe and may include physical characteristics such as an elongated face, large or protruding ears and large testes (macro-orchidism) and behavioral characteristics such as stereotypic movements (e.g. hand-flapping), problems with attention and hyperactivity and social anxiety. A majority of individuals with Fragile X will have either Autism Spectrum Disorder or autistic symptoms, and will have varying levels of cognitive impairment. The FDA has not approved any drugs specifically for the treatment of Fragile X or its symptoms.</w:t>
      </w:r>
    </w:p>
    <w:p>
      <w:pPr>
        <w:spacing w:after="0" w:line="189" w:lineRule="exact"/>
        <w:rPr>
          <w:sz w:val="20"/>
          <w:szCs w:val="20"/>
          <w:color w:val="auto"/>
        </w:rPr>
      </w:pPr>
    </w:p>
    <w:p>
      <w:pPr>
        <w:ind w:right="180" w:firstLine="389"/>
        <w:spacing w:after="0" w:line="279" w:lineRule="auto"/>
        <w:rPr>
          <w:sz w:val="20"/>
          <w:szCs w:val="20"/>
          <w:color w:val="auto"/>
        </w:rPr>
      </w:pPr>
      <w:r>
        <w:rPr>
          <w:rFonts w:ascii="Arial" w:cs="Arial" w:eastAsia="Arial" w:hAnsi="Arial"/>
          <w:sz w:val="17"/>
          <w:szCs w:val="17"/>
          <w:color w:val="auto"/>
        </w:rPr>
        <w:t>The study we completed included multiple behavioral assessments of 40 mice, comprising 20 Fragile X knock-out mice and 20 control littermate mice that were treated with MG01CI or placebo. The data showed significant improvement in behavioral outcomes assessed with this animal model, including contextual fear conditioning (a test primarily evaluating memory and learning), social interaction, and Y-maze alternation (a test of learning and perseverance). All assessments were scored blindly (raters were not aware of the treatment each mouse received).</w:t>
      </w:r>
    </w:p>
    <w:p>
      <w:pPr>
        <w:spacing w:after="0" w:line="171"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The positive outcomes we reported in this animal model we believe warrant investigation in clinical trials to evaluate the safety and efficacy of MG01CI for treatment of Fragile X. We plan to initiate such clinical studies in 2014.</w:t>
      </w:r>
    </w:p>
    <w:p>
      <w:pPr>
        <w:spacing w:after="0" w:line="170" w:lineRule="exact"/>
        <w:rPr>
          <w:sz w:val="20"/>
          <w:szCs w:val="20"/>
          <w:color w:val="auto"/>
        </w:rPr>
      </w:pPr>
    </w:p>
    <w:p>
      <w:pPr>
        <w:ind w:right="660" w:firstLine="389"/>
        <w:spacing w:after="0" w:line="277" w:lineRule="auto"/>
        <w:rPr>
          <w:sz w:val="20"/>
          <w:szCs w:val="20"/>
          <w:color w:val="auto"/>
        </w:rPr>
      </w:pPr>
      <w:r>
        <w:rPr>
          <w:rFonts w:ascii="Arial" w:cs="Arial" w:eastAsia="Arial" w:hAnsi="Arial"/>
          <w:sz w:val="18"/>
          <w:szCs w:val="18"/>
          <w:color w:val="auto"/>
        </w:rPr>
        <w:t>We have multiple claims in our issued patent as well as other U.S. pending patent applications that, if issued, would prevent the use by others of Metadoxine to treat ADHD, Fragile X and other cognitive disorders.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ADHD</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ADHD Market</w:t>
      </w:r>
    </w:p>
    <w:p>
      <w:pPr>
        <w:spacing w:after="0" w:line="225"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4" w:name="page55"/>
    <w:bookmarkEnd w:id="54"/>
    <w:p>
      <w:pPr>
        <w:ind w:left="420"/>
        <w:spacing w:after="0"/>
        <w:rPr>
          <w:sz w:val="20"/>
          <w:szCs w:val="20"/>
          <w:color w:val="auto"/>
        </w:rPr>
      </w:pPr>
      <w:r>
        <w:rPr>
          <w:rFonts w:ascii="Arial" w:cs="Arial" w:eastAsia="Arial" w:hAnsi="Arial"/>
          <w:sz w:val="18"/>
          <w:szCs w:val="18"/>
          <w:b w:val="1"/>
          <w:bCs w:val="1"/>
          <w:i w:val="1"/>
          <w:iCs w:val="1"/>
          <w:color w:val="auto"/>
        </w:rPr>
        <w:t>Development of ADHD Symptoms</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Once perceived to only affect children, ADHD is now known to persist into adolescence and adulthood in a sizeable number of cases. The following graphic illustrates how the nature of ADHD symptoms change with age: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Children</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Adolescents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2"/>
              </w:rPr>
              <w:t>Adults</w:t>
            </w:r>
          </w:p>
        </w:tc>
      </w:tr>
      <w:tr>
        <w:trPr>
          <w:trHeight w:val="191"/>
        </w:trPr>
        <w:tc>
          <w:tcPr>
            <w:tcW w:w="3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Hyperactive</w:t>
            </w:r>
          </w:p>
        </w:tc>
        <w:tc>
          <w:tcPr>
            <w:tcW w:w="24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Easily distracted</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Shifts activities</w:t>
            </w:r>
          </w:p>
        </w:tc>
      </w:tr>
      <w:tr>
        <w:trPr>
          <w:trHeight w:val="216"/>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Aggressive</w:t>
            </w: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Inattentive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Easily bored</w:t>
            </w:r>
          </w:p>
        </w:tc>
      </w:tr>
      <w:tr>
        <w:trPr>
          <w:trHeight w:val="216"/>
        </w:trPr>
        <w:tc>
          <w:tcPr>
            <w:tcW w:w="3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Low frustration tolerance</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4"/>
              </w:rPr>
              <w:t>Impatient</w:t>
            </w:r>
          </w:p>
        </w:tc>
      </w:t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Impulsive</w:t>
            </w: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0"/>
              </w:rPr>
              <w:t>Restless</w:t>
            </w:r>
          </w:p>
        </w:tc>
      </w:tr>
    </w:tbl>
    <w:p>
      <w:pPr>
        <w:spacing w:after="0" w:line="20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 recent study showed that approximately 46% of adults who suffered from ADHD as children continue to have symptoms of the disorder as adults, with approximately 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Arial" w:cs="Arial" w:eastAsia="Arial" w:hAnsi="Arial"/>
          <w:sz w:val="18"/>
          <w:szCs w:val="18"/>
          <w:b w:val="1"/>
          <w:bCs w:val="1"/>
          <w:color w:val="auto"/>
        </w:rPr>
        <w:t>.</w:t>
      </w:r>
    </w:p>
    <w:p>
      <w:pPr>
        <w:spacing w:after="0" w:line="187"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Impact of Untreated and Undertreated ADHD</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illustrates the effects on society when ADHD remains untreated:</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2820" w:type="dxa"/>
            <w:vAlign w:val="bottom"/>
          </w:tcPr>
          <w:p>
            <w:pPr>
              <w:jc w:val="center"/>
              <w:ind w:right="810"/>
              <w:spacing w:after="0"/>
              <w:rPr>
                <w:sz w:val="20"/>
                <w:szCs w:val="20"/>
                <w:color w:val="auto"/>
              </w:rPr>
            </w:pPr>
            <w:r>
              <w:rPr>
                <w:rFonts w:ascii="Arial" w:cs="Arial" w:eastAsia="Arial" w:hAnsi="Arial"/>
                <w:sz w:val="18"/>
                <w:szCs w:val="18"/>
                <w:b w:val="1"/>
                <w:bCs w:val="1"/>
                <w:color w:val="auto"/>
                <w:w w:val="89"/>
              </w:rPr>
              <w:t>Healthcare System</w:t>
            </w:r>
          </w:p>
        </w:tc>
        <w:tc>
          <w:tcPr>
            <w:tcW w:w="378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Patient</w:t>
            </w:r>
          </w:p>
        </w:tc>
        <w:tc>
          <w:tcPr>
            <w:tcW w:w="3640" w:type="dxa"/>
            <w:vAlign w:val="bottom"/>
          </w:tcPr>
          <w:p>
            <w:pPr>
              <w:jc w:val="center"/>
              <w:ind w:left="530"/>
              <w:spacing w:after="0"/>
              <w:rPr>
                <w:sz w:val="20"/>
                <w:szCs w:val="20"/>
                <w:color w:val="auto"/>
              </w:rPr>
            </w:pPr>
            <w:r>
              <w:rPr>
                <w:rFonts w:ascii="Arial" w:cs="Arial" w:eastAsia="Arial" w:hAnsi="Arial"/>
                <w:sz w:val="18"/>
                <w:szCs w:val="18"/>
                <w:b w:val="1"/>
                <w:bCs w:val="1"/>
                <w:color w:val="auto"/>
                <w:w w:val="94"/>
              </w:rPr>
              <w:t>Family</w:t>
            </w:r>
          </w:p>
        </w:tc>
      </w:tr>
      <w:tr>
        <w:trPr>
          <w:trHeight w:val="216"/>
        </w:trPr>
        <w:tc>
          <w:tcPr>
            <w:tcW w:w="2820" w:type="dxa"/>
            <w:vAlign w:val="bottom"/>
          </w:tcPr>
          <w:p>
            <w:pPr>
              <w:jc w:val="center"/>
              <w:ind w:right="810"/>
              <w:spacing w:after="0"/>
              <w:rPr>
                <w:sz w:val="20"/>
                <w:szCs w:val="20"/>
                <w:color w:val="auto"/>
              </w:rPr>
            </w:pPr>
            <w:r>
              <w:rPr>
                <w:rFonts w:ascii="Arial" w:cs="Arial" w:eastAsia="Arial" w:hAnsi="Arial"/>
                <w:sz w:val="18"/>
                <w:szCs w:val="18"/>
                <w:color w:val="auto"/>
                <w:w w:val="90"/>
              </w:rPr>
              <w:t>ñ 50% in bicycle accidents</w:t>
            </w:r>
          </w:p>
        </w:tc>
        <w:tc>
          <w:tcPr>
            <w:tcW w:w="3780" w:type="dxa"/>
            <w:vAlign w:val="bottom"/>
          </w:tcPr>
          <w:p>
            <w:pPr>
              <w:jc w:val="center"/>
              <w:ind w:left="170"/>
              <w:spacing w:after="0"/>
              <w:rPr>
                <w:sz w:val="20"/>
                <w:szCs w:val="20"/>
                <w:color w:val="auto"/>
              </w:rPr>
            </w:pPr>
            <w:r>
              <w:rPr>
                <w:rFonts w:ascii="Arial" w:cs="Arial" w:eastAsia="Arial" w:hAnsi="Arial"/>
                <w:sz w:val="18"/>
                <w:szCs w:val="18"/>
                <w:color w:val="auto"/>
                <w:w w:val="96"/>
              </w:rPr>
              <w:t>ñ criminal activity</w:t>
            </w:r>
          </w:p>
        </w:tc>
        <w:tc>
          <w:tcPr>
            <w:tcW w:w="3640" w:type="dxa"/>
            <w:vAlign w:val="bottom"/>
          </w:tcPr>
          <w:p>
            <w:pPr>
              <w:jc w:val="center"/>
              <w:ind w:left="550"/>
              <w:spacing w:after="0"/>
              <w:rPr>
                <w:sz w:val="20"/>
                <w:szCs w:val="20"/>
                <w:color w:val="auto"/>
              </w:rPr>
            </w:pPr>
            <w:r>
              <w:rPr>
                <w:rFonts w:ascii="Arial" w:cs="Arial" w:eastAsia="Arial" w:hAnsi="Arial"/>
                <w:sz w:val="18"/>
                <w:szCs w:val="18"/>
                <w:color w:val="auto"/>
                <w:w w:val="90"/>
              </w:rPr>
              <w:t>3-5x more divorce/separation</w:t>
            </w:r>
          </w:p>
        </w:tc>
      </w:tr>
      <w:tr>
        <w:trPr>
          <w:trHeight w:val="216"/>
        </w:trPr>
        <w:tc>
          <w:tcPr>
            <w:tcW w:w="2820" w:type="dxa"/>
            <w:vAlign w:val="bottom"/>
          </w:tcPr>
          <w:p>
            <w:pPr>
              <w:jc w:val="center"/>
              <w:ind w:right="810"/>
              <w:spacing w:after="0"/>
              <w:rPr>
                <w:sz w:val="20"/>
                <w:szCs w:val="20"/>
                <w:color w:val="auto"/>
              </w:rPr>
            </w:pPr>
            <w:r>
              <w:rPr>
                <w:rFonts w:ascii="Arial" w:cs="Arial" w:eastAsia="Arial" w:hAnsi="Arial"/>
                <w:sz w:val="18"/>
                <w:szCs w:val="18"/>
                <w:color w:val="auto"/>
                <w:w w:val="93"/>
              </w:rPr>
              <w:t>ñ 33% in ER visits</w:t>
            </w:r>
          </w:p>
        </w:tc>
        <w:tc>
          <w:tcPr>
            <w:tcW w:w="3780" w:type="dxa"/>
            <w:vAlign w:val="bottom"/>
          </w:tcPr>
          <w:p>
            <w:pPr>
              <w:jc w:val="center"/>
              <w:ind w:left="190"/>
              <w:spacing w:after="0"/>
              <w:rPr>
                <w:sz w:val="20"/>
                <w:szCs w:val="20"/>
                <w:color w:val="auto"/>
              </w:rPr>
            </w:pPr>
            <w:r>
              <w:rPr>
                <w:rFonts w:ascii="Arial" w:cs="Arial" w:eastAsia="Arial" w:hAnsi="Arial"/>
                <w:sz w:val="18"/>
                <w:szCs w:val="18"/>
                <w:color w:val="auto"/>
                <w:w w:val="89"/>
              </w:rPr>
              <w:t>ñ incarceration</w:t>
            </w:r>
          </w:p>
        </w:tc>
        <w:tc>
          <w:tcPr>
            <w:tcW w:w="3640" w:type="dxa"/>
            <w:vAlign w:val="bottom"/>
          </w:tcPr>
          <w:p>
            <w:pPr>
              <w:jc w:val="center"/>
              <w:ind w:left="530"/>
              <w:spacing w:after="0"/>
              <w:rPr>
                <w:sz w:val="20"/>
                <w:szCs w:val="20"/>
                <w:color w:val="auto"/>
              </w:rPr>
            </w:pPr>
            <w:r>
              <w:rPr>
                <w:rFonts w:ascii="Arial" w:cs="Arial" w:eastAsia="Arial" w:hAnsi="Arial"/>
                <w:sz w:val="18"/>
                <w:szCs w:val="18"/>
                <w:color w:val="auto"/>
                <w:w w:val="93"/>
              </w:rPr>
              <w:t>2-4x more sibling fights</w:t>
            </w:r>
          </w:p>
        </w:tc>
      </w:tr>
      <w:tr>
        <w:trPr>
          <w:trHeight w:val="230"/>
        </w:trPr>
        <w:tc>
          <w:tcPr>
            <w:tcW w:w="2820" w:type="dxa"/>
            <w:vAlign w:val="bottom"/>
          </w:tcPr>
          <w:p>
            <w:pPr>
              <w:jc w:val="center"/>
              <w:ind w:right="810"/>
              <w:spacing w:after="0"/>
              <w:rPr>
                <w:sz w:val="20"/>
                <w:szCs w:val="20"/>
                <w:color w:val="auto"/>
              </w:rPr>
            </w:pPr>
            <w:r>
              <w:rPr>
                <w:rFonts w:ascii="Arial" w:cs="Arial" w:eastAsia="Arial" w:hAnsi="Arial"/>
                <w:sz w:val="18"/>
                <w:szCs w:val="18"/>
                <w:color w:val="auto"/>
                <w:w w:val="89"/>
              </w:rPr>
              <w:t>2-4x more car accidents</w:t>
            </w:r>
          </w:p>
        </w:tc>
        <w:tc>
          <w:tcPr>
            <w:tcW w:w="37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8"/>
        </w:trPr>
        <w:tc>
          <w:tcPr>
            <w:tcW w:w="2820" w:type="dxa"/>
            <w:vAlign w:val="bottom"/>
          </w:tcPr>
          <w:p>
            <w:pPr>
              <w:jc w:val="center"/>
              <w:ind w:right="790"/>
              <w:spacing w:after="0"/>
              <w:rPr>
                <w:sz w:val="20"/>
                <w:szCs w:val="20"/>
                <w:color w:val="auto"/>
              </w:rPr>
            </w:pPr>
            <w:r>
              <w:rPr>
                <w:rFonts w:ascii="Arial" w:cs="Arial" w:eastAsia="Arial" w:hAnsi="Arial"/>
                <w:sz w:val="18"/>
                <w:szCs w:val="18"/>
                <w:b w:val="1"/>
                <w:bCs w:val="1"/>
                <w:color w:val="auto"/>
                <w:w w:val="88"/>
              </w:rPr>
              <w:t>School and Occupation</w:t>
            </w:r>
          </w:p>
        </w:tc>
        <w:tc>
          <w:tcPr>
            <w:tcW w:w="3780" w:type="dxa"/>
            <w:vAlign w:val="bottom"/>
          </w:tcPr>
          <w:p>
            <w:pPr>
              <w:jc w:val="center"/>
              <w:ind w:left="190"/>
              <w:spacing w:after="0"/>
              <w:rPr>
                <w:sz w:val="20"/>
                <w:szCs w:val="20"/>
                <w:color w:val="auto"/>
              </w:rPr>
            </w:pPr>
            <w:r>
              <w:rPr>
                <w:rFonts w:ascii="Arial" w:cs="Arial" w:eastAsia="Arial" w:hAnsi="Arial"/>
                <w:sz w:val="18"/>
                <w:szCs w:val="18"/>
                <w:b w:val="1"/>
                <w:bCs w:val="1"/>
                <w:color w:val="auto"/>
                <w:w w:val="84"/>
              </w:rPr>
              <w:t>Society</w:t>
            </w:r>
          </w:p>
        </w:tc>
        <w:tc>
          <w:tcPr>
            <w:tcW w:w="3640" w:type="dxa"/>
            <w:vAlign w:val="bottom"/>
          </w:tcPr>
          <w:p>
            <w:pPr>
              <w:jc w:val="center"/>
              <w:ind w:left="550"/>
              <w:spacing w:after="0"/>
              <w:rPr>
                <w:sz w:val="20"/>
                <w:szCs w:val="20"/>
                <w:color w:val="auto"/>
              </w:rPr>
            </w:pPr>
            <w:r>
              <w:rPr>
                <w:rFonts w:ascii="Arial" w:cs="Arial" w:eastAsia="Arial" w:hAnsi="Arial"/>
                <w:sz w:val="18"/>
                <w:szCs w:val="18"/>
                <w:b w:val="1"/>
                <w:bCs w:val="1"/>
                <w:color w:val="auto"/>
                <w:w w:val="92"/>
              </w:rPr>
              <w:t>Employer</w:t>
            </w:r>
          </w:p>
        </w:tc>
      </w:tr>
      <w:tr>
        <w:trPr>
          <w:trHeight w:val="216"/>
        </w:trPr>
        <w:tc>
          <w:tcPr>
            <w:tcW w:w="2820" w:type="dxa"/>
            <w:vAlign w:val="bottom"/>
          </w:tcPr>
          <w:p>
            <w:pPr>
              <w:jc w:val="center"/>
              <w:ind w:right="790"/>
              <w:spacing w:after="0"/>
              <w:rPr>
                <w:sz w:val="20"/>
                <w:szCs w:val="20"/>
                <w:color w:val="auto"/>
              </w:rPr>
            </w:pPr>
            <w:r>
              <w:rPr>
                <w:rFonts w:ascii="Arial" w:cs="Arial" w:eastAsia="Arial" w:hAnsi="Arial"/>
                <w:sz w:val="18"/>
                <w:szCs w:val="18"/>
                <w:color w:val="auto"/>
                <w:w w:val="90"/>
              </w:rPr>
              <w:t>46% expelled</w:t>
            </w:r>
          </w:p>
        </w:tc>
        <w:tc>
          <w:tcPr>
            <w:tcW w:w="3780" w:type="dxa"/>
            <w:vAlign w:val="bottom"/>
          </w:tcPr>
          <w:p>
            <w:pPr>
              <w:jc w:val="center"/>
              <w:ind w:left="190"/>
              <w:spacing w:after="0"/>
              <w:rPr>
                <w:sz w:val="20"/>
                <w:szCs w:val="20"/>
                <w:color w:val="auto"/>
              </w:rPr>
            </w:pPr>
            <w:r>
              <w:rPr>
                <w:rFonts w:ascii="Arial" w:cs="Arial" w:eastAsia="Arial" w:hAnsi="Arial"/>
                <w:sz w:val="18"/>
                <w:szCs w:val="18"/>
                <w:color w:val="auto"/>
                <w:w w:val="87"/>
              </w:rPr>
              <w:t>Substance use disorders:</w:t>
            </w:r>
          </w:p>
        </w:tc>
        <w:tc>
          <w:tcPr>
            <w:tcW w:w="3640" w:type="dxa"/>
            <w:vAlign w:val="bottom"/>
          </w:tcPr>
          <w:p>
            <w:pPr>
              <w:jc w:val="center"/>
              <w:ind w:left="550"/>
              <w:spacing w:after="0"/>
              <w:rPr>
                <w:sz w:val="20"/>
                <w:szCs w:val="20"/>
                <w:color w:val="auto"/>
              </w:rPr>
            </w:pPr>
            <w:r>
              <w:rPr>
                <w:rFonts w:ascii="Arial" w:cs="Arial" w:eastAsia="Arial" w:hAnsi="Arial"/>
                <w:sz w:val="18"/>
                <w:szCs w:val="18"/>
                <w:color w:val="auto"/>
                <w:w w:val="88"/>
              </w:rPr>
              <w:t>Increased parental absenteeism and lower</w:t>
            </w:r>
          </w:p>
        </w:tc>
      </w:tr>
      <w:tr>
        <w:trPr>
          <w:trHeight w:val="216"/>
        </w:trPr>
        <w:tc>
          <w:tcPr>
            <w:tcW w:w="2820" w:type="dxa"/>
            <w:vAlign w:val="bottom"/>
          </w:tcPr>
          <w:p>
            <w:pPr>
              <w:jc w:val="center"/>
              <w:ind w:right="790"/>
              <w:spacing w:after="0"/>
              <w:rPr>
                <w:sz w:val="20"/>
                <w:szCs w:val="20"/>
                <w:color w:val="auto"/>
              </w:rPr>
            </w:pPr>
            <w:r>
              <w:rPr>
                <w:rFonts w:ascii="Arial" w:cs="Arial" w:eastAsia="Arial" w:hAnsi="Arial"/>
                <w:sz w:val="18"/>
                <w:szCs w:val="18"/>
                <w:color w:val="auto"/>
                <w:w w:val="91"/>
              </w:rPr>
              <w:t>35% drop out</w:t>
            </w:r>
          </w:p>
        </w:tc>
        <w:tc>
          <w:tcPr>
            <w:tcW w:w="3780" w:type="dxa"/>
            <w:vAlign w:val="bottom"/>
          </w:tcPr>
          <w:p>
            <w:pPr>
              <w:jc w:val="center"/>
              <w:ind w:left="190"/>
              <w:spacing w:after="0"/>
              <w:rPr>
                <w:sz w:val="20"/>
                <w:szCs w:val="20"/>
                <w:color w:val="auto"/>
              </w:rPr>
            </w:pPr>
            <w:r>
              <w:rPr>
                <w:rFonts w:ascii="Arial" w:cs="Arial" w:eastAsia="Arial" w:hAnsi="Arial"/>
                <w:sz w:val="18"/>
                <w:szCs w:val="18"/>
                <w:color w:val="auto"/>
                <w:w w:val="91"/>
              </w:rPr>
              <w:t>2x risk and earlier onset</w:t>
            </w:r>
          </w:p>
        </w:tc>
        <w:tc>
          <w:tcPr>
            <w:tcW w:w="3640" w:type="dxa"/>
            <w:vAlign w:val="bottom"/>
          </w:tcPr>
          <w:p>
            <w:pPr>
              <w:jc w:val="center"/>
              <w:ind w:left="550"/>
              <w:spacing w:after="0"/>
              <w:rPr>
                <w:sz w:val="20"/>
                <w:szCs w:val="20"/>
                <w:color w:val="auto"/>
              </w:rPr>
            </w:pPr>
            <w:r>
              <w:rPr>
                <w:rFonts w:ascii="Arial" w:cs="Arial" w:eastAsia="Arial" w:hAnsi="Arial"/>
                <w:sz w:val="18"/>
                <w:szCs w:val="18"/>
                <w:color w:val="auto"/>
                <w:w w:val="96"/>
              </w:rPr>
              <w:t>productivity</w:t>
            </w:r>
          </w:p>
        </w:tc>
      </w:tr>
      <w:tr>
        <w:trPr>
          <w:trHeight w:val="230"/>
        </w:trPr>
        <w:tc>
          <w:tcPr>
            <w:tcW w:w="2820" w:type="dxa"/>
            <w:vAlign w:val="bottom"/>
          </w:tcPr>
          <w:p>
            <w:pPr>
              <w:jc w:val="center"/>
              <w:ind w:right="810"/>
              <w:spacing w:after="0"/>
              <w:rPr>
                <w:sz w:val="20"/>
                <w:szCs w:val="20"/>
                <w:color w:val="auto"/>
              </w:rPr>
            </w:pPr>
            <w:r>
              <w:rPr>
                <w:rFonts w:ascii="Arial" w:cs="Arial" w:eastAsia="Arial" w:hAnsi="Arial"/>
                <w:sz w:val="18"/>
                <w:szCs w:val="18"/>
                <w:color w:val="auto"/>
                <w:w w:val="90"/>
              </w:rPr>
              <w:t>Lower occupational status</w:t>
            </w:r>
          </w:p>
        </w:tc>
        <w:tc>
          <w:tcPr>
            <w:tcW w:w="3780" w:type="dxa"/>
            <w:vAlign w:val="bottom"/>
          </w:tcPr>
          <w:p>
            <w:pPr>
              <w:jc w:val="center"/>
              <w:ind w:left="170"/>
              <w:spacing w:after="0"/>
              <w:rPr>
                <w:sz w:val="20"/>
                <w:szCs w:val="20"/>
                <w:color w:val="auto"/>
              </w:rPr>
            </w:pPr>
            <w:r>
              <w:rPr>
                <w:rFonts w:ascii="Arial" w:cs="Arial" w:eastAsia="Arial" w:hAnsi="Arial"/>
                <w:sz w:val="18"/>
                <w:szCs w:val="18"/>
                <w:color w:val="auto"/>
                <w:w w:val="93"/>
              </w:rPr>
              <w:t>Less likely to quit in adulthood</w:t>
            </w:r>
          </w:p>
        </w:tc>
        <w:tc>
          <w:tcPr>
            <w:tcW w:w="3640" w:type="dxa"/>
            <w:vAlign w:val="bottom"/>
          </w:tcPr>
          <w:p>
            <w:pPr>
              <w:spacing w:after="0"/>
              <w:rPr>
                <w:sz w:val="20"/>
                <w:szCs w:val="20"/>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Diagnosis of ADHD</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(DSM-V), diagnostic criteria are most widely used to diagnose ADHD.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ind w:left="66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DSM-V criteria</w:t>
      </w:r>
      <w:r>
        <w:rPr>
          <w:rFonts w:ascii="Arial" w:cs="Arial" w:eastAsia="Arial" w:hAnsi="Arial"/>
          <w:sz w:val="18"/>
          <w:szCs w:val="18"/>
          <w:color w:val="auto"/>
        </w:rPr>
        <w:t>. The American Psychiatric Association provides a set of standardized criteria for classifying mental disorders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and Statistical 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186" w:lineRule="exact"/>
        <w:rPr>
          <w:rFonts w:ascii="Arial" w:cs="Arial" w:eastAsia="Arial" w:hAnsi="Arial"/>
          <w:sz w:val="18"/>
          <w:szCs w:val="18"/>
          <w:color w:val="auto"/>
        </w:rPr>
      </w:pPr>
    </w:p>
    <w:p>
      <w:pPr>
        <w:ind w:left="1960" w:hanging="331"/>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Inattention – the patient makes careless mistakes in activities and is easily distracted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Hyperactivity – the patients fidgets, squirms, talks excessively or displays restless behavior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Impulsiveness – the patient interrupts others and cannot wait for a turn</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There must be clear evidence of significant impairment in social, school, or work functioning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Signs of impairment present before twelve years of age and present in two or more settings (school/work and home)</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Signs are not better accounted for by another mental disorder</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DSM-V criteria are becoming more prevalent as the diagnostic measure for ADHD in Europe and Japan. If the DSM-V criteria are used, rather than an alternative measure in declining use, a diagnosis of ADHD is three to four times more likely. Consequently, the size of the market in Europe and Japan is set to grow with improved diagnosis rates driven by adoption of the DSM-V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Products – ADHD</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four drugs to treat ADHD that to our knowledge had the most sales in 2012 on a worldwide basis are shown in the following table, together with the drug brand name, owner, reported 2012 sales and historic or expected peak sales. Out of the drugs listed below, Vyvanse, Concerta and Adderall XR are stimulants and Strattera is a non-stimulant drug.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6"/>
              </w:rPr>
              <w:t>Brand</w:t>
            </w:r>
          </w:p>
        </w:tc>
        <w:tc>
          <w:tcPr>
            <w:tcW w:w="2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4"/>
        </w:trPr>
        <w:tc>
          <w:tcPr>
            <w:tcW w:w="22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(launch)</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Generic Name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6"/>
              </w:rPr>
              <w:t>Owner</w:t>
            </w:r>
          </w:p>
        </w:tc>
        <w:tc>
          <w:tcPr>
            <w:tcW w:w="2520" w:type="dxa"/>
            <w:vAlign w:val="bottom"/>
          </w:tcPr>
          <w:p>
            <w:pPr>
              <w:ind w:left="580"/>
              <w:spacing w:after="0"/>
              <w:rPr>
                <w:sz w:val="20"/>
                <w:szCs w:val="20"/>
                <w:color w:val="auto"/>
              </w:rPr>
            </w:pPr>
            <w:r>
              <w:rPr>
                <w:rFonts w:ascii="Arial" w:cs="Arial" w:eastAsia="Arial" w:hAnsi="Arial"/>
                <w:sz w:val="18"/>
                <w:szCs w:val="18"/>
                <w:b w:val="1"/>
                <w:bCs w:val="1"/>
                <w:color w:val="auto"/>
              </w:rPr>
              <w:t>Sales in 2012 US$m</w:t>
            </w:r>
          </w:p>
        </w:tc>
        <w:tc>
          <w:tcPr>
            <w:tcW w:w="2200" w:type="dxa"/>
            <w:vAlign w:val="bottom"/>
          </w:tcPr>
          <w:p>
            <w:pPr>
              <w:ind w:left="460"/>
              <w:spacing w:after="0"/>
              <w:rPr>
                <w:sz w:val="20"/>
                <w:szCs w:val="20"/>
                <w:color w:val="auto"/>
              </w:rPr>
            </w:pPr>
            <w:r>
              <w:rPr>
                <w:rFonts w:ascii="Arial" w:cs="Arial" w:eastAsia="Arial" w:hAnsi="Arial"/>
                <w:sz w:val="18"/>
                <w:szCs w:val="18"/>
                <w:b w:val="1"/>
                <w:bCs w:val="1"/>
                <w:color w:val="auto"/>
              </w:rPr>
              <w:t>Peak Sales US$m</w:t>
            </w:r>
          </w:p>
        </w:tc>
      </w:tr>
      <w:tr>
        <w:trPr>
          <w:trHeight w:val="202"/>
        </w:trPr>
        <w:tc>
          <w:tcPr>
            <w:tcW w:w="22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9"/>
              </w:rPr>
              <w:t>Vyvanse</w:t>
            </w:r>
          </w:p>
        </w:tc>
        <w:tc>
          <w:tcPr>
            <w:tcW w:w="26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1"/>
              </w:rPr>
              <w:t>Lisdexamfetamine</w:t>
            </w:r>
          </w:p>
        </w:tc>
        <w:tc>
          <w:tcPr>
            <w:tcW w:w="18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Shire</w:t>
            </w:r>
          </w:p>
        </w:tc>
        <w:tc>
          <w:tcPr>
            <w:tcW w:w="2520" w:type="dxa"/>
            <w:vAlign w:val="bottom"/>
            <w:shd w:val="clear" w:color="auto" w:fill="CCFFCC"/>
          </w:tcPr>
          <w:p>
            <w:pPr>
              <w:jc w:val="center"/>
              <w:ind w:left="150"/>
              <w:spacing w:after="0" w:line="201" w:lineRule="exact"/>
              <w:rPr>
                <w:sz w:val="20"/>
                <w:szCs w:val="20"/>
                <w:color w:val="auto"/>
              </w:rPr>
            </w:pPr>
            <w:r>
              <w:rPr>
                <w:rFonts w:ascii="Arial" w:cs="Arial" w:eastAsia="Arial" w:hAnsi="Arial"/>
                <w:sz w:val="18"/>
                <w:szCs w:val="18"/>
                <w:color w:val="auto"/>
                <w:w w:val="88"/>
              </w:rPr>
              <w:t>1,030</w:t>
            </w:r>
          </w:p>
        </w:tc>
        <w:tc>
          <w:tcPr>
            <w:tcW w:w="220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1,635 (2016)</w:t>
            </w:r>
          </w:p>
        </w:tc>
      </w:tr>
      <w:tr>
        <w:trPr>
          <w:trHeight w:val="230"/>
        </w:trPr>
        <w:tc>
          <w:tcPr>
            <w:tcW w:w="222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2"/>
              </w:rPr>
              <w:t>(2008)</w:t>
            </w:r>
          </w:p>
        </w:tc>
        <w:tc>
          <w:tcPr>
            <w:tcW w:w="2620" w:type="dxa"/>
            <w:vAlign w:val="bottom"/>
            <w:shd w:val="clear" w:color="auto" w:fill="CCFFCC"/>
          </w:tcPr>
          <w:p>
            <w:pPr>
              <w:spacing w:after="0"/>
              <w:rPr>
                <w:sz w:val="20"/>
                <w:szCs w:val="20"/>
                <w:color w:val="auto"/>
              </w:rPr>
            </w:pPr>
          </w:p>
        </w:tc>
        <w:tc>
          <w:tcPr>
            <w:tcW w:w="1860" w:type="dxa"/>
            <w:vAlign w:val="bottom"/>
            <w:shd w:val="clear" w:color="auto" w:fill="CCFFCC"/>
          </w:tcPr>
          <w:p>
            <w:pPr>
              <w:spacing w:after="0"/>
              <w:rPr>
                <w:sz w:val="20"/>
                <w:szCs w:val="20"/>
                <w:color w:val="auto"/>
              </w:rPr>
            </w:pPr>
          </w:p>
        </w:tc>
        <w:tc>
          <w:tcPr>
            <w:tcW w:w="2520" w:type="dxa"/>
            <w:vAlign w:val="bottom"/>
            <w:shd w:val="clear" w:color="auto" w:fill="CCFFCC"/>
          </w:tcPr>
          <w:p>
            <w:pPr>
              <w:spacing w:after="0"/>
              <w:rPr>
                <w:sz w:val="20"/>
                <w:szCs w:val="20"/>
                <w:color w:val="auto"/>
              </w:rPr>
            </w:pPr>
          </w:p>
        </w:tc>
        <w:tc>
          <w:tcPr>
            <w:tcW w:w="2200" w:type="dxa"/>
            <w:vAlign w:val="bottom"/>
            <w:shd w:val="clear" w:color="auto" w:fill="CCFFCC"/>
          </w:tcPr>
          <w:p>
            <w:pPr>
              <w:spacing w:after="0"/>
              <w:rPr>
                <w:sz w:val="20"/>
                <w:szCs w:val="20"/>
                <w:color w:val="auto"/>
              </w:rPr>
            </w:pPr>
          </w:p>
        </w:tc>
      </w:tr>
      <w:tr>
        <w:trPr>
          <w:trHeight w:val="202"/>
        </w:trPr>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90"/>
              </w:rPr>
              <w:t>Concerta</w:t>
            </w: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92"/>
              </w:rPr>
              <w:t>Methylphenidate</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w w:val="93"/>
              </w:rPr>
              <w:t>J&amp;J</w:t>
            </w:r>
          </w:p>
        </w:tc>
        <w:tc>
          <w:tcPr>
            <w:tcW w:w="2520" w:type="dxa"/>
            <w:vAlign w:val="bottom"/>
          </w:tcPr>
          <w:p>
            <w:pPr>
              <w:jc w:val="center"/>
              <w:ind w:left="150"/>
              <w:spacing w:after="0" w:line="201" w:lineRule="exact"/>
              <w:rPr>
                <w:sz w:val="20"/>
                <w:szCs w:val="20"/>
                <w:color w:val="auto"/>
              </w:rPr>
            </w:pPr>
            <w:r>
              <w:rPr>
                <w:rFonts w:ascii="Arial" w:cs="Arial" w:eastAsia="Arial" w:hAnsi="Arial"/>
                <w:sz w:val="18"/>
                <w:szCs w:val="18"/>
                <w:color w:val="auto"/>
                <w:w w:val="88"/>
              </w:rPr>
              <w:t>1,073</w:t>
            </w:r>
          </w:p>
        </w:tc>
        <w:tc>
          <w:tcPr>
            <w:tcW w:w="2200" w:type="dxa"/>
            <w:vAlign w:val="bottom"/>
          </w:tcPr>
          <w:p>
            <w:pPr>
              <w:jc w:val="center"/>
              <w:spacing w:after="0" w:line="201" w:lineRule="exact"/>
              <w:rPr>
                <w:sz w:val="20"/>
                <w:szCs w:val="20"/>
                <w:color w:val="auto"/>
              </w:rPr>
            </w:pPr>
            <w:r>
              <w:rPr>
                <w:rFonts w:ascii="Arial" w:cs="Arial" w:eastAsia="Arial" w:hAnsi="Arial"/>
                <w:sz w:val="18"/>
                <w:szCs w:val="18"/>
                <w:color w:val="auto"/>
                <w:w w:val="90"/>
              </w:rPr>
              <w:t>1,326 (2009)</w:t>
            </w:r>
          </w:p>
        </w:tc>
      </w:tr>
      <w:tr>
        <w:trPr>
          <w:trHeight w:val="230"/>
        </w:trPr>
        <w:tc>
          <w:tcPr>
            <w:tcW w:w="2220" w:type="dxa"/>
            <w:vAlign w:val="bottom"/>
          </w:tcPr>
          <w:p>
            <w:pPr>
              <w:jc w:val="center"/>
              <w:ind w:left="10"/>
              <w:spacing w:after="0"/>
              <w:rPr>
                <w:sz w:val="20"/>
                <w:szCs w:val="20"/>
                <w:color w:val="auto"/>
              </w:rPr>
            </w:pPr>
            <w:r>
              <w:rPr>
                <w:rFonts w:ascii="Arial" w:cs="Arial" w:eastAsia="Arial" w:hAnsi="Arial"/>
                <w:sz w:val="18"/>
                <w:szCs w:val="18"/>
                <w:color w:val="auto"/>
                <w:w w:val="92"/>
              </w:rPr>
              <w:t>(2000)</w:t>
            </w:r>
          </w:p>
        </w:tc>
        <w:tc>
          <w:tcPr>
            <w:tcW w:w="2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02"/>
        </w:trPr>
        <w:tc>
          <w:tcPr>
            <w:tcW w:w="22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5"/>
              </w:rPr>
              <w:t>Adderall XR</w:t>
            </w:r>
          </w:p>
        </w:tc>
        <w:tc>
          <w:tcPr>
            <w:tcW w:w="26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1"/>
              </w:rPr>
              <w:t>Amphetamine</w:t>
            </w:r>
          </w:p>
        </w:tc>
        <w:tc>
          <w:tcPr>
            <w:tcW w:w="18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Shire</w:t>
            </w:r>
          </w:p>
        </w:tc>
        <w:tc>
          <w:tcPr>
            <w:tcW w:w="2520" w:type="dxa"/>
            <w:vAlign w:val="bottom"/>
            <w:shd w:val="clear" w:color="auto" w:fill="CCFFCC"/>
          </w:tcPr>
          <w:p>
            <w:pPr>
              <w:jc w:val="center"/>
              <w:ind w:left="150"/>
              <w:spacing w:after="0" w:line="201" w:lineRule="exact"/>
              <w:rPr>
                <w:sz w:val="20"/>
                <w:szCs w:val="20"/>
                <w:color w:val="auto"/>
              </w:rPr>
            </w:pPr>
            <w:r>
              <w:rPr>
                <w:rFonts w:ascii="Arial" w:cs="Arial" w:eastAsia="Arial" w:hAnsi="Arial"/>
                <w:sz w:val="18"/>
                <w:szCs w:val="18"/>
                <w:color w:val="auto"/>
                <w:w w:val="93"/>
              </w:rPr>
              <w:t>429</w:t>
            </w:r>
          </w:p>
        </w:tc>
        <w:tc>
          <w:tcPr>
            <w:tcW w:w="220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1,102 (2008)</w:t>
            </w:r>
          </w:p>
        </w:tc>
      </w:tr>
      <w:tr>
        <w:trPr>
          <w:trHeight w:val="230"/>
        </w:trPr>
        <w:tc>
          <w:tcPr>
            <w:tcW w:w="222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2"/>
              </w:rPr>
              <w:t>(2001)</w:t>
            </w:r>
          </w:p>
        </w:tc>
        <w:tc>
          <w:tcPr>
            <w:tcW w:w="2620" w:type="dxa"/>
            <w:vAlign w:val="bottom"/>
            <w:shd w:val="clear" w:color="auto" w:fill="CCFFCC"/>
          </w:tcPr>
          <w:p>
            <w:pPr>
              <w:spacing w:after="0"/>
              <w:rPr>
                <w:sz w:val="20"/>
                <w:szCs w:val="20"/>
                <w:color w:val="auto"/>
              </w:rPr>
            </w:pPr>
          </w:p>
        </w:tc>
        <w:tc>
          <w:tcPr>
            <w:tcW w:w="1860" w:type="dxa"/>
            <w:vAlign w:val="bottom"/>
            <w:shd w:val="clear" w:color="auto" w:fill="CCFFCC"/>
          </w:tcPr>
          <w:p>
            <w:pPr>
              <w:spacing w:after="0"/>
              <w:rPr>
                <w:sz w:val="20"/>
                <w:szCs w:val="20"/>
                <w:color w:val="auto"/>
              </w:rPr>
            </w:pPr>
          </w:p>
        </w:tc>
        <w:tc>
          <w:tcPr>
            <w:tcW w:w="2520" w:type="dxa"/>
            <w:vAlign w:val="bottom"/>
            <w:shd w:val="clear" w:color="auto" w:fill="CCFFCC"/>
          </w:tcPr>
          <w:p>
            <w:pPr>
              <w:spacing w:after="0"/>
              <w:rPr>
                <w:sz w:val="20"/>
                <w:szCs w:val="20"/>
                <w:color w:val="auto"/>
              </w:rPr>
            </w:pPr>
          </w:p>
        </w:tc>
        <w:tc>
          <w:tcPr>
            <w:tcW w:w="2200" w:type="dxa"/>
            <w:vAlign w:val="bottom"/>
            <w:shd w:val="clear" w:color="auto" w:fill="CCFFCC"/>
          </w:tcPr>
          <w:p>
            <w:pPr>
              <w:spacing w:after="0"/>
              <w:rPr>
                <w:sz w:val="20"/>
                <w:szCs w:val="20"/>
                <w:color w:val="auto"/>
              </w:rPr>
            </w:pPr>
          </w:p>
        </w:tc>
      </w:tr>
      <w:tr>
        <w:trPr>
          <w:trHeight w:val="202"/>
        </w:trPr>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89"/>
              </w:rPr>
              <w:t>Strattera</w:t>
            </w: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93"/>
              </w:rPr>
              <w:t>Atomoxetine</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rPr>
              <w:t>Eli Lilly</w:t>
            </w:r>
          </w:p>
        </w:tc>
        <w:tc>
          <w:tcPr>
            <w:tcW w:w="2520" w:type="dxa"/>
            <w:vAlign w:val="bottom"/>
          </w:tcPr>
          <w:p>
            <w:pPr>
              <w:jc w:val="center"/>
              <w:ind w:left="150"/>
              <w:spacing w:after="0" w:line="201" w:lineRule="exact"/>
              <w:rPr>
                <w:sz w:val="20"/>
                <w:szCs w:val="20"/>
                <w:color w:val="auto"/>
              </w:rPr>
            </w:pPr>
            <w:r>
              <w:rPr>
                <w:rFonts w:ascii="Arial" w:cs="Arial" w:eastAsia="Arial" w:hAnsi="Arial"/>
                <w:sz w:val="18"/>
                <w:szCs w:val="18"/>
                <w:color w:val="auto"/>
                <w:w w:val="93"/>
              </w:rPr>
              <w:t>621</w:t>
            </w:r>
          </w:p>
        </w:tc>
        <w:tc>
          <w:tcPr>
            <w:tcW w:w="2200" w:type="dxa"/>
            <w:vAlign w:val="bottom"/>
          </w:tcPr>
          <w:p>
            <w:pPr>
              <w:jc w:val="center"/>
              <w:spacing w:after="0" w:line="201" w:lineRule="exact"/>
              <w:rPr>
                <w:sz w:val="20"/>
                <w:szCs w:val="20"/>
                <w:color w:val="auto"/>
              </w:rPr>
            </w:pPr>
            <w:r>
              <w:rPr>
                <w:rFonts w:ascii="Arial" w:cs="Arial" w:eastAsia="Arial" w:hAnsi="Arial"/>
                <w:sz w:val="18"/>
                <w:szCs w:val="18"/>
                <w:color w:val="auto"/>
                <w:w w:val="91"/>
              </w:rPr>
              <w:t>667 (2004)</w:t>
            </w:r>
          </w:p>
        </w:tc>
      </w:tr>
      <w:tr>
        <w:trPr>
          <w:trHeight w:val="230"/>
        </w:trPr>
        <w:tc>
          <w:tcPr>
            <w:tcW w:w="2220" w:type="dxa"/>
            <w:vAlign w:val="bottom"/>
          </w:tcPr>
          <w:p>
            <w:pPr>
              <w:jc w:val="center"/>
              <w:ind w:left="10"/>
              <w:spacing w:after="0"/>
              <w:rPr>
                <w:sz w:val="20"/>
                <w:szCs w:val="20"/>
                <w:color w:val="auto"/>
              </w:rPr>
            </w:pPr>
            <w:r>
              <w:rPr>
                <w:rFonts w:ascii="Arial" w:cs="Arial" w:eastAsia="Arial" w:hAnsi="Arial"/>
                <w:sz w:val="18"/>
                <w:szCs w:val="18"/>
                <w:color w:val="auto"/>
                <w:w w:val="92"/>
              </w:rPr>
              <w:t>(2002)</w:t>
            </w:r>
          </w:p>
        </w:tc>
        <w:tc>
          <w:tcPr>
            <w:tcW w:w="2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Limitations of Current Treatment Options for ADHD</w:t>
      </w:r>
    </w:p>
    <w:p>
      <w:pPr>
        <w:spacing w:after="0" w:line="229" w:lineRule="exact"/>
        <w:rPr>
          <w:sz w:val="20"/>
          <w:szCs w:val="20"/>
          <w:color w:val="auto"/>
        </w:rPr>
      </w:pPr>
    </w:p>
    <w:p>
      <w:pPr>
        <w:ind w:right="400" w:firstLine="401"/>
        <w:spacing w:after="0" w:line="342" w:lineRule="auto"/>
        <w:rPr>
          <w:sz w:val="20"/>
          <w:szCs w:val="20"/>
          <w:color w:val="auto"/>
        </w:rPr>
      </w:pPr>
      <w:r>
        <w:rPr>
          <w:rFonts w:ascii="Arial" w:cs="Arial" w:eastAsia="Arial" w:hAnsi="Arial"/>
          <w:sz w:val="16"/>
          <w:szCs w:val="16"/>
          <w:color w:val="auto"/>
        </w:rPr>
        <w:t>Because of the significant side effects and abuse potential associated with current stimulant treatment options for ADHD which are classified in the same controlled substance category as narcotics, there is a significant need to develop safe and effective non-stimulant treatment alternatives.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ind w:right="40" w:firstLine="401"/>
        <w:spacing w:after="0" w:line="291"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six to ten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167" w:lineRule="exact"/>
        <w:rPr>
          <w:sz w:val="20"/>
          <w:szCs w:val="20"/>
          <w:color w:val="auto"/>
        </w:rPr>
      </w:pPr>
    </w:p>
    <w:p>
      <w:pPr>
        <w:ind w:right="220" w:firstLine="401"/>
        <w:spacing w:after="0" w:line="259" w:lineRule="auto"/>
        <w:rPr>
          <w:sz w:val="20"/>
          <w:szCs w:val="20"/>
          <w:color w:val="auto"/>
        </w:rPr>
      </w:pPr>
      <w:r>
        <w:rPr>
          <w:rFonts w:ascii="Arial" w:cs="Arial" w:eastAsia="Arial" w:hAnsi="Arial"/>
          <w:sz w:val="18"/>
          <w:szCs w:val="18"/>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Data in ADHD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Symptom and Clinical Efficacy Measurement</w:t>
      </w:r>
    </w:p>
    <w:p>
      <w:pPr>
        <w:spacing w:after="0" w:line="22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81" w:lineRule="exact"/>
        <w:rPr>
          <w:sz w:val="20"/>
          <w:szCs w:val="20"/>
          <w:color w:val="auto"/>
        </w:rPr>
      </w:pPr>
    </w:p>
    <w:p>
      <w:pPr>
        <w:ind w:left="660" w:right="40" w:hanging="328"/>
        <w:spacing w:after="0" w:line="25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Conners’ Adult ADHD Rating Scales (CAARS). </w:t>
      </w:r>
      <w:r>
        <w:rPr>
          <w:rFonts w:ascii="Arial" w:cs="Arial" w:eastAsia="Arial" w:hAnsi="Arial"/>
          <w:sz w:val="18"/>
          <w:szCs w:val="18"/>
          <w:color w:val="auto"/>
        </w:rPr>
        <w:t>CAARS measure the presence and severity of ADHD symptoms to determine whether or not ADHD</w:t>
      </w:r>
      <w:r>
        <w:rPr>
          <w:rFonts w:ascii="Arial" w:cs="Arial" w:eastAsia="Arial" w:hAnsi="Arial"/>
          <w:sz w:val="18"/>
          <w:szCs w:val="18"/>
          <w:i w:val="1"/>
          <w:iCs w:val="1"/>
          <w:color w:val="auto"/>
        </w:rPr>
        <w:t xml:space="preserve"> </w:t>
      </w:r>
      <w:r>
        <w:rPr>
          <w:rFonts w:ascii="Arial" w:cs="Arial" w:eastAsia="Arial" w:hAnsi="Arial"/>
          <w:sz w:val="18"/>
          <w:szCs w:val="18"/>
          <w:color w:val="auto"/>
        </w:rPr>
        <w:t>is a contributing factor to a patient’s symptoms. The scales quantitatively measure the frequency and severity of ADHD symptoms across clinically significant areas using a 30-item questionnaire. The scale has been used extensively in clinical trials including pivotal Phase 3 studies of approved pharmacotherapies for ADHD. Modified versions of the CAARS measure are used for diagnostics in children, with a different emphasis on the type of symptoms.</w:t>
      </w:r>
    </w:p>
    <w:p>
      <w:pPr>
        <w:spacing w:after="0" w:line="188"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Adult ADHD Quality of Life Questionnaire (AAQoL). </w:t>
      </w:r>
      <w:r>
        <w:rPr>
          <w:rFonts w:ascii="Arial" w:cs="Arial" w:eastAsia="Arial" w:hAnsi="Arial"/>
          <w:sz w:val="18"/>
          <w:szCs w:val="18"/>
          <w:color w:val="auto"/>
        </w:rPr>
        <w:t>AAQoL provides a validated disease-specific measure of the impact of ADHD on the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of life. It is measured as an overall score (totaling 29 items) and four subscale scores including: life productivity (11 items), psychological health (6 items), life outlook (7 items) and relationships (5 items). It has been validated in clinical trials and used in the Phase 3 study of Atomoxetine (Strattera) in adults.</w:t>
      </w:r>
    </w:p>
    <w:p>
      <w:pPr>
        <w:spacing w:after="0" w:line="186" w:lineRule="exact"/>
        <w:rPr>
          <w:rFonts w:ascii="Arial" w:cs="Arial" w:eastAsia="Arial" w:hAnsi="Arial"/>
          <w:sz w:val="18"/>
          <w:szCs w:val="18"/>
          <w:color w:val="auto"/>
        </w:rPr>
      </w:pPr>
    </w:p>
    <w:p>
      <w:pPr>
        <w:ind w:left="660" w:right="100" w:hanging="328"/>
        <w:spacing w:after="0" w:line="288"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Test of Variables of Attention (TOVA). </w:t>
      </w:r>
      <w:r>
        <w:rPr>
          <w:rFonts w:ascii="Arial" w:cs="Arial" w:eastAsia="Arial" w:hAnsi="Arial"/>
          <w:sz w:val="16"/>
          <w:szCs w:val="16"/>
          <w:color w:val="auto"/>
        </w:rPr>
        <w:t>TOVA is a computerized test that assists in the screening, diagnosis, and treatment monitoring of attention</w:t>
      </w:r>
      <w:r>
        <w:rPr>
          <w:rFonts w:ascii="Arial" w:cs="Arial" w:eastAsia="Arial" w:hAnsi="Arial"/>
          <w:sz w:val="16"/>
          <w:szCs w:val="16"/>
          <w:i w:val="1"/>
          <w:iCs w:val="1"/>
          <w:color w:val="auto"/>
        </w:rPr>
        <w:t xml:space="preserve"> </w:t>
      </w:r>
      <w:r>
        <w:rPr>
          <w:rFonts w:ascii="Arial" w:cs="Arial" w:eastAsia="Arial" w:hAnsi="Arial"/>
          <w:sz w:val="16"/>
          <w:szCs w:val="16"/>
          <w:color w:val="auto"/>
        </w:rPr>
        <w:t>disorders such as ADHD. 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 TOVA outcomes include subscores for Response Time Variability (a time measurement of how consistently a target signal is identified and a microswitch is pressed throughout the test), Response Time (a time measurement of how fast or slow information is processed and responded to), Commission Errors (a measure of impulsivity: how many times an incorrect signal is identified and the microswitch is pressed erroneously), and Omission Errors (a measure of inattention: how many times is the correct target signal missed and the microswitch is not pressed). The TOVA also provides a calculated ADHD Score that provides a cumulative index. ADHD scores &lt;-1.8 are considered outside the normative range.</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Clinical Results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conducted several clinical trials in adult ADHD subjects in Israel testing the safety and efficacy of our novel non-stimulant drug candidate,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MG01CI. These trials included: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ind w:left="660" w:right="4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Phase 2a open label proof of concept study of 38 adult ADHD subjects, followed by two extension studies to determine length of efficacy and optimized dosages;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six-week, randomized, double-blind, placebo-controlled, parallel-group, multi-center Phase 2b study of 120 adult ADHD subjects, in which ADHD subjects were randomly assigned in a 1:1 ratio to one of two treatment groups : a 1,400mg dose of MG01CI and a matching placebo.</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160" w:type="dxa"/>
            <w:vAlign w:val="bottom"/>
            <w:gridSpan w:val="3"/>
          </w:tcPr>
          <w:p>
            <w:pPr>
              <w:ind w:left="120"/>
              <w:spacing w:after="0"/>
              <w:rPr>
                <w:sz w:val="20"/>
                <w:szCs w:val="20"/>
                <w:color w:val="auto"/>
              </w:rPr>
            </w:pPr>
            <w:r>
              <w:rPr>
                <w:rFonts w:ascii="Arial" w:cs="Arial" w:eastAsia="Arial" w:hAnsi="Arial"/>
                <w:sz w:val="18"/>
                <w:szCs w:val="18"/>
                <w:color w:val="auto"/>
              </w:rPr>
              <w:t>Additional information about our clinical trials is shown in the following chart.</w:t>
            </w: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vMerge w:val="restart"/>
          </w:tcPr>
          <w:p>
            <w:pPr>
              <w:spacing w:after="0"/>
              <w:rPr>
                <w:sz w:val="20"/>
                <w:szCs w:val="20"/>
                <w:color w:val="auto"/>
              </w:rPr>
            </w:pPr>
            <w:r>
              <w:rPr>
                <w:rFonts w:ascii="Arial" w:cs="Arial" w:eastAsia="Arial" w:hAnsi="Arial"/>
                <w:sz w:val="18"/>
                <w:szCs w:val="18"/>
                <w:color w:val="auto"/>
              </w:rPr>
              <w:t>When the clinical study was held</w:t>
            </w:r>
          </w:p>
        </w:tc>
        <w:tc>
          <w:tcPr>
            <w:tcW w:w="120" w:type="dxa"/>
            <w:vAlign w:val="bottom"/>
          </w:tcPr>
          <w:p>
            <w:pPr>
              <w:spacing w:after="0"/>
              <w:rPr>
                <w:sz w:val="20"/>
                <w:szCs w:val="20"/>
                <w:color w:val="auto"/>
              </w:rPr>
            </w:pPr>
          </w:p>
        </w:tc>
        <w:tc>
          <w:tcPr>
            <w:tcW w:w="34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Phase 2a</w:t>
            </w:r>
          </w:p>
        </w:tc>
        <w:tc>
          <w:tcPr>
            <w:tcW w:w="120" w:type="dxa"/>
            <w:vAlign w:val="bottom"/>
          </w:tcPr>
          <w:p>
            <w:pPr>
              <w:spacing w:after="0"/>
              <w:rPr>
                <w:sz w:val="20"/>
                <w:szCs w:val="20"/>
                <w:color w:val="auto"/>
              </w:rPr>
            </w:pPr>
          </w:p>
        </w:tc>
        <w:tc>
          <w:tcPr>
            <w:tcW w:w="35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Phase 2b</w:t>
            </w:r>
          </w:p>
        </w:tc>
        <w:tc>
          <w:tcPr>
            <w:tcW w:w="0" w:type="dxa"/>
            <w:vAlign w:val="bottom"/>
          </w:tcPr>
          <w:p>
            <w:pPr>
              <w:spacing w:after="0"/>
              <w:rPr>
                <w:sz w:val="1"/>
                <w:szCs w:val="1"/>
                <w:color w:val="auto"/>
              </w:rPr>
            </w:pPr>
          </w:p>
        </w:tc>
      </w:tr>
      <w:tr>
        <w:trPr>
          <w:trHeight w:val="202"/>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Q1-Q2 2010</w:t>
            </w:r>
          </w:p>
        </w:tc>
        <w:tc>
          <w:tcPr>
            <w:tcW w:w="1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Q2-Q3 2011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How long the clinical study was active</w:t>
            </w: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3 months</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4 months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How we targeted subjects to enroll</w:t>
            </w: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Existing adult subjects in local ADHD</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Existing adult subjects in local clinics; online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treatment clinic</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advertisement; newspaper advertisement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w w:val="93"/>
              </w:rPr>
              <w:t>Whether we conducted the study with any other</w:t>
            </w: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No</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parties</w:t>
            </w: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w w:val="97"/>
              </w:rPr>
              <w:t>The steps taken to ensure the accuracy of the</w:t>
            </w:r>
          </w:p>
        </w:tc>
        <w:tc>
          <w:tcPr>
            <w:tcW w:w="7260" w:type="dxa"/>
            <w:vAlign w:val="bottom"/>
            <w:gridSpan w:val="4"/>
          </w:tcPr>
          <w:p>
            <w:pPr>
              <w:ind w:left="120"/>
              <w:spacing w:after="0"/>
              <w:rPr>
                <w:sz w:val="20"/>
                <w:szCs w:val="20"/>
                <w:color w:val="auto"/>
              </w:rPr>
            </w:pPr>
            <w:r>
              <w:rPr>
                <w:rFonts w:ascii="Arial" w:cs="Arial" w:eastAsia="Arial" w:hAnsi="Arial"/>
                <w:sz w:val="18"/>
                <w:szCs w:val="18"/>
                <w:color w:val="auto"/>
                <w:w w:val="97"/>
              </w:rPr>
              <w:t>Outside contract research organization (CRO) oversight, including monitoring visits; outside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results</w:t>
            </w:r>
          </w:p>
        </w:tc>
        <w:tc>
          <w:tcPr>
            <w:tcW w:w="7260" w:type="dxa"/>
            <w:vAlign w:val="bottom"/>
            <w:gridSpan w:val="4"/>
          </w:tcPr>
          <w:p>
            <w:pPr>
              <w:ind w:left="120"/>
              <w:spacing w:after="0"/>
              <w:rPr>
                <w:sz w:val="20"/>
                <w:szCs w:val="20"/>
                <w:color w:val="auto"/>
              </w:rPr>
            </w:pPr>
            <w:r>
              <w:rPr>
                <w:rFonts w:ascii="Arial" w:cs="Arial" w:eastAsia="Arial" w:hAnsi="Arial"/>
                <w:sz w:val="18"/>
                <w:szCs w:val="18"/>
                <w:color w:val="auto"/>
                <w:w w:val="94"/>
              </w:rPr>
              <w:t>medical monitor; double-typing of data in the data management system; automatic and manual</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w w:val="96"/>
              </w:rPr>
              <w:t>query generation; and external expert review</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Phase 2a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Wechsler Adult Intelligence Scale-Revised (WAIS-R test). The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Results of this clinical study showed clinically and highly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less than 5%) is considered a statistically significant finding.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Parameter (n=38)</w:t>
            </w:r>
          </w:p>
        </w:tc>
        <w:tc>
          <w:tcPr>
            <w:tcW w:w="3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Change from baseline</w:t>
            </w:r>
          </w:p>
        </w:tc>
        <w:tc>
          <w:tcPr>
            <w:tcW w:w="3520" w:type="dxa"/>
            <w:vAlign w:val="bottom"/>
          </w:tcPr>
          <w:p>
            <w:pPr>
              <w:ind w:left="1700"/>
              <w:spacing w:after="0"/>
              <w:rPr>
                <w:sz w:val="20"/>
                <w:szCs w:val="20"/>
                <w:color w:val="auto"/>
              </w:rPr>
            </w:pPr>
            <w:r>
              <w:rPr>
                <w:rFonts w:ascii="Arial" w:cs="Arial" w:eastAsia="Arial" w:hAnsi="Arial"/>
                <w:sz w:val="18"/>
                <w:szCs w:val="18"/>
                <w:b w:val="1"/>
                <w:bCs w:val="1"/>
                <w:color w:val="auto"/>
              </w:rPr>
              <w:t>p</w:t>
            </w:r>
          </w:p>
        </w:tc>
      </w:tr>
      <w:tr>
        <w:trPr>
          <w:trHeight w:val="210"/>
        </w:trPr>
        <w:tc>
          <w:tcPr>
            <w:tcW w:w="390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Omission Score</w:t>
            </w:r>
          </w:p>
        </w:tc>
        <w:tc>
          <w:tcPr>
            <w:tcW w:w="120" w:type="dxa"/>
            <w:vAlign w:val="bottom"/>
            <w:tcBorders>
              <w:top w:val="single" w:sz="8" w:color="CCFFCC"/>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w:t>
            </w:r>
          </w:p>
        </w:tc>
        <w:tc>
          <w:tcPr>
            <w:tcW w:w="2020" w:type="dxa"/>
            <w:vAlign w:val="bottom"/>
            <w:tcBorders>
              <w:top w:val="single" w:sz="8" w:color="auto"/>
            </w:tcBorders>
            <w:shd w:val="clear" w:color="auto" w:fill="CCFFCC"/>
          </w:tcPr>
          <w:p>
            <w:pPr>
              <w:ind w:left="40"/>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FFCC"/>
            </w:tcBorders>
            <w:shd w:val="clear" w:color="auto" w:fill="CCFFCC"/>
          </w:tcPr>
          <w:p>
            <w:pPr>
              <w:spacing w:after="0"/>
              <w:rPr>
                <w:sz w:val="18"/>
                <w:szCs w:val="18"/>
                <w:color w:val="auto"/>
              </w:rPr>
            </w:pPr>
          </w:p>
        </w:tc>
        <w:tc>
          <w:tcPr>
            <w:tcW w:w="35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3"/>
              </w:rPr>
              <w:t>p&lt;0.03</w:t>
            </w:r>
          </w:p>
        </w:tc>
      </w:tr>
      <w:tr>
        <w:trPr>
          <w:trHeight w:val="216"/>
        </w:trPr>
        <w:tc>
          <w:tcPr>
            <w:tcW w:w="4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Commission Score</w:t>
            </w:r>
          </w:p>
        </w:tc>
        <w:tc>
          <w:tcPr>
            <w:tcW w:w="1740" w:type="dxa"/>
            <w:vAlign w:val="bottom"/>
          </w:tcPr>
          <w:p>
            <w:pPr>
              <w:jc w:val="right"/>
              <w:spacing w:after="0"/>
              <w:rPr>
                <w:sz w:val="20"/>
                <w:szCs w:val="20"/>
                <w:color w:val="auto"/>
              </w:rPr>
            </w:pPr>
            <w:r>
              <w:rPr>
                <w:rFonts w:ascii="Arial" w:cs="Arial" w:eastAsia="Arial" w:hAnsi="Arial"/>
                <w:sz w:val="18"/>
                <w:szCs w:val="18"/>
                <w:color w:val="auto"/>
              </w:rPr>
              <w:t>+6.9</w:t>
            </w:r>
          </w:p>
        </w:tc>
        <w:tc>
          <w:tcPr>
            <w:tcW w:w="2020" w:type="dxa"/>
            <w:vAlign w:val="bottom"/>
          </w:tcPr>
          <w:p>
            <w:pPr>
              <w:ind w:lef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p&lt;0.01</w:t>
            </w:r>
          </w:p>
        </w:tc>
      </w:tr>
      <w:tr>
        <w:trPr>
          <w:trHeight w:val="216"/>
        </w:trPr>
        <w:tc>
          <w:tcPr>
            <w:tcW w:w="40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87"/>
              </w:rPr>
              <w:t>Response Time Score</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w:t>
            </w:r>
          </w:p>
        </w:tc>
        <w:tc>
          <w:tcPr>
            <w:tcW w:w="2020" w:type="dxa"/>
            <w:vAlign w:val="bottom"/>
            <w:shd w:val="clear" w:color="auto" w:fill="CCFFCC"/>
          </w:tcPr>
          <w:p>
            <w:pPr>
              <w:ind w:left="4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FFCC"/>
          </w:tcPr>
          <w:p>
            <w:pPr>
              <w:spacing w:after="0"/>
              <w:rPr>
                <w:sz w:val="18"/>
                <w:szCs w:val="18"/>
                <w:color w:val="auto"/>
              </w:rPr>
            </w:pPr>
          </w:p>
        </w:tc>
        <w:tc>
          <w:tcPr>
            <w:tcW w:w="3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p&lt;0.02</w:t>
            </w:r>
          </w:p>
        </w:tc>
      </w:tr>
      <w:tr>
        <w:trPr>
          <w:trHeight w:val="216"/>
        </w:trPr>
        <w:tc>
          <w:tcPr>
            <w:tcW w:w="4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Response Time Variability Score</w:t>
            </w:r>
          </w:p>
        </w:tc>
        <w:tc>
          <w:tcPr>
            <w:tcW w:w="1740" w:type="dxa"/>
            <w:vAlign w:val="bottom"/>
          </w:tcPr>
          <w:p>
            <w:pPr>
              <w:jc w:val="right"/>
              <w:spacing w:after="0"/>
              <w:rPr>
                <w:sz w:val="20"/>
                <w:szCs w:val="20"/>
                <w:color w:val="auto"/>
              </w:rPr>
            </w:pPr>
            <w:r>
              <w:rPr>
                <w:rFonts w:ascii="Arial" w:cs="Arial" w:eastAsia="Arial" w:hAnsi="Arial"/>
                <w:sz w:val="18"/>
                <w:szCs w:val="18"/>
                <w:color w:val="auto"/>
              </w:rPr>
              <w:t>+24.2</w:t>
            </w:r>
          </w:p>
        </w:tc>
        <w:tc>
          <w:tcPr>
            <w:tcW w:w="2020" w:type="dxa"/>
            <w:vAlign w:val="bottom"/>
          </w:tcPr>
          <w:p>
            <w:pPr>
              <w:ind w:left="4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p&lt;0.001</w:t>
            </w:r>
          </w:p>
        </w:tc>
      </w:tr>
      <w:tr>
        <w:trPr>
          <w:trHeight w:val="216"/>
        </w:trPr>
        <w:tc>
          <w:tcPr>
            <w:tcW w:w="40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5"/>
              </w:rPr>
              <w:t>ADHD Score</w:t>
            </w:r>
          </w:p>
        </w:tc>
        <w:tc>
          <w:tcPr>
            <w:tcW w:w="376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2"/>
              </w:rPr>
              <w:t>+3.9 (+75%)</w:t>
            </w:r>
          </w:p>
        </w:tc>
        <w:tc>
          <w:tcPr>
            <w:tcW w:w="120" w:type="dxa"/>
            <w:vAlign w:val="bottom"/>
            <w:shd w:val="clear" w:color="auto" w:fill="CCFFCC"/>
          </w:tcPr>
          <w:p>
            <w:pPr>
              <w:spacing w:after="0"/>
              <w:rPr>
                <w:sz w:val="18"/>
                <w:szCs w:val="18"/>
                <w:color w:val="auto"/>
              </w:rPr>
            </w:pPr>
          </w:p>
        </w:tc>
        <w:tc>
          <w:tcPr>
            <w:tcW w:w="3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p&lt;0.001</w:t>
            </w: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TOVA Subscores</w:t>
            </w:r>
          </w:p>
        </w:tc>
        <w:tc>
          <w:tcPr>
            <w:tcW w:w="3520" w:type="dxa"/>
            <w:vAlign w:val="bottom"/>
          </w:tcPr>
          <w:p>
            <w:pPr>
              <w:spacing w:after="0"/>
              <w:rPr>
                <w:sz w:val="20"/>
                <w:szCs w:val="20"/>
                <w:color w:val="auto"/>
              </w:rPr>
            </w:pPr>
          </w:p>
        </w:tc>
      </w:tr>
    </w:tbl>
    <w:p>
      <w:pPr>
        <w:spacing w:after="0" w:line="1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5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WAIS-R subtest</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Baseline mean</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Post medication mean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5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(n-38)</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(min,max)</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(min,max)</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Change</w:t>
            </w:r>
          </w:p>
        </w:tc>
        <w:tc>
          <w:tcPr>
            <w:tcW w:w="1340" w:type="dxa"/>
            <w:vAlign w:val="bottom"/>
          </w:tcPr>
          <w:p>
            <w:pPr>
              <w:ind w:left="620"/>
              <w:spacing w:after="0"/>
              <w:rPr>
                <w:sz w:val="20"/>
                <w:szCs w:val="20"/>
                <w:color w:val="auto"/>
              </w:rPr>
            </w:pPr>
            <w:r>
              <w:rPr>
                <w:rFonts w:ascii="Arial" w:cs="Arial" w:eastAsia="Arial" w:hAnsi="Arial"/>
                <w:sz w:val="18"/>
                <w:szCs w:val="18"/>
                <w:b w:val="1"/>
                <w:bCs w:val="1"/>
                <w:color w:val="auto"/>
              </w:rPr>
              <w:t>p</w:t>
            </w:r>
          </w:p>
        </w:tc>
      </w:tr>
      <w:tr>
        <w:trPr>
          <w:trHeight w:val="210"/>
        </w:trPr>
        <w:tc>
          <w:tcPr>
            <w:tcW w:w="524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1"/>
              </w:rPr>
              <w:t>Correct Symbols</w:t>
            </w:r>
          </w:p>
        </w:tc>
        <w:tc>
          <w:tcPr>
            <w:tcW w:w="120" w:type="dxa"/>
            <w:vAlign w:val="bottom"/>
            <w:tcBorders>
              <w:top w:val="single" w:sz="8" w:color="CCFFCC"/>
            </w:tcBorders>
            <w:shd w:val="clear" w:color="auto" w:fill="CCFFCC"/>
          </w:tcPr>
          <w:p>
            <w:pPr>
              <w:spacing w:after="0"/>
              <w:rPr>
                <w:sz w:val="18"/>
                <w:szCs w:val="18"/>
                <w:color w:val="auto"/>
              </w:rPr>
            </w:pPr>
          </w:p>
        </w:tc>
        <w:tc>
          <w:tcPr>
            <w:tcW w:w="5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34.7</w:t>
            </w:r>
          </w:p>
        </w:tc>
        <w:tc>
          <w:tcPr>
            <w:tcW w:w="78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(18,59)</w:t>
            </w:r>
          </w:p>
        </w:tc>
        <w:tc>
          <w:tcPr>
            <w:tcW w:w="10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37.9</w:t>
            </w:r>
          </w:p>
        </w:tc>
        <w:tc>
          <w:tcPr>
            <w:tcW w:w="94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(22,57)</w:t>
            </w:r>
          </w:p>
        </w:tc>
        <w:tc>
          <w:tcPr>
            <w:tcW w:w="12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+3.4</w:t>
            </w:r>
          </w:p>
        </w:tc>
        <w:tc>
          <w:tcPr>
            <w:tcW w:w="10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8"/>
              </w:rPr>
              <w:t>p&lt;0.001</w:t>
            </w:r>
          </w:p>
        </w:tc>
      </w:tr>
      <w:tr>
        <w:trPr>
          <w:trHeight w:val="216"/>
        </w:trPr>
        <w:tc>
          <w:tcPr>
            <w:tcW w:w="5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Symbol Search</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74.6 (54,119)</w:t>
            </w:r>
          </w:p>
        </w:tc>
        <w:tc>
          <w:tcPr>
            <w:tcW w:w="100" w:type="dxa"/>
            <w:vAlign w:val="bottom"/>
          </w:tcPr>
          <w:p>
            <w:pPr>
              <w:spacing w:after="0"/>
              <w:rPr>
                <w:sz w:val="18"/>
                <w:szCs w:val="18"/>
                <w:color w:val="auto"/>
              </w:rPr>
            </w:pPr>
          </w:p>
        </w:tc>
        <w:tc>
          <w:tcPr>
            <w:tcW w:w="1700" w:type="dxa"/>
            <w:vAlign w:val="bottom"/>
            <w:gridSpan w:val="2"/>
          </w:tcPr>
          <w:p>
            <w:pPr>
              <w:jc w:val="right"/>
              <w:ind w:right="270"/>
              <w:spacing w:after="0"/>
              <w:rPr>
                <w:sz w:val="20"/>
                <w:szCs w:val="20"/>
                <w:color w:val="auto"/>
              </w:rPr>
            </w:pPr>
            <w:r>
              <w:rPr>
                <w:rFonts w:ascii="Arial" w:cs="Arial" w:eastAsia="Arial" w:hAnsi="Arial"/>
                <w:sz w:val="18"/>
                <w:szCs w:val="18"/>
                <w:color w:val="auto"/>
              </w:rPr>
              <w:t>81.8 (61,118)</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p&lt;0.001</w:t>
            </w:r>
          </w:p>
        </w:tc>
      </w:tr>
      <w:tr>
        <w:trPr>
          <w:trHeight w:val="216"/>
        </w:trPr>
        <w:tc>
          <w:tcPr>
            <w:tcW w:w="53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4"/>
              </w:rPr>
              <w:t>Digits Forward</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w:t>
            </w:r>
          </w:p>
        </w:tc>
        <w:tc>
          <w:tcPr>
            <w:tcW w:w="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350"/>
              <w:spacing w:after="0"/>
              <w:rPr>
                <w:sz w:val="20"/>
                <w:szCs w:val="20"/>
                <w:color w:val="auto"/>
              </w:rPr>
            </w:pPr>
            <w:r>
              <w:rPr>
                <w:rFonts w:ascii="Arial" w:cs="Arial" w:eastAsia="Arial" w:hAnsi="Arial"/>
                <w:sz w:val="18"/>
                <w:szCs w:val="18"/>
                <w:color w:val="auto"/>
              </w:rPr>
              <w:t>10.7 (7,14)</w:t>
            </w: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+0.7</w:t>
            </w: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p&lt;0.003</w:t>
            </w:r>
          </w:p>
        </w:tc>
      </w:tr>
      <w:tr>
        <w:trPr>
          <w:trHeight w:val="216"/>
        </w:trPr>
        <w:tc>
          <w:tcPr>
            <w:tcW w:w="5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Digits Backward</w:t>
            </w: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780" w:type="dxa"/>
            <w:vAlign w:val="bottom"/>
          </w:tcPr>
          <w:p>
            <w:pPr>
              <w:ind w:left="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940" w:type="dxa"/>
            <w:vAlign w:val="bottom"/>
          </w:tcPr>
          <w:p>
            <w:pPr>
              <w:ind w:left="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+0.9</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p&lt;0.01</w:t>
            </w:r>
          </w:p>
        </w:tc>
      </w:tr>
      <w:tr>
        <w:trPr>
          <w:trHeight w:val="216"/>
        </w:trPr>
        <w:tc>
          <w:tcPr>
            <w:tcW w:w="53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5"/>
              </w:rPr>
              <w:t>Total Digits</w:t>
            </w:r>
          </w:p>
        </w:tc>
        <w:tc>
          <w:tcPr>
            <w:tcW w:w="13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16.9 (9,26)</w:t>
            </w: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p&lt;0.001</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Wechsler Subscores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 small extension study to study the duration of drug benefits, 10 subjects were evaluated using TOVA immediately before, and 90 minutes, 4 hours and 7 hours after, taking a single 1400mg dose of MG01CI. Data below show the mean TOVA scores in these subjects at the specified time points, showing an extended effect of the drug on cognitive functions. A TOVA score of -1.8 or less is considered abnormal.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Mean ADHD Scores Following Single MG01CI Dosing</w:t>
      </w:r>
    </w:p>
    <w:p>
      <w:pPr>
        <w:spacing w:after="0" w:line="22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In another extension study designed to validate the MG01CI dose used in studies thus far, 10 subjects were evaluated using TOVA 90 minutes after blindly taking either 700mg, 1400mg or 2100mg doses of MG01CI on separate occasions. TOVA results following these treatments were compared to the baseline and data obtained before any treatment in these subjects. Data below show the mean ADHD score in these subjects at baseline and following each of the three evaluated drug doses, establishing the likely effective dose range for MG01CI to be 700-1400mg.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1315085</wp:posOffset>
            </wp:positionH>
            <wp:positionV relativeFrom="page">
              <wp:posOffset>568960</wp:posOffset>
            </wp:positionV>
            <wp:extent cx="4931410" cy="32499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493141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Mean ADHD Scores Before and 90 Minutes Following One of Three MG01CI Doses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Phase 2b Clinical Study</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completed a six-week randomized, double-blind, placebo-controlled, parallel-group, multi-center Phase 2b study in 120 adult subjects with ADHD that was performed in two centers in Israel: the ADHD unit at Geha Mental Health Hospital and the Cognitive Neurology unit at Rambam Healthcare Campus.</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60" w:name="page61"/>
    <w:bookmarkEnd w:id="60"/>
    <w:p>
      <w:pPr>
        <w:jc w:val="both"/>
        <w:ind w:right="120" w:firstLine="405"/>
        <w:spacing w:after="0" w:line="264" w:lineRule="auto"/>
        <w:rPr>
          <w:sz w:val="20"/>
          <w:szCs w:val="20"/>
          <w:color w:val="auto"/>
        </w:rPr>
      </w:pPr>
      <w:r>
        <w:rPr>
          <w:rFonts w:ascii="Arial" w:cs="Arial" w:eastAsia="Arial" w:hAnsi="Arial"/>
          <w:sz w:val="18"/>
          <w:szCs w:val="18"/>
          <w:color w:val="auto"/>
        </w:rPr>
        <w:t>ADHD subjects were randomly assigned in a 1:1 ratio to one of two treatment groups: 1,400mg MG01CI or matching placebo. The primary efficacy measure was the Conners’ Adult ADHD Rating Scale – Investigator version Adult ADHD rating scale with adult prompts (CAARS) questionnaire, and the secondary efficacy measures were the TOVA test and the AAQoL questionnaire.</w:t>
      </w:r>
    </w:p>
    <w:p>
      <w:pPr>
        <w:spacing w:after="0" w:line="1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Significant improvements in CAARS scores (p&lt;0.016), TOVA ADHD scores (p&lt;0.02) and AAQoL scores (p&lt;0.01) were observed in the MG01CI treated group versus the placebo group, as can be seen in the image below.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127635</wp:posOffset>
            </wp:positionV>
            <wp:extent cx="5746115" cy="4493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4611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Physical examination, laboratory parameters, vital signs, and electrocardiograms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1" w:right="35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b w:val="1"/>
          <w:bCs w:val="1"/>
          <w:i w:val="1"/>
          <w:iCs w:val="1"/>
          <w:color w:val="auto"/>
        </w:rPr>
        <w:t>Summary of Clinical Data in ADHD and Key Conclusions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Subjects treated with MG01CI showed statistically significant improvement in CAARS Total ADHD Symptoms Score, as well as higher response rates on the CAARS Total ADHD Symptom Score over subjects treated with placebo.</w:t>
      </w:r>
    </w:p>
    <w:p>
      <w:pPr>
        <w:spacing w:after="0" w:line="17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Improvements in ADHD symptoms (scored by CAARS) were significantly different in subjects treated with MG01Cl vs. placebo as early as two weeks following treatment initiation.</w:t>
      </w:r>
    </w:p>
    <w:p>
      <w:pPr>
        <w:spacing w:after="0" w:line="170"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Improvement in inattention symptoms was statistically significant. One measure of effectiveness is called an “effect size” based on various statistical computations. An effect size of 0.4 with the CAARS was observed in this Phase 2b trial of MG01CI. An effect size of 0.4 with the CAARS has been reported for Atomoxetine, the only approved non-stimulant medication of Adult ADHD. An effect size of 0.9 was calculated for the predominantly-inattentive ADHD population in Alcobra's Phase 2b study. This effect size is considered large and is in fact comparable to reported effect sizes of stimulant medications.</w:t>
      </w:r>
    </w:p>
    <w:p>
      <w:pPr>
        <w:spacing w:after="0" w:line="15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Statistically significant findings were found using the TOVA neuropsychological test, as well as the Quality of Life questionnaire. TOVA scores were significantly better as early as two weeks after study initiation, and remained significantly better throughout the trial. AAQoL scores were significantly better starting at week six of treatment.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Adverse Events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most commonly reported adverse events in the various clinical studies were nausea, fatigue and headache. Transient moderate nausea, lasting from one to two days, was the only adverse event to occur exclusively in the MG01CI group, with an incidence of approximately 17%; fatigue was largely the same in the control groups (27%) and the MGO1CI groups (31%), and headache occurred notably less frequently in the MG01CI group, in about 29% of the subjects, as compared with 38% of the subjects in the placebo group.</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products containing Metadoxine outside the United States cite infrequent diarrhea and moderate skin rash.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Fragile X</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Fragile X</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Fragile X is a genetic disorder that is characterized by a high number (&gt;200) of repeated DNA base sequences (called CGG repeats) in the X chromosome. Fragile X is diagnosed by a blood test that measures the amount of CGG repeats. These repeated sequences are associated with a change in the amount of Fragile X Mental retardation protein, or FMRP produced by the cell. A greater reduction in FMRP is associated with more severe physical symptoms and intellectual disability. Through the regulation of protein levels in nerve cells in the brain, FMRP is thought to be involved with brain pathways that undergo change to facilitate learning and memory.</w:t>
      </w:r>
    </w:p>
    <w:p>
      <w:pPr>
        <w:spacing w:after="0" w:line="188"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Fragile X is the most common single gene cause of intellectual disability and autism and an unmet medical need exists with no approved drugs for the treatment of Fragile X. Fragile X is named for the broken microscopic appearance of the X chromosome, one of the sex-linked chromosomes, that is observed in people with the syndrome. Fragile X occurs in 1 out of 4,000 males and in 1 out of 8,000 females, and females are usually less affected than males. Fragile X is a rare disease, as such term is defined by the Orphan Drug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b w:val="1"/>
          <w:bCs w:val="1"/>
          <w:i w:val="1"/>
          <w:iCs w:val="1"/>
          <w:color w:val="auto"/>
        </w:rPr>
        <w:t>Fragile X Symptoms</w:t>
      </w:r>
    </w:p>
    <w:p>
      <w:pPr>
        <w:spacing w:after="0" w:line="225"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Not every individual with the Fragile X mutation will show signs or symptoms of Fragile X, and disabilities will range from mild to severe. In males, Fragile X is associated with moderate to severe intellectual disability. The severity of the disability is linked to the degree to which the X chromosome has additional chemical attachments known as methyl groups. Males with a high amount of methyl groups attached to the X chromosome tend to have higher severity of intellectual disability, while males with a low amount of methyl groups may have mild intellectual disability or a learning disability. About 25% of females with Fragile X will have intellectual disability, and most females with Fragile X will have a learning disability. Since females with Fragile X have one normal X chromosome and one chromosome with Fragile X, and either of the two X chromosomes is active in a given cell, females tend to have milder symptoms than males. Both males and females with Fragile X may show delay in acquiring language skills early in their life.</w:t>
      </w:r>
    </w:p>
    <w:p>
      <w:pPr>
        <w:spacing w:after="0" w:line="178"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Individuals with Fragile X often have a number of behavioral symptoms, including inattention, hyperactivity, impulsivity, autistic symptoms, shyness, aggression, anxiety, hand flapping, hand biting, and high sensitivity to being touched. Autism spectrum disorder (ASD) is seen in approximately 30% of males and 20% of females with Fragile X, and an additional 30% of Fragile X individuals display autistic symptoms without having the ASD diagnosis. ADHD is commonly diagnosed in Fragile X, and has been reported to occur in 59-80% of individuals with Fragile X.</w:t>
      </w:r>
    </w:p>
    <w:p>
      <w:pPr>
        <w:spacing w:after="0" w:line="17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Fragile X is associated with characteristic physical features that can include long face, large head circumference, large testicles most noticeable after the onset of puberty, large ears, flexible joints including dislocatable hips at birth, prominent chin and forehead, flat feet, soft skin, floppy heart valve (mitral valve prolapse), curved spine and clubfoot. Acid reflux (also known as heartburn) and feeding problems are common in infancy, and there is a high rate of ear infections. Seizures are seen in 13-18% of males and 5% of females.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Treatments for Fragile X and Their Limitations</w:t>
      </w:r>
    </w:p>
    <w:p>
      <w:pPr>
        <w:spacing w:after="0" w:line="229"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The FDA has not approved any drugs specifically for the treatment of Fragile X or its symptoms. Individuals with Fragile X are treated based upon their symptoms. If the individual has ADHD or ADHD symptoms, the individual might be treated with ADHD medications, such as stimulants, atomoxetine and alpha-2 agonists (guanfacine or clonidine). If there are symptoms of aggression or irritability, the individual might be treated with antipsychotic medications. Anxiety symptoms might be treated with anti-anxiety drugs such as selective serotonin reuptake inhibitors (SSRIs). If there are seizures, the individual might be treated with anti-convulsant drugs.</w:t>
      </w:r>
    </w:p>
    <w:p>
      <w:pPr>
        <w:spacing w:after="0" w:line="188"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There are several drugs in clinical development for the treatment of Fragile X. FMRP has been shown to serve as a brake to the effects of the metabotropic glutamate receptor 5, or mGluR5, pathway in the brain, and with reduced FMRP in Fragile X, unopposed mGluR5 activation might be responsible for some of the behavioral and cognitive symptoms of Fragile X. Therefore, compounds that, reduce, or antagonize the mGluR5 pathway might be beneficial in treating Fragile X. However, compounds that work via this pathway have been unsuccessful in clinical trials. AFQ056, an mGluR5 antagonist, failed to demonstrate efficacy in a Phase 2 trial. Arbaclofen, a GABA-B agonist which may reduce the effects of the mGluR5 pathway, also failed to demonstrate efficacy in a Phase 2 trial and two Phase 3 trials. Other drugs in clinical development for Fragile X include ganaxalone (neurosteroid that may modulate GABA-A), NNZ-2566 (Insulin Growth Factor 1 analog that may modulate mGluR5 signaling pathways), and RO4917523 (mgluR5 antagonist).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from Pre-clinical Study in Fragile X</w:t>
      </w:r>
    </w:p>
    <w:p>
      <w:pPr>
        <w:spacing w:after="0" w:line="229" w:lineRule="exact"/>
        <w:rPr>
          <w:sz w:val="20"/>
          <w:szCs w:val="20"/>
          <w:color w:val="auto"/>
        </w:rPr>
      </w:pPr>
    </w:p>
    <w:p>
      <w:pPr>
        <w:jc w:val="both"/>
        <w:ind w:firstLine="389"/>
        <w:spacing w:after="0" w:line="288" w:lineRule="auto"/>
        <w:rPr>
          <w:sz w:val="20"/>
          <w:szCs w:val="20"/>
          <w:color w:val="auto"/>
        </w:rPr>
      </w:pPr>
      <w:r>
        <w:rPr>
          <w:rFonts w:ascii="Arial" w:cs="Arial" w:eastAsia="Arial" w:hAnsi="Arial"/>
          <w:sz w:val="16"/>
          <w:szCs w:val="16"/>
          <w:color w:val="auto"/>
        </w:rPr>
        <w:t>We recently announced positive findings from a pre-clinical study with a mouse model of Fragile X. Metadoxine, the active ingredient in MG01CI, was shown to have significant findings on behavioral measures in 20 Fragile X knock-out (KO) mice, in which the mouse version of the Fragile X gene is removed. The group of mice included also 20 control littermate mice. The Fragile X KO mouse model is a validated model of Fragile X, as mice with a missing Fragile X gene demonstrate hyperactivity, susceptibility to seizures, enlarged testicles, and abnormal brain connections, similar findings to those of individuals with Fragile X. In a controlled experiment with Fragile X KO mice and wild type mice given either metadoxine or placebo, significant effects of metadoxine upon Fragile X KO mice were observed on behavioral outcomes, including contextual fear conditioning (a test primarily evaluating memory and learning), social interaction, and Y-maze alternation (a test of learning and perseverance). All assessments were scored blindly (raters were not aware of the treatment each mouse received). These findings suggest the potential to translate into a clinical trial of MG01CI in Fragile X. Because of the low prevalence of Fragile X, it is possible to request an orphan drug designation from the FDA. If granted this designation, MG01CI would be eligible for seven years of US marketing exclusivity upon approval of MG01CI for Fragile X and would also be eligible for tax credits related to research and development expenses.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1615440</wp:posOffset>
            </wp:positionH>
            <wp:positionV relativeFrom="page">
              <wp:posOffset>568960</wp:posOffset>
            </wp:positionV>
            <wp:extent cx="4330700" cy="6037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4330700" cy="603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1821180</wp:posOffset>
            </wp:positionH>
            <wp:positionV relativeFrom="page">
              <wp:posOffset>568960</wp:posOffset>
            </wp:positionV>
            <wp:extent cx="3919220" cy="53943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3919220"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1529715</wp:posOffset>
            </wp:positionH>
            <wp:positionV relativeFrom="page">
              <wp:posOffset>568960</wp:posOffset>
            </wp:positionV>
            <wp:extent cx="4511040" cy="6114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4511040" cy="611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MG01CI Overview and Mechanism of Action</w:t>
      </w:r>
    </w:p>
    <w:p>
      <w:pPr>
        <w:spacing w:after="0" w:line="229"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MG01CI is a proprietary, combined rapid onset/extended release formulation of the chemical Pyridoxine Pyroglutamate, which is more broadly known as Metadoxine. Our internal studies suggest that Metadoxine attaches to and antagonizes a unique protein in the brain called the serotonin 5-HT2B receptor, thereby reducing binding of other molecules that normally attach there. This protein has been associated with ADHD in studies exploring the hereditary basis of ADHD, as well as in studies that attempt to understand the molecular basis of this and other cognitive disorders,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6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issued patent as well as other U.S. pending patent applications that, if issued, would prevent the use by others of Metadoxine to treat ADHD, Fragile X and other cognitive disorders.</w:t>
      </w:r>
    </w:p>
    <w:p>
      <w:pPr>
        <w:spacing w:after="0" w:line="173"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Normally, the levels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modulate dopamine and norepinephrine. Atomoxetine (Strattera), the only non-stimulant approved for ADHD in adults, works through modulating norepinephrine. Our recent studies employed standard microdialysis techniques to sample and quantify the levels of these neurotransmitters in brains of rats, as well as imaging studies (1H-MRS) to further quantify levels of these neurotransmitters and their metabolites in different regions of the brain. We found no changes in levels of dopamine, norepinephrine or serotonin in rat brains following administration of MG01CI (or Metadoxine) in either evaluation. No changes in metabolites were observed. This is in contrast to the clear elevation of these neurotransmitters on their targets evident after treatment with existing ADHD pharmacotherapies.</w:t>
      </w:r>
    </w:p>
    <w:p>
      <w:pPr>
        <w:spacing w:after="0" w:line="180" w:lineRule="exact"/>
        <w:rPr>
          <w:sz w:val="20"/>
          <w:szCs w:val="20"/>
          <w:color w:val="auto"/>
        </w:rPr>
      </w:pPr>
    </w:p>
    <w:p>
      <w:pPr>
        <w:ind w:right="20" w:firstLine="389"/>
        <w:spacing w:after="0" w:line="286" w:lineRule="auto"/>
        <w:rPr>
          <w:sz w:val="20"/>
          <w:szCs w:val="20"/>
          <w:color w:val="auto"/>
        </w:rPr>
      </w:pPr>
      <w:r>
        <w:rPr>
          <w:rFonts w:ascii="Arial" w:cs="Arial" w:eastAsia="Arial" w:hAnsi="Arial"/>
          <w:sz w:val="16"/>
          <w:szCs w:val="16"/>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specific binding was further characterized by an assay in rat stomach fundus aimed at measuring whether Metadoxine is an activator (agonist) or a deactivator (antagonist) to the 5-HT2B receptor. This assay concluded that Metadoxine shows absolutely no agonist activities on this receptor, and its entire activity is as an antagonist. The binding had approximately 50-fold selectivity over all other 5-HT receptor subtypes and a variety of other receptors. Moreover, no binding was detected to any of the receptors involved in the brain networks controlled by dopamine or noradrenaline. Specifically, and in contrast to many approved ADHD pharmacotherapies, no binding was detected to the Dopamine, Norepinephrine or Serotonin transporters.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and antagonizes the 5-HT2B serotonin receptor without affecting other targets.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7" w:name="page68"/>
    <w:bookmarkEnd w:id="67"/>
    <w:p>
      <w:pPr>
        <w:jc w:val="both"/>
        <w:ind w:firstLine="405"/>
        <w:spacing w:after="0" w:line="257" w:lineRule="auto"/>
        <w:rPr>
          <w:sz w:val="20"/>
          <w:szCs w:val="20"/>
          <w:color w:val="auto"/>
        </w:rPr>
      </w:pPr>
      <w:r>
        <w:rPr>
          <w:rFonts w:ascii="Arial" w:cs="Arial" w:eastAsia="Arial" w:hAnsi="Arial"/>
          <w:sz w:val="18"/>
          <w:szCs w:val="18"/>
          <w:color w:val="auto"/>
        </w:rPr>
        <w:t>We have recently conducted a study with Metadoxine in a mouse model of Fragile X. We found that Metadoxine significantly improved memory and learning during the contextual fear paradigm in a dose-dependent manner, and the two highest dose levels (150 and 200 mg/kg) fully rescued the Fmr1 KO mice learning and memory deficit. Furthermore, a significant improvement in memory in the fmr1 KO mice treated with 150 mg/kg of Metadoxine was found in other behavioral tests, such as the T-maze, showing significant improvement in cognitive outcomes. These findings were supplemented by improved social interaction of KO mice treated with 150 mg/kg of Metadoxine.</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Importantly, improved cognitive function, working memory and social interaction following treatment with Metadoxine (150 mg/kg) in a valid mouse model of Fragile X highly correlated with normalization of biochemical markers reflective of neuronal signaling pathways and oxidative stress measured from whole brain preparations of these animals. Specifically, the increased activation of two regulatory proteins, phospho-ERK1/2 (pERK1/2) and phospho-AKT (pAKT) observed in the affected animals treated only with controls, were normalized to the levels seen in non-affected animals after treatment with Metadoxine, as indicated by a significant reduction of pERK1/2 and pAKT levels. It should be noted that other pathways thought to be activated after dopamine and norepinephrine signaling in the cell, such as the pathway controlled by the cyclic-AMP (cAMP) molecule and the PKA protein were not affected at all by Metadoxine treatment.</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Furthermore, the results of the study showed that affected mice treated with Metadoxine had significantly increased levels of the protein GST when compared to control mice, indicating that treatment with Metadoxine reduces the oxidative damage induced in the Fragile X model. This finding is highly relevant as other oxidative markers in ADHD patients are significantly higher than those of healthy subjects, while antioxidant enzymes such as GST are significantly lower in ADHD patients. Published papers additionally suggest that increased pERK1/2 and pAKT lead to GST inhibition upon oxidative stress, which is mediated by 5-HT2B receptors.</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working hypothesis is therefore that treatment of metadoxine, a selective antagonist of 5-HT2B receptors may reduce reactive oxygen species and oxidative stress in the brain, increase GST levels, inhibit pAkt and pERK signaling, and thus mediate a potential therapeutic benefit in neuronal impairment by preventing oxidative damage. In support of this hypothesis, we recently observed a dose-dependent reduction of glutamatergic transmission and enhanced GABAergic inhibitory transmission via pre-synaptic modulations in striatal medium spiny neurons in an electrophysiological study with metadoxine. In this study, Metadoxine appears to alter the balance of excitation/inhibition in synaptic transmission and may rescue neuronal hyperexcitability and neuronal circuit dysfunctions observed in several neurodevelopmental disorders, such as Fragile X and ADHD.</w:t>
      </w:r>
    </w:p>
    <w:p>
      <w:pPr>
        <w:spacing w:after="0" w:line="178"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In summary, we believe that MG01CI is the first drug candidate to affect the serotonergic pathway and is currently the only drug candidate that shows exclusive antagonistic binding to the 5-HT2B serotonin receptor. Moreover, the 5-HT2B receptor is implicated genetically and physiologically as a possible etiologic factor in the development of ADHD, creating the potential for MG01CI to be an effective treatment for ADHD. Additionally, we believe that the findings discussed above display a unique pathway of activity not involving direct modulation of neurotransmitter concentrations or their downstream targets, but rather the disrupted signaling pathways in the cell that may be altered by Metadoxine.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118745</wp:posOffset>
            </wp:positionV>
            <wp:extent cx="4433570" cy="5342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433570" cy="5342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firstLine="376"/>
        <w:spacing w:after="0" w:line="255" w:lineRule="auto"/>
        <w:rPr>
          <w:sz w:val="20"/>
          <w:szCs w:val="20"/>
          <w:color w:val="auto"/>
        </w:rPr>
      </w:pPr>
      <w:r>
        <w:rPr>
          <w:rFonts w:ascii="Arial" w:cs="Arial" w:eastAsia="Arial" w:hAnsi="Arial"/>
          <w:sz w:val="18"/>
          <w:szCs w:val="18"/>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Fragile X, where we recently announced positive results from pre-clinical study and Shift Work Sleep Disorder. To achieve these objectives, we plan to:</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9" w:name="page70"/>
    <w:bookmarkEnd w:id="69"/>
    <w:p>
      <w:pPr>
        <w:ind w:left="660" w:right="48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initiate and complete two Phase 3 clinical trials of MG01CI for the treatment of ADHD in adults, and, if they are successful, file for marketing approval for adults in the U.S. (expected initiation before the end of 2013 and expected completion in the second quarter of 2015);</w:t>
      </w:r>
    </w:p>
    <w:p>
      <w:pPr>
        <w:spacing w:after="0" w:line="123"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initiate and complete clinical trials in a pediatric ADHD population, and, if successful, file for marketing approval for that use in the U.S. (expected initiation in the third quarter of 2014 and expected completion of trials in the second quarter of 2015);</w:t>
      </w:r>
    </w:p>
    <w:p>
      <w:pPr>
        <w:spacing w:after="0" w:line="170"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initiate and complete clinical trials in EU and Japan for both adult and pediatric ADHD, and, if successful, file for marketing approval of such uses in these regions (subject to securing additional funding, expected initiation in the first quarter of 2015 for EU and 2016 for Japan and expected completion in the fourth quarter of 2016);</w:t>
      </w:r>
    </w:p>
    <w:p>
      <w:pPr>
        <w:spacing w:after="0" w:line="18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uto"/>
        </w:rPr>
      </w:pPr>
    </w:p>
    <w:p>
      <w:pPr>
        <w:jc w:val="both"/>
        <w:ind w:left="660" w:right="14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completing the required advanced clinical trials, that, if successful, would allow us to request drug approval of MG01CI to treat children and adults with Fragile X (expected initiation of the first trial in the fourth quarter of 2014 and expected completion thereof in the fourth quarter of 2015); and</w:t>
      </w:r>
    </w:p>
    <w:p>
      <w:pPr>
        <w:spacing w:after="0" w:line="123"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conduct early stage clinical trials into the possible use of MG01CI to treat other cognitive disorders and impairments such as Shift Work Sleep Disorder.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180" w:firstLine="415"/>
        <w:spacing w:after="0" w:line="312"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47" w:lineRule="exact"/>
        <w:rPr>
          <w:sz w:val="20"/>
          <w:szCs w:val="20"/>
          <w:color w:val="auto"/>
        </w:rPr>
      </w:pPr>
    </w:p>
    <w:p>
      <w:pPr>
        <w:ind w:firstLine="415"/>
        <w:spacing w:after="0" w:line="297" w:lineRule="auto"/>
        <w:rPr>
          <w:sz w:val="20"/>
          <w:szCs w:val="20"/>
          <w:color w:val="auto"/>
        </w:rPr>
      </w:pPr>
      <w:r>
        <w:rPr>
          <w:rFonts w:ascii="Arial" w:cs="Arial" w:eastAsia="Arial" w:hAnsi="Arial"/>
          <w:sz w:val="16"/>
          <w:szCs w:val="16"/>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58" w:lineRule="exact"/>
        <w:rPr>
          <w:sz w:val="20"/>
          <w:szCs w:val="20"/>
          <w:color w:val="auto"/>
        </w:rPr>
      </w:pPr>
    </w:p>
    <w:p>
      <w:pPr>
        <w:ind w:right="200" w:firstLine="416"/>
        <w:spacing w:after="0" w:line="255" w:lineRule="auto"/>
        <w:rPr>
          <w:sz w:val="20"/>
          <w:szCs w:val="20"/>
          <w:color w:val="auto"/>
        </w:rPr>
      </w:pPr>
      <w:r>
        <w:rPr>
          <w:rFonts w:ascii="Arial" w:cs="Arial" w:eastAsia="Arial" w:hAnsi="Arial"/>
          <w:sz w:val="18"/>
          <w:szCs w:val="18"/>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416"/>
        <w:spacing w:after="0" w:line="279" w:lineRule="auto"/>
        <w:rPr>
          <w:sz w:val="20"/>
          <w:szCs w:val="20"/>
          <w:color w:val="auto"/>
        </w:rPr>
      </w:pPr>
      <w:r>
        <w:rPr>
          <w:rFonts w:ascii="Arial" w:cs="Arial" w:eastAsia="Arial" w:hAnsi="Arial"/>
          <w:sz w:val="17"/>
          <w:szCs w:val="17"/>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six months ended June 30, 2013 to the six months ended June 30, 2012 and years ended December 31, 2012 and 2011, we incurred $396,000, $632,000, $818,000 and $1,822,000, respectively, of research and development expense.</w:t>
      </w:r>
    </w:p>
    <w:p>
      <w:pPr>
        <w:spacing w:after="0" w:line="17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189" w:lineRule="exact"/>
        <w:rPr>
          <w:sz w:val="20"/>
          <w:szCs w:val="20"/>
          <w:color w:val="auto"/>
        </w:rPr>
      </w:pPr>
    </w:p>
    <w:p>
      <w:pPr>
        <w:ind w:right="460" w:firstLine="416"/>
        <w:spacing w:after="0" w:line="277" w:lineRule="auto"/>
        <w:rPr>
          <w:sz w:val="20"/>
          <w:szCs w:val="20"/>
          <w:color w:val="auto"/>
        </w:rPr>
      </w:pPr>
      <w:r>
        <w:rPr>
          <w:rFonts w:ascii="Arial" w:cs="Arial" w:eastAsia="Arial" w:hAnsi="Arial"/>
          <w:sz w:val="18"/>
          <w:szCs w:val="18"/>
          <w:color w:val="auto"/>
        </w:rPr>
        <w:t>After the completion of our initial public offering in May 2013, we accelerated our efforts to initiate a Phase 3 clinical trials in treating adults with ADHD with our MG01CI product candidate. In connection with such efforts we engaged third parties, including a CRO.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from the Office of the Israeli Chief Scientist</w:t>
      </w:r>
    </w:p>
    <w:p>
      <w:pPr>
        <w:spacing w:after="0" w:line="229" w:lineRule="exact"/>
        <w:rPr>
          <w:sz w:val="20"/>
          <w:szCs w:val="20"/>
          <w:color w:val="auto"/>
        </w:rPr>
      </w:pPr>
    </w:p>
    <w:p>
      <w:pPr>
        <w:ind w:right="40" w:firstLine="416"/>
        <w:spacing w:after="0" w:line="293"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Strategic Relationship with Teva Pharmaceuticals</w:t>
      </w:r>
    </w:p>
    <w:p>
      <w:pPr>
        <w:spacing w:after="0" w:line="229" w:lineRule="exact"/>
        <w:rPr>
          <w:sz w:val="20"/>
          <w:szCs w:val="20"/>
          <w:color w:val="auto"/>
        </w:rPr>
      </w:pPr>
    </w:p>
    <w:p>
      <w:pPr>
        <w:ind w:right="60" w:firstLine="416"/>
        <w:spacing w:after="0" w:line="302" w:lineRule="auto"/>
        <w:rPr>
          <w:sz w:val="20"/>
          <w:szCs w:val="20"/>
          <w:color w:val="auto"/>
        </w:rPr>
      </w:pPr>
      <w:r>
        <w:rPr>
          <w:rFonts w:ascii="Arial" w:cs="Arial" w:eastAsia="Arial" w:hAnsi="Arial"/>
          <w:sz w:val="16"/>
          <w:szCs w:val="16"/>
          <w:color w:val="auto"/>
        </w:rPr>
        <w:t>Following our successful proof of concept trial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 We do not have any continuing obligations to Teva other than that Teva continues to be a shareholder of the Company with related rights.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right="140" w:firstLine="416"/>
        <w:spacing w:after="0" w:line="273" w:lineRule="auto"/>
        <w:rPr>
          <w:sz w:val="20"/>
          <w:szCs w:val="20"/>
          <w:color w:val="auto"/>
        </w:rPr>
      </w:pPr>
      <w:r>
        <w:rPr>
          <w:rFonts w:ascii="Arial" w:cs="Arial" w:eastAsia="Arial" w:hAnsi="Arial"/>
          <w:sz w:val="17"/>
          <w:szCs w:val="17"/>
          <w:color w:val="auto"/>
        </w:rPr>
        <w:t>We currently have no manufacturing facilities and no personnel with commercial-scale manufacturing experience. We currently rely on one third-party manufacturer, Patheon Inc., which is located in Cincinnati, Ohio, to produce bulk drug substance and drug products required for our clinical trials. We have entered into a customary clinical trial material manufacturing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1" w:name="page72"/>
    <w:bookmarkEnd w:id="71"/>
    <w:p>
      <w:pPr>
        <w:ind w:right="260" w:firstLine="416"/>
        <w:spacing w:after="0" w:line="264" w:lineRule="auto"/>
        <w:rPr>
          <w:sz w:val="20"/>
          <w:szCs w:val="20"/>
          <w:color w:val="auto"/>
        </w:rPr>
      </w:pPr>
      <w:r>
        <w:rPr>
          <w:rFonts w:ascii="Arial" w:cs="Arial" w:eastAsia="Arial" w:hAnsi="Arial"/>
          <w:sz w:val="18"/>
          <w:szCs w:val="18"/>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81" w:lineRule="exact"/>
        <w:rPr>
          <w:sz w:val="20"/>
          <w:szCs w:val="20"/>
          <w:color w:val="auto"/>
        </w:rPr>
      </w:pPr>
    </w:p>
    <w:p>
      <w:pPr>
        <w:ind w:right="20" w:firstLine="416"/>
        <w:spacing w:after="0" w:line="293" w:lineRule="auto"/>
        <w:rPr>
          <w:sz w:val="20"/>
          <w:szCs w:val="20"/>
          <w:color w:val="auto"/>
        </w:rPr>
      </w:pPr>
      <w:r>
        <w:rPr>
          <w:rFonts w:ascii="Arial" w:cs="Arial" w:eastAsia="Arial" w:hAnsi="Arial"/>
          <w:sz w:val="16"/>
          <w:szCs w:val="16"/>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We face competition from established pharmaceutical and biotechnology companies that currently market a wide range of drugs to treat ADHD and symptoms of Fragile X.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and Fragile X.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price of our stock and the commercial potential of MG01CI.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200" w:firstLine="416"/>
        <w:spacing w:after="0" w:line="279" w:lineRule="auto"/>
        <w:rPr>
          <w:sz w:val="20"/>
          <w:szCs w:val="20"/>
          <w:color w:val="auto"/>
        </w:rPr>
      </w:pPr>
      <w:r>
        <w:rPr>
          <w:rFonts w:ascii="Arial" w:cs="Arial" w:eastAsia="Arial" w:hAnsi="Arial"/>
          <w:sz w:val="17"/>
          <w:szCs w:val="17"/>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71"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Our one issued patent has been issued by the U.S. PTO. We cannot be sure that any additional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78" w:lineRule="exact"/>
        <w:rPr>
          <w:sz w:val="20"/>
          <w:szCs w:val="20"/>
          <w:color w:val="auto"/>
        </w:rPr>
      </w:pPr>
    </w:p>
    <w:p>
      <w:pPr>
        <w:ind w:right="20" w:firstLine="416"/>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intellectual property rights, and will make it more difficult to monitor and enforce any patent rights that may be issued to us.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72" w:name="page73"/>
    <w:bookmarkEnd w:id="72"/>
    <w:p>
      <w:pPr>
        <w:ind w:left="420"/>
        <w:spacing w:after="0"/>
        <w:rPr>
          <w:sz w:val="20"/>
          <w:szCs w:val="20"/>
          <w:color w:val="auto"/>
        </w:rPr>
      </w:pPr>
      <w:r>
        <w:rPr>
          <w:rFonts w:ascii="Arial" w:cs="Arial" w:eastAsia="Arial" w:hAnsi="Arial"/>
          <w:sz w:val="18"/>
          <w:szCs w:val="18"/>
          <w:color w:val="auto"/>
        </w:rPr>
        <w:t>Our success depends in part on our ability to:</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operate our business without infringing the patents and proprietary rights of third parties, both in the United States and internationally.</w:t>
      </w:r>
    </w:p>
    <w:p>
      <w:pPr>
        <w:spacing w:after="0" w:line="225" w:lineRule="exact"/>
        <w:rPr>
          <w:sz w:val="20"/>
          <w:szCs w:val="20"/>
          <w:color w:val="auto"/>
        </w:rPr>
      </w:pPr>
    </w:p>
    <w:p>
      <w:pPr>
        <w:ind w:right="20" w:firstLine="416"/>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Clinical trials, the drug approval process, and the marketing of drugs is intensively regulated in the United States and in all major foreign countries.</w:t>
      </w:r>
    </w:p>
    <w:p>
      <w:pPr>
        <w:spacing w:after="0" w:line="248" w:lineRule="exact"/>
        <w:rPr>
          <w:sz w:val="20"/>
          <w:szCs w:val="20"/>
          <w:color w:val="auto"/>
        </w:rPr>
      </w:pPr>
    </w:p>
    <w:p>
      <w:pPr>
        <w:ind w:right="100" w:firstLine="416"/>
        <w:spacing w:after="0" w:line="293"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65"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87" w:lineRule="exact"/>
        <w:rPr>
          <w:sz w:val="20"/>
          <w:szCs w:val="20"/>
          <w:color w:val="auto"/>
        </w:rPr>
      </w:pPr>
    </w:p>
    <w:p>
      <w:pPr>
        <w:ind w:right="140" w:firstLine="416"/>
        <w:spacing w:after="0" w:line="286"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nonclinical laboratory and animal tests;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submission of an Investigational New Drug, or IND, application which must become effective before clinical trials may begin;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drug for its intended use or uses;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clinical trial sites;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FDA approval of a new drug application (NDA) which must occur before a drug can be marketed or sold.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73" w:name="page74"/>
    <w:bookmarkEnd w:id="73"/>
    <w:p>
      <w:pPr>
        <w:ind w:right="400" w:firstLine="405"/>
        <w:spacing w:after="0" w:line="277" w:lineRule="auto"/>
        <w:rPr>
          <w:sz w:val="20"/>
          <w:szCs w:val="20"/>
          <w:color w:val="auto"/>
        </w:rPr>
      </w:pPr>
      <w:r>
        <w:rPr>
          <w:rFonts w:ascii="Arial" w:cs="Arial" w:eastAsia="Arial" w:hAnsi="Arial"/>
          <w:sz w:val="18"/>
          <w:szCs w:val="18"/>
          <w:color w:val="auto"/>
        </w:rPr>
        <w:t>The testing and approval process requires substantial time and financial resources, and we cannot be certain that any approvals for MG01CI will be granted on a timely basis if at all.</w:t>
      </w:r>
    </w:p>
    <w:p>
      <w:pPr>
        <w:spacing w:after="0" w:line="170"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8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regulatory approval to commence a study;</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reaching agreement with third-party clinical trial sites and their subsequent performance in conducting accurate and reliable studies on a timely basis;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study at a prospective 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recruiting subjects to participate in a study;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supply of the drug.</w:t>
      </w:r>
    </w:p>
    <w:p>
      <w:pPr>
        <w:spacing w:after="0" w:line="225" w:lineRule="exact"/>
        <w:rPr>
          <w:sz w:val="20"/>
          <w:szCs w:val="20"/>
          <w:color w:val="auto"/>
        </w:rPr>
      </w:pPr>
    </w:p>
    <w:p>
      <w:pPr>
        <w:ind w:right="100" w:firstLine="415"/>
        <w:spacing w:after="0" w:line="276" w:lineRule="auto"/>
        <w:rPr>
          <w:sz w:val="20"/>
          <w:szCs w:val="20"/>
          <w:color w:val="auto"/>
        </w:rPr>
      </w:pPr>
      <w:r>
        <w:rPr>
          <w:rFonts w:ascii="Arial" w:cs="Arial" w:eastAsia="Arial" w:hAnsi="Arial"/>
          <w:sz w:val="17"/>
          <w:szCs w:val="17"/>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73" w:lineRule="exact"/>
        <w:rPr>
          <w:sz w:val="20"/>
          <w:szCs w:val="20"/>
          <w:color w:val="auto"/>
        </w:rPr>
      </w:pPr>
    </w:p>
    <w:p>
      <w:pPr>
        <w:ind w:right="100" w:firstLine="376"/>
        <w:spacing w:after="0" w:line="257" w:lineRule="auto"/>
        <w:rPr>
          <w:sz w:val="20"/>
          <w:szCs w:val="20"/>
          <w:color w:val="auto"/>
        </w:rPr>
      </w:pPr>
      <w:r>
        <w:rPr>
          <w:rFonts w:ascii="Arial" w:cs="Arial" w:eastAsia="Arial" w:hAnsi="Arial"/>
          <w:sz w:val="18"/>
          <w:szCs w:val="18"/>
          <w:color w:val="auto"/>
        </w:rPr>
        <w:t>Our objective is to conduct additional clinical trials for MG01CI and, if those trials are successful, seek marketing approval from the FDA and other worldwide regulatory bodies. To achieve this objective, we plan to initiate and complete two Phase 3 clinical trials of MG01CI for the treatment of ADHD in adults, and, if it is successful, file for marketing approval for adults initially in the United States and the European Union. We completed a Phase 2b trial in 2011 and plan to begin these Phase 3 studies in 2013. We plan to follow this process also with respect to the other cognitive disorders that we discuss in this prospectus, such as pediatric ADHD and Fragile X.</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NDA approval, human clinical trials are typically conducted in phases that may overlap.</w:t>
      </w:r>
    </w:p>
    <w:p>
      <w:pPr>
        <w:spacing w:after="0" w:line="225" w:lineRule="exact"/>
        <w:rPr>
          <w:sz w:val="20"/>
          <w:szCs w:val="20"/>
          <w:color w:val="auto"/>
        </w:rPr>
      </w:pPr>
    </w:p>
    <w:p>
      <w:pPr>
        <w:ind w:left="660" w:right="14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initially introduced into healthy human subjects and tested for safety, dosage tolerance, absorption, metabolism,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excretion. In the case of some products for severe or life-threatening diseases, especially when the product may be too inherently toxic to ethically administer to healthy volunteers, the initial human testing is often conducted in subjects.</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This phase involves trials in a limited subject population to identify possible adverse effects and safety risks, to preliminarily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for specific targeted diseases and to determine dosage tolerance and optimal dosage. Phase 2 studies may be sub-categorized to Phase 2a studies which are smaller, pilot studies to evaluate limited drug exposure and efficacy signals, and Phase 2b studies which are larger studies testing more rigorously both safety and efficacy.</w:t>
      </w:r>
    </w:p>
    <w:p>
      <w:pPr>
        <w:spacing w:after="0" w:line="186"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This phase involves trials undertaken to further evaluate dosage, clinical efficacy and safety in an expanded subject population, often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trials are intended to establish the overall risk/benefit ratio of the product and provide an adequate basis for product labeling.</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All of these trials must be conducted in accordance with good clinical practice requirements in order for the data to be considered reliable for regulatory purposes.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4" w:name="page75"/>
    <w:bookmarkEnd w:id="74"/>
    <w:p>
      <w:pPr>
        <w:ind w:right="60" w:firstLine="416"/>
        <w:spacing w:after="0" w:line="273" w:lineRule="auto"/>
        <w:rPr>
          <w:sz w:val="20"/>
          <w:szCs w:val="20"/>
          <w:color w:val="auto"/>
        </w:rPr>
      </w:pPr>
      <w:r>
        <w:rPr>
          <w:rFonts w:ascii="Arial" w:cs="Arial" w:eastAsia="Arial" w:hAnsi="Arial"/>
          <w:sz w:val="17"/>
          <w:szCs w:val="17"/>
          <w:color w:val="auto"/>
        </w:rPr>
        <w:t>Typically, if a drug product is intended to treat a chronic disease, as is the case with MG01CI when it is intended to treat ADHD and Fragile X,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NDA Approval Process</w:t>
      </w:r>
    </w:p>
    <w:p>
      <w:pPr>
        <w:spacing w:after="0" w:line="225" w:lineRule="exact"/>
        <w:rPr>
          <w:sz w:val="20"/>
          <w:szCs w:val="20"/>
          <w:color w:val="auto"/>
        </w:rPr>
      </w:pPr>
    </w:p>
    <w:p>
      <w:pPr>
        <w:ind w:firstLine="416"/>
        <w:spacing w:after="0" w:line="293"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(such as with Orphan Drug Designation).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5" w:lineRule="exact"/>
        <w:rPr>
          <w:sz w:val="20"/>
          <w:szCs w:val="20"/>
          <w:color w:val="auto"/>
        </w:rPr>
      </w:pPr>
    </w:p>
    <w:p>
      <w:pPr>
        <w:ind w:right="120" w:firstLine="416"/>
        <w:spacing w:after="0" w:line="271" w:lineRule="auto"/>
        <w:rPr>
          <w:sz w:val="20"/>
          <w:szCs w:val="20"/>
          <w:color w:val="auto"/>
        </w:rPr>
      </w:pPr>
      <w:r>
        <w:rPr>
          <w:rFonts w:ascii="Arial" w:cs="Arial" w:eastAsia="Arial" w:hAnsi="Arial"/>
          <w:sz w:val="17"/>
          <w:szCs w:val="17"/>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79"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Based on pivotal Phase 3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7" w:lineRule="exact"/>
        <w:rPr>
          <w:sz w:val="20"/>
          <w:szCs w:val="20"/>
          <w:color w:val="auto"/>
        </w:rPr>
      </w:pPr>
    </w:p>
    <w:p>
      <w:pPr>
        <w:jc w:val="both"/>
        <w:ind w:right="300" w:firstLine="450"/>
        <w:spacing w:after="0" w:line="264"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75" w:name="page76"/>
    <w:bookmarkEnd w:id="75"/>
    <w:p>
      <w:pPr>
        <w:ind w:right="20" w:firstLine="416"/>
        <w:spacing w:after="0" w:line="259" w:lineRule="auto"/>
        <w:rPr>
          <w:sz w:val="20"/>
          <w:szCs w:val="20"/>
          <w:color w:val="auto"/>
        </w:rPr>
      </w:pPr>
      <w:r>
        <w:rPr>
          <w:rFonts w:ascii="Arial" w:cs="Arial" w:eastAsia="Arial" w:hAnsi="Arial"/>
          <w:sz w:val="18"/>
          <w:szCs w:val="18"/>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87" w:lineRule="exact"/>
        <w:rPr>
          <w:sz w:val="20"/>
          <w:szCs w:val="20"/>
          <w:color w:val="auto"/>
        </w:rPr>
      </w:pPr>
    </w:p>
    <w:p>
      <w:pPr>
        <w:ind w:right="220" w:firstLine="416"/>
        <w:spacing w:after="0" w:line="259"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for continuing drug approval. The results of Phase 4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87"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Any approvals that we may ultimately receive could be withdrawn if required post-marketing trials or analyses do not meet the FDA requirements, which could materially harm the commercial prospects for MG01CI.</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93"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right="40" w:firstLine="415"/>
        <w:spacing w:after="0" w:line="270"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Drug Designation is intended to assist and encourage companies to develop safe and effective therapies for the treatment of rare diseases and disorders. In addition to providing a seven year term of market exclusivity upon final FDA approval, orphan drug designation also positions a company to be able to leverage a wide range of financial and regulatory benefits, including government grants for conducting clinical trials, waiver of expensive FDA user fees for the potential submission of a New Drug Application, and certain tax credits.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6" w:name="page77"/>
    <w:bookmarkEnd w:id="76"/>
    <w:p>
      <w:pPr>
        <w:ind w:right="80" w:firstLine="415"/>
        <w:spacing w:after="0" w:line="289"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or biological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 in the European Union.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applied to receive an Orphan Drug Designation for MG01CI for the treatment of Fragile X in the United States.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ind w:firstLine="415"/>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Labeling, Marketing and Promotion</w:t>
      </w:r>
    </w:p>
    <w:p>
      <w:pPr>
        <w:spacing w:after="0" w:line="225" w:lineRule="exact"/>
        <w:rPr>
          <w:sz w:val="20"/>
          <w:szCs w:val="20"/>
          <w:color w:val="auto"/>
        </w:rPr>
      </w:pPr>
    </w:p>
    <w:p>
      <w:pPr>
        <w:ind w:firstLine="415"/>
        <w:spacing w:after="0" w:line="255"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ind w:right="60" w:firstLine="415"/>
        <w:spacing w:after="0" w:line="259" w:lineRule="auto"/>
        <w:rPr>
          <w:sz w:val="20"/>
          <w:szCs w:val="20"/>
          <w:color w:val="auto"/>
        </w:rPr>
      </w:pPr>
      <w:r>
        <w:rPr>
          <w:rFonts w:ascii="Arial" w:cs="Arial" w:eastAsia="Arial" w:hAnsi="Arial"/>
          <w:sz w:val="18"/>
          <w:szCs w:val="18"/>
          <w:color w:val="auto"/>
        </w:rPr>
        <w:t>The Pediatric Research Equity Act, or PREA, amended the FDCA to authorize the FDA to require certain research into drugs used in pediatric patients. The intent of the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7" w:name="page78"/>
    <w:bookmarkEnd w:id="77"/>
    <w:p>
      <w:pPr>
        <w:ind w:left="42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ind w:right="40" w:firstLine="415"/>
        <w:spacing w:after="0" w:line="270" w:lineRule="auto"/>
        <w:rPr>
          <w:sz w:val="20"/>
          <w:szCs w:val="20"/>
          <w:color w:val="auto"/>
        </w:rPr>
      </w:pPr>
      <w:r>
        <w:rPr>
          <w:rFonts w:ascii="Arial" w:cs="Arial" w:eastAsia="Arial" w:hAnsi="Arial"/>
          <w:sz w:val="17"/>
          <w:szCs w:val="17"/>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2" w:lineRule="exact"/>
        <w:rPr>
          <w:sz w:val="20"/>
          <w:szCs w:val="20"/>
          <w:color w:val="auto"/>
        </w:rPr>
      </w:pPr>
    </w:p>
    <w:p>
      <w:pPr>
        <w:ind w:right="60" w:firstLine="415"/>
        <w:spacing w:after="0" w:line="257" w:lineRule="auto"/>
        <w:rPr>
          <w:sz w:val="20"/>
          <w:szCs w:val="20"/>
          <w:color w:val="auto"/>
        </w:rPr>
      </w:pPr>
      <w:r>
        <w:rPr>
          <w:rFonts w:ascii="Arial" w:cs="Arial" w:eastAsia="Arial" w:hAnsi="Arial"/>
          <w:sz w:val="18"/>
          <w:szCs w:val="18"/>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8" w:lineRule="exact"/>
        <w:rPr>
          <w:sz w:val="20"/>
          <w:szCs w:val="20"/>
          <w:color w:val="auto"/>
        </w:rPr>
      </w:pPr>
    </w:p>
    <w:p>
      <w:pPr>
        <w:ind w:right="340" w:firstLine="415"/>
        <w:spacing w:after="0" w:line="264" w:lineRule="auto"/>
        <w:rPr>
          <w:sz w:val="20"/>
          <w:szCs w:val="20"/>
          <w:color w:val="auto"/>
        </w:rPr>
      </w:pPr>
      <w:r>
        <w:rPr>
          <w:rFonts w:ascii="Arial" w:cs="Arial" w:eastAsia="Arial" w:hAnsi="Arial"/>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181" w:lineRule="exact"/>
        <w:rPr>
          <w:sz w:val="20"/>
          <w:szCs w:val="20"/>
          <w:color w:val="auto"/>
        </w:rPr>
      </w:pPr>
    </w:p>
    <w:p>
      <w:pPr>
        <w:ind w:firstLine="415"/>
        <w:spacing w:after="0" w:line="255"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Patient Protection and Affordable Health Care Act</w:t>
      </w:r>
    </w:p>
    <w:p>
      <w:pPr>
        <w:spacing w:after="0" w:line="225" w:lineRule="exact"/>
        <w:rPr>
          <w:sz w:val="20"/>
          <w:szCs w:val="20"/>
          <w:color w:val="auto"/>
        </w:rPr>
      </w:pPr>
    </w:p>
    <w:p>
      <w:pPr>
        <w:ind w:right="100" w:firstLine="416"/>
        <w:spacing w:after="0" w:line="312" w:lineRule="auto"/>
        <w:rPr>
          <w:sz w:val="20"/>
          <w:szCs w:val="20"/>
          <w:color w:val="auto"/>
        </w:rPr>
      </w:pPr>
      <w:r>
        <w:rPr>
          <w:rFonts w:ascii="Arial" w:cs="Arial" w:eastAsia="Arial" w:hAnsi="Arial"/>
          <w:sz w:val="16"/>
          <w:szCs w:val="16"/>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47" w:lineRule="exact"/>
        <w:rPr>
          <w:sz w:val="20"/>
          <w:szCs w:val="20"/>
          <w:color w:val="auto"/>
        </w:rPr>
      </w:pPr>
    </w:p>
    <w:p>
      <w:pPr>
        <w:ind w:right="340" w:firstLine="415"/>
        <w:spacing w:after="0" w:line="277" w:lineRule="auto"/>
        <w:rPr>
          <w:sz w:val="20"/>
          <w:szCs w:val="20"/>
          <w:color w:val="auto"/>
        </w:rPr>
      </w:pPr>
      <w:r>
        <w:rPr>
          <w:rFonts w:ascii="Arial" w:cs="Arial" w:eastAsia="Arial" w:hAnsi="Arial"/>
          <w:sz w:val="18"/>
          <w:szCs w:val="18"/>
          <w:color w:val="auto"/>
        </w:rPr>
        <w:t>Many of the details regarding the implementation of PPACA are yet to be determined, and at this time, it remains unclear the full effect that PPACA would have on our business.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As of the date hereof we have seven employees. Our management consists of our chief executive officer, our chief financial and accounting officer, our Chief Medical Officer, our VP for Finance, as well as our VP CMC (chemistry, manufacturing and controls) &amp; Non-Clinical Development. We further have service agreements with U.S.-based regulatory consultants as well as additional U.S.-based clinical consultants who are members of our clinical advisory board. We believe that we maintain good relations with all of them.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Property and Facilities</w:t>
      </w:r>
    </w:p>
    <w:p>
      <w:pPr>
        <w:spacing w:after="0" w:line="229" w:lineRule="exact"/>
        <w:rPr>
          <w:sz w:val="20"/>
          <w:szCs w:val="20"/>
          <w:color w:val="auto"/>
        </w:rPr>
      </w:pPr>
    </w:p>
    <w:p>
      <w:pPr>
        <w:ind w:right="300" w:firstLine="416"/>
        <w:spacing w:after="0" w:line="264" w:lineRule="auto"/>
        <w:rPr>
          <w:sz w:val="20"/>
          <w:szCs w:val="20"/>
          <w:color w:val="auto"/>
        </w:rPr>
      </w:pPr>
      <w:r>
        <w:rPr>
          <w:rFonts w:ascii="Arial" w:cs="Arial" w:eastAsia="Arial" w:hAnsi="Arial"/>
          <w:sz w:val="18"/>
          <w:szCs w:val="18"/>
          <w:color w:val="auto"/>
        </w:rPr>
        <w:t>Our headquarters is currently located in Tel Aviv, Israel and consists of approximately 1900 square feet of leased office space under a lease for three years. We believe that our existing facilities are adequate to meet our current needs and that suitable additional alternative spaces will be available in the future on commercially reasonable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October 1, 2013:</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40" w:type="dxa"/>
            <w:vAlign w:val="bottom"/>
            <w:gridSpan w:val="3"/>
          </w:tcPr>
          <w:p>
            <w:pPr>
              <w:ind w:left="100"/>
              <w:spacing w:after="0"/>
              <w:rPr>
                <w:sz w:val="20"/>
                <w:szCs w:val="20"/>
                <w:color w:val="auto"/>
              </w:rPr>
            </w:pPr>
            <w:r>
              <w:rPr>
                <w:rFonts w:ascii="Arial" w:cs="Arial" w:eastAsia="Arial" w:hAnsi="Arial"/>
                <w:sz w:val="18"/>
                <w:szCs w:val="18"/>
                <w:b w:val="1"/>
                <w:bCs w:val="1"/>
                <w:color w:val="auto"/>
              </w:rPr>
              <w:t>Age</w:t>
            </w:r>
          </w:p>
        </w:tc>
        <w:tc>
          <w:tcPr>
            <w:tcW w:w="71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
        </w:trPr>
        <w:tc>
          <w:tcPr>
            <w:tcW w:w="3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Aharon Schwartz</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Yaron Daniely</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Ehud (Udi) Gilboa</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Financial Officer, Chief Accounting Officer and 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Dalia Megiddo</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Howard B. Rosen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Daniel E. Geffken (1) (2)</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Ori Mor (1) (2)</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Hadas Gelander (1) (2)</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Jonathan Rubin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Nir Peles</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VP for Finance</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Hanna Ron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VP CMC &amp; Non-Clinical Development</w:t>
            </w:r>
          </w:p>
        </w:tc>
      </w:tr>
    </w:tbl>
    <w:p>
      <w:pPr>
        <w:spacing w:after="0" w:line="202"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Dr. Aharon Schwartz </w:t>
      </w:r>
      <w:r>
        <w:rPr>
          <w:rFonts w:ascii="Arial" w:cs="Arial" w:eastAsia="Arial" w:hAnsi="Arial"/>
          <w:sz w:val="18"/>
          <w:szCs w:val="18"/>
          <w:color w:val="auto"/>
        </w:rPr>
        <w:t>joined our Board as Chairman in January 2013. He retired from Teva Pharmaceutical Industries Ltd where he served in a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positions from 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79" w:name="page80"/>
    <w:bookmarkEnd w:id="79"/>
    <w:p>
      <w:pPr>
        <w:ind w:right="20" w:firstLine="405"/>
        <w:spacing w:after="0" w:line="289" w:lineRule="auto"/>
        <w:rPr>
          <w:sz w:val="20"/>
          <w:szCs w:val="20"/>
          <w:color w:val="auto"/>
        </w:rPr>
      </w:pPr>
      <w:r>
        <w:rPr>
          <w:rFonts w:ascii="Arial" w:cs="Arial" w:eastAsia="Arial" w:hAnsi="Arial"/>
          <w:sz w:val="16"/>
          <w:szCs w:val="16"/>
          <w:i w:val="1"/>
          <w:iCs w:val="1"/>
          <w:color w:val="auto"/>
        </w:rPr>
        <w:t xml:space="preserve">Dr. Yaron Daniely </w:t>
      </w:r>
      <w:r>
        <w:rPr>
          <w:rFonts w:ascii="Arial" w:cs="Arial" w:eastAsia="Arial" w:hAnsi="Arial"/>
          <w:sz w:val="16"/>
          <w:szCs w:val="16"/>
          <w:color w:val="auto"/>
        </w:rPr>
        <w:t>became our President and Chief Executive Officer and a Director in March 2010. Immediately prior to joining us and since 2007, Dr.</w:t>
      </w:r>
      <w:r>
        <w:rPr>
          <w:rFonts w:ascii="Arial" w:cs="Arial" w:eastAsia="Arial" w:hAnsi="Arial"/>
          <w:sz w:val="16"/>
          <w:szCs w:val="16"/>
          <w:i w:val="1"/>
          <w:iCs w:val="1"/>
          <w:color w:val="auto"/>
        </w:rPr>
        <w:t xml:space="preserve"> </w:t>
      </w:r>
      <w:r>
        <w:rPr>
          <w:rFonts w:ascii="Arial" w:cs="Arial" w:eastAsia="Arial" w:hAnsi="Arial"/>
          <w:sz w:val="16"/>
          <w:szCs w:val="16"/>
          <w:color w:val="auto"/>
        </w:rPr>
        <w:t>Daniely was the President and Chief Executive Officer of NanoCyte, Inc., a company that develops transdermal delivery technologies based in Caesarea, Israel. Before NanoCyte and from 2004, Dr. Daniely was the General Manager of Gamida Cell—Teva Joint Venture Ltd. , a joint venture company that acquired an exclusive license to develop and commercialize a Phase 3-stage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6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auto"/>
        </w:rPr>
        <w:t xml:space="preserve">Udi Gilboa </w:t>
      </w:r>
      <w:r>
        <w:rPr>
          <w:rFonts w:ascii="Arial" w:cs="Arial" w:eastAsia="Arial" w:hAnsi="Arial"/>
          <w:sz w:val="18"/>
          <w:szCs w:val="18"/>
          <w:color w:val="auto"/>
        </w:rPr>
        <w:t>co-founded the Company in February 2008 and became a director at that time. He has served as our Chief Financial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Officer since inception. Mr. Gilboa is the founder and managing partner of Top-Notch Capital, a prominent Israeli life sciences investment bank. He is also the founder of a number of medical device and pharmaceutical companies.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and Samson Neurosciences Ltd. Mr. Gilboa holds a Bachelor’s degree and M.B.A. from Tel Aviv University.</w:t>
      </w:r>
    </w:p>
    <w:p>
      <w:pPr>
        <w:spacing w:after="0" w:line="193"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i w:val="1"/>
          <w:iCs w:val="1"/>
          <w:color w:val="auto"/>
        </w:rPr>
        <w:t xml:space="preserve">Dr. Dalia Megiddo </w:t>
      </w:r>
      <w:r>
        <w:rPr>
          <w:rFonts w:ascii="Arial" w:cs="Arial" w:eastAsia="Arial" w:hAnsi="Arial"/>
          <w:sz w:val="16"/>
          <w:szCs w:val="16"/>
          <w:color w:val="auto"/>
        </w:rPr>
        <w:t>co-founded the Company in February 2008 and became a Director at that time. She is an entrepreneur and a medical doctor in family</w:t>
      </w:r>
      <w:r>
        <w:rPr>
          <w:rFonts w:ascii="Arial" w:cs="Arial" w:eastAsia="Arial" w:hAnsi="Arial"/>
          <w:sz w:val="16"/>
          <w:szCs w:val="16"/>
          <w:i w:val="1"/>
          <w:iCs w:val="1"/>
          <w:color w:val="auto"/>
        </w:rPr>
        <w:t xml:space="preserve"> </w:t>
      </w:r>
      <w:r>
        <w:rPr>
          <w:rFonts w:ascii="Arial" w:cs="Arial" w:eastAsia="Arial" w:hAnsi="Arial"/>
          <w:sz w:val="16"/>
          <w:szCs w:val="16"/>
          <w:color w:val="auto"/>
        </w:rPr>
        <w:t>medicine. Since 2000, Dr. Megiddo has been a manager of InnoMed Ventures, an Israeli venture capital fund focused on life sciences. From 2006 to 2010, she was also a manager of 7 Health Ventures, an Israeli venture capital fund. Dr, Megiddo is also the founder of a number of life science companies. She is a director of Bioblast Ltd. and Humavox Ltd. and served as a director of Tulip Medical Ltd., Chiasma Inc. and Angioscore Inc. Dr. Megiddo received her M.D. degree from Hebrew University Hadassah Medical School and also holds an M.B.A. from the Kellogg-Recanati School of Business.</w:t>
      </w:r>
    </w:p>
    <w:p>
      <w:pPr>
        <w:spacing w:after="0" w:line="15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i w:val="1"/>
          <w:iCs w:val="1"/>
          <w:color w:val="auto"/>
        </w:rPr>
        <w:t xml:space="preserve">Howard B. Rosen </w:t>
      </w:r>
      <w:r>
        <w:rPr>
          <w:rFonts w:ascii="Arial" w:cs="Arial" w:eastAsia="Arial" w:hAnsi="Arial"/>
          <w:sz w:val="17"/>
          <w:szCs w:val="17"/>
          <w:color w:val="auto"/>
        </w:rPr>
        <w:t>has served on our Board since the closing of our initial public offering in May 2013. Since 2008, Mr. Rosen has served as a consultant</w:t>
      </w:r>
      <w:r>
        <w:rPr>
          <w:rFonts w:ascii="Arial" w:cs="Arial" w:eastAsia="Arial" w:hAnsi="Arial"/>
          <w:sz w:val="17"/>
          <w:szCs w:val="17"/>
          <w:i w:val="1"/>
          <w:iCs w:val="1"/>
          <w:color w:val="auto"/>
        </w:rPr>
        <w:t xml:space="preserve"> </w:t>
      </w:r>
      <w:r>
        <w:rPr>
          <w:rFonts w:ascii="Arial" w:cs="Arial" w:eastAsia="Arial" w:hAnsi="Arial"/>
          <w:sz w:val="17"/>
          <w:szCs w:val="17"/>
          <w:color w:val="auto"/>
        </w:rPr>
        <w:t>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Mr. Rosen was President of ALZA Corporation, a pharmaceutical and medical systems company that merged with Johnson &amp; Johnson, a global healthcare company, in 2001, from 2003 until 2004.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PavVax, Inc., Entrega,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8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i w:val="1"/>
          <w:iCs w:val="1"/>
          <w:color w:val="auto"/>
        </w:rPr>
        <w:t xml:space="preserve">Daniel E. Geffken </w:t>
      </w:r>
      <w:r>
        <w:rPr>
          <w:rFonts w:ascii="Arial" w:cs="Arial" w:eastAsia="Arial" w:hAnsi="Arial"/>
          <w:sz w:val="18"/>
          <w:szCs w:val="18"/>
          <w:color w:val="auto"/>
        </w:rPr>
        <w:t>has served on our Board of Directors and our Audit and Compensation Committees since our initial public offering in May 2013.</w:t>
      </w:r>
      <w:r>
        <w:rPr>
          <w:rFonts w:ascii="Arial" w:cs="Arial" w:eastAsia="Arial" w:hAnsi="Arial"/>
          <w:sz w:val="18"/>
          <w:szCs w:val="18"/>
          <w:i w:val="1"/>
          <w:iCs w:val="1"/>
          <w:color w:val="auto"/>
        </w:rPr>
        <w:t xml:space="preserve"> </w:t>
      </w:r>
      <w:r>
        <w:rPr>
          <w:rFonts w:ascii="Arial" w:cs="Arial" w:eastAsia="Arial" w:hAnsi="Arial"/>
          <w:sz w:val="18"/>
          <w:szCs w:val="18"/>
          <w:color w:val="auto"/>
        </w:rPr>
        <w:t>Since October 2011, he has been Managing 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0" w:name="page81"/>
    <w:bookmarkEnd w:id="80"/>
    <w:p>
      <w:pPr>
        <w:ind w:right="160" w:firstLine="405"/>
        <w:spacing w:after="0" w:line="255" w:lineRule="auto"/>
        <w:rPr>
          <w:sz w:val="20"/>
          <w:szCs w:val="20"/>
          <w:color w:val="auto"/>
        </w:rPr>
      </w:pPr>
      <w:r>
        <w:rPr>
          <w:rFonts w:ascii="Arial" w:cs="Arial" w:eastAsia="Arial" w:hAnsi="Arial"/>
          <w:sz w:val="18"/>
          <w:szCs w:val="18"/>
          <w:i w:val="1"/>
          <w:iCs w:val="1"/>
          <w:color w:val="auto"/>
        </w:rPr>
        <w:t xml:space="preserve">Ori Mor </w:t>
      </w:r>
      <w:r>
        <w:rPr>
          <w:rFonts w:ascii="Arial" w:cs="Arial" w:eastAsia="Arial" w:hAnsi="Arial"/>
          <w:sz w:val="18"/>
          <w:szCs w:val="18"/>
          <w:color w:val="auto"/>
        </w:rPr>
        <w:t>serves as one of our external directors, a member of our Compensation Committee and the Chairperson of our Audit Committee. Mr. Mor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serves as the CFO of Medical Compression Systems Ltd. (TASE: MDCL), a leader in innovative, non-invasive solutions for the prevention of venous thromboembolism (VTE). Mr. Mor also serves as an External Director on the Boards of Birman Wood &amp; Hardware Ltd. (TASE: BIRM) and Excellence Nessuah Gemel &amp; Pension Ltd. and as an Independent Director on the Board of Mordechai Aviv Taasiot Beniy Ltd. (TASE: AVIV). Mr. Mor previously served as CIO at Halman Aldubi and FIBI Provident Fund and has worked as a macro analyst at the provident funds of Bank Leumi and Mizrahi Bank. He holds an M.A. in Economics from Ben Gurion University.</w:t>
      </w:r>
    </w:p>
    <w:p>
      <w:pPr>
        <w:spacing w:after="0" w:line="193"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i w:val="1"/>
          <w:iCs w:val="1"/>
          <w:color w:val="auto"/>
        </w:rPr>
        <w:t xml:space="preserve">Dr. Hadas Gelander </w:t>
      </w:r>
      <w:r>
        <w:rPr>
          <w:rFonts w:ascii="Arial" w:cs="Arial" w:eastAsia="Arial" w:hAnsi="Arial"/>
          <w:sz w:val="17"/>
          <w:szCs w:val="17"/>
          <w:color w:val="auto"/>
        </w:rPr>
        <w:t>serves as one of our external directors, a member of our Audit Committee and the Chairperson of our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Dr. Gelander currently serves as the Head of the Accounting Department at the College of Management, Academic Studies, School of Business Administration where she is also a professor. Dr. Gelander serves as an Independent Director on the Boards of EZ Energy (TASE: EZ), Eldav (TASE: ELDAV), Gindi Investments, and Leumi Partners Underwriters, arm of Leumi Partners (merchant and investment banking arm of Leumi and Direct Capital). She is a member of the Council Committee for Interest Rate Organization as an accounting specialist. Dr. Gelander is a certified public accountant and since 2000 has served on the Israeli Council of Public Accountants (the “CPA”) where she is the Coordinator of Examinations of the Israeli CPA. Dr. Gelander earned her Ph.D. summa cum laude from Ben Gurion University, an MBA in Accounting and Finance from the Hebrew University of Jerusalem, and a Bachelor of Business degree from the College of Management Academic Studies.</w:t>
      </w:r>
    </w:p>
    <w:p>
      <w:pPr>
        <w:spacing w:after="0" w:line="179"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i w:val="1"/>
          <w:iCs w:val="1"/>
          <w:color w:val="auto"/>
        </w:rPr>
        <w:t>Dr. Jonathan Rubin</w:t>
      </w:r>
      <w:r>
        <w:rPr>
          <w:rFonts w:ascii="Arial" w:cs="Arial" w:eastAsia="Arial" w:hAnsi="Arial"/>
          <w:sz w:val="16"/>
          <w:szCs w:val="16"/>
          <w:color w:val="auto"/>
        </w:rPr>
        <w:t>, MD, MBA, serves as our Chief Medical Officer. He joined us in August 2013 after working at Shire Pharmaceuticals for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six years, from 2007 through 2013, serving as a Medical Director in Global Medical Affairs supporting multiple products within the ADHD portfolio. As a Medical Director in Global Medical Affairs at Shire Pharmaceuticals, Dr. Rubin developed and implemented Global Medical Affairs strategic plans, planned and supervised medical launch activities in the United States and assisted with the design, execution and interpretation of Phase 2, 3 and Phase 4 studies. Dr. Rubin also served as the Director of Scientific Licensing Assessment at Shire Pharmaceuticals in 2011 where he identified and evaluated new opportunities for business development. Dr. Rubin began his pharmaceutical industry career as a medical consultant for Noven Pharmaceuticals in 2002. Until 2007 Dr. Rubin cared for children and adolescents with ADHD for 15 years at his General and Developmental-Behavioral Pediatric practice in Margate and Coconut Creek, Florida. He graduated with a BS from Yale University and an MD from the University of Connecticut, completed a pediatric residency at Albert Einstein/Montefiore, completed an Ambulatory Pediatric Fellowship at Boston Children’s Hospital and received an MBA from Columbia Business School.</w:t>
      </w:r>
    </w:p>
    <w:p>
      <w:pPr>
        <w:spacing w:after="0" w:line="16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i w:val="1"/>
          <w:iCs w:val="1"/>
          <w:color w:val="auto"/>
        </w:rPr>
        <w:t xml:space="preserve">Nir Peles </w:t>
      </w:r>
      <w:r>
        <w:rPr>
          <w:rFonts w:ascii="Arial" w:cs="Arial" w:eastAsia="Arial" w:hAnsi="Arial"/>
          <w:sz w:val="17"/>
          <w:szCs w:val="17"/>
          <w:color w:val="auto"/>
        </w:rPr>
        <w:t>became our Vice President for Finance in May 2013. Prior to joining us and since 2010, Mr. Peles was the CFO of BluePhoenix Solutions Ltd,</w:t>
      </w:r>
      <w:r>
        <w:rPr>
          <w:rFonts w:ascii="Arial" w:cs="Arial" w:eastAsia="Arial" w:hAnsi="Arial"/>
          <w:sz w:val="17"/>
          <w:szCs w:val="17"/>
          <w:i w:val="1"/>
          <w:iCs w:val="1"/>
          <w:color w:val="auto"/>
        </w:rPr>
        <w:t xml:space="preserve"> </w:t>
      </w:r>
      <w:r>
        <w:rPr>
          <w:rFonts w:ascii="Arial" w:cs="Arial" w:eastAsia="Arial" w:hAnsi="Arial"/>
          <w:sz w:val="17"/>
          <w:szCs w:val="17"/>
          <w:color w:val="auto"/>
        </w:rPr>
        <w:t>(Nasdaq: BPHX), a leader in modernization of legacy technology using its proprietary automated software tools for translation and conversion of legacy applications and databases to modern platforms. Between the years 2007 and 2010, Mr. Peles served as a business development manager at Shiraz Investments, a privately-held investment company. Mr. Peles holds a BA in economics and accounting from the Hebrew University, an MBA from Tel Aviv University and an MA in law from Bar-Ilan University. Mr. Peles is a certified public accountant in Israel.</w:t>
      </w:r>
    </w:p>
    <w:p>
      <w:pPr>
        <w:spacing w:after="0" w:line="173"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i w:val="1"/>
          <w:iCs w:val="1"/>
          <w:color w:val="auto"/>
        </w:rPr>
        <w:t xml:space="preserve">Hanna Ron </w:t>
      </w:r>
      <w:r>
        <w:rPr>
          <w:rFonts w:ascii="Arial" w:cs="Arial" w:eastAsia="Arial" w:hAnsi="Arial"/>
          <w:sz w:val="16"/>
          <w:szCs w:val="16"/>
          <w:color w:val="auto"/>
        </w:rPr>
        <w:t>serves as VP CMC and Non-Clinical Development in the company. She has over 28 years of experience in the pharmaceutical industry and</w:t>
      </w:r>
      <w:r>
        <w:rPr>
          <w:rFonts w:ascii="Arial" w:cs="Arial" w:eastAsia="Arial" w:hAnsi="Arial"/>
          <w:sz w:val="16"/>
          <w:szCs w:val="16"/>
          <w:i w:val="1"/>
          <w:iCs w:val="1"/>
          <w:color w:val="auto"/>
        </w:rPr>
        <w:t xml:space="preserve"> </w:t>
      </w:r>
      <w:r>
        <w:rPr>
          <w:rFonts w:ascii="Arial" w:cs="Arial" w:eastAsia="Arial" w:hAnsi="Arial"/>
          <w:sz w:val="16"/>
          <w:szCs w:val="16"/>
          <w:color w:val="auto"/>
        </w:rPr>
        <w:t>is an expert in chemistry, manufacturing and controls and pre-clinical studies.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chief research and development manager and a pharmaceutical product development manager at Teva Pharmaceuticals. Ms. Ron holds a BSc in Pharmacy from Hebrew University in Jerusalem, an MSc in Pharmaceutical Sciences (Clinical Pharmacy) from the Hebrew University and MSc in Chemical Engineer from School of Engineering Tel Aviv University. She is licensed as a pharmacist, the Ministry of Health, Israel.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Arrangements Concerning Election of Directors; Family Relationships</w:t>
      </w:r>
    </w:p>
    <w:p>
      <w:pPr>
        <w:spacing w:after="0" w:line="229"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Advisory Board</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Company has a Clinical Advisory Board of 10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 We entered into a consulting agreement with Dr. Adler that provides for hourly and daily consideration for the services provided by him and is terminable by either party upon providing 30 days’ written advance notice.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are subject.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Dr. Schwartz, Mr. Rosen, Mr. Geffken, Mr. Mor and Dr. Gelander are independent under Rule 5605(a)(2) to the Nasdaq Listing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9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Under our amended and restated articles of association,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Currently, our Board of Directors consists of eight directors, including two external directors. We have only one class of directors.</w:t>
      </w:r>
    </w:p>
    <w:p>
      <w:pPr>
        <w:spacing w:after="0" w:line="187"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Other than external directors, for whom special election requirements and terms of office apply under the Israeli Companies Law as detailed below, our directors are each elected at a general meeting of our shareholders and serve for a term of roughly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2" w:name="page83"/>
    <w:bookmarkEnd w:id="82"/>
    <w:p>
      <w:pPr>
        <w:ind w:firstLine="405"/>
        <w:spacing w:after="0" w:line="257"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188"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accordance with the exemption available to foreign private issuers under NASDAQ rules, we do not follow the requirements of the NASDAQ rules with regard to the process of nominating directors, and instead,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 Mr. Mor has such accounting and financial expertise.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Under the Israeli Companies Law, the boards of directors of companies whose shares are publicly traded, including companies with shares listed on the NASDAQ Capital Market, are required to include at least two members elected to serve as external directors. Accordingly, Mr. Mor and Dr. Gelander have been elected to serve as external directors.</w:t>
      </w:r>
    </w:p>
    <w:p>
      <w:pPr>
        <w:spacing w:after="0" w:line="18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Israeli Companies Law provides that external directors must be elected by a majority vote of the shares present and voting at a shareholders meeting, provided that either:</w:t>
      </w:r>
    </w:p>
    <w:p>
      <w:pPr>
        <w:spacing w:after="0" w:line="170" w:lineRule="exact"/>
        <w:rPr>
          <w:sz w:val="20"/>
          <w:szCs w:val="20"/>
          <w:color w:val="auto"/>
        </w:rPr>
      </w:pPr>
    </w:p>
    <w:p>
      <w:pPr>
        <w:ind w:left="660" w:right="100" w:hanging="328"/>
        <w:spacing w:after="0" w:line="28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majority voted in favor of election includes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5" w:lineRule="exact"/>
        <w:rPr>
          <w:rFonts w:ascii="Arial" w:cs="Arial" w:eastAsia="Arial" w:hAnsi="Arial"/>
          <w:sz w:val="17"/>
          <w:szCs w:val="17"/>
          <w:color w:val="auto"/>
        </w:rPr>
      </w:pPr>
    </w:p>
    <w:p>
      <w:pPr>
        <w:ind w:left="660" w:right="60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3" w:name="page84"/>
    <w:bookmarkEnd w:id="83"/>
    <w:p>
      <w:pPr>
        <w:ind w:right="120" w:firstLine="405"/>
        <w:spacing w:after="0" w:line="297"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and with respect to the approval of certain extraordinary and interested party transactions by shareholders, any shareholder which has 25% or more of the means of control if no other shareholder holds more than 50% of the voting rights, would be deemed a controlling shareholder.</w:t>
      </w:r>
    </w:p>
    <w:p>
      <w:pPr>
        <w:spacing w:after="0" w:line="15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 (ii) 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185"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4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enacted pursuant to the Companies Laws. Compensation of an external director is determined prior to his or her appointment and may not be changed during his or her term subject to certain exceptions.</w:t>
      </w:r>
    </w:p>
    <w:p>
      <w:pPr>
        <w:spacing w:after="0" w:line="17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92"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The term relative is defined as a spouse, sibling, parent, grandparent or descendant; spouse's sibling, parent or descendant; and the spouse of each of the foregoing persons. The term affiliation and the similar types of prohibited relationships include (subject to certain exemptions):</w:t>
      </w:r>
    </w:p>
    <w:p>
      <w:pPr>
        <w:spacing w:after="0" w:line="14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4" w:name="page85"/>
    <w:bookmarkEnd w:id="84"/>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225"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4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8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169"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6" w:lineRule="exact"/>
        <w:rPr>
          <w:sz w:val="20"/>
          <w:szCs w:val="20"/>
          <w:color w:val="auto"/>
        </w:rPr>
      </w:pPr>
    </w:p>
    <w:p>
      <w:pPr>
        <w:ind w:right="320" w:firstLine="405"/>
        <w:spacing w:after="0" w:line="286" w:lineRule="auto"/>
        <w:rPr>
          <w:sz w:val="20"/>
          <w:szCs w:val="20"/>
          <w:color w:val="auto"/>
        </w:rPr>
      </w:pPr>
      <w:r>
        <w:rPr>
          <w:rFonts w:ascii="Arial" w:cs="Arial" w:eastAsia="Arial" w:hAnsi="Arial"/>
          <w:sz w:val="16"/>
          <w:szCs w:val="16"/>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w:t>
      </w:r>
    </w:p>
    <w:p>
      <w:pPr>
        <w:spacing w:after="0" w:line="2" w:lineRule="exact"/>
        <w:rPr>
          <w:sz w:val="20"/>
          <w:szCs w:val="20"/>
          <w:color w:val="auto"/>
        </w:rPr>
      </w:pPr>
    </w:p>
    <w:p>
      <w:pPr>
        <w:ind w:right="180" w:firstLine="8"/>
        <w:spacing w:after="0" w:line="261"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accounting and financial expertise as defined under Israeli law, then neither of our external directors is required to possess accounting and financial expertise as long as both possess other requisite professional qualifications.</w:t>
      </w:r>
    </w:p>
    <w:p>
      <w:pPr>
        <w:spacing w:after="0" w:line="184"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Board of Directors has determined that Mr. Mor possesses the requisite accounting and financial expertise and that Dr. Gelander possesses the requisite professional qualifications.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5" w:name="page86"/>
    <w:bookmarkEnd w:id="85"/>
    <w:p>
      <w:pPr>
        <w:ind w:left="4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Role of Board in Risk Oversight Process</w:t>
      </w:r>
    </w:p>
    <w:p>
      <w:pPr>
        <w:spacing w:after="0" w:line="225"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124" w:lineRule="exact"/>
        <w:rPr>
          <w:sz w:val="20"/>
          <w:szCs w:val="20"/>
          <w:color w:val="auto"/>
        </w:rPr>
      </w:pPr>
    </w:p>
    <w:p>
      <w:pPr>
        <w:ind w:left="660" w:right="10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8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7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the Audit Committee consistent with the rules of the SEC and the Listing Rules of the NASDAQ Stock Market, as well as the requirements for such committee under the Israeli Companies Law, as described below.</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Audit Committee consists of Mr. Ori Mor, who serves as the chairperson of the committee, Mr. Geffken and Dr. Gelander.</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6" w:name="page87"/>
    <w:bookmarkEnd w:id="86"/>
    <w:p>
      <w:pPr>
        <w:ind w:firstLine="405"/>
        <w:spacing w:after="0" w:line="268" w:lineRule="auto"/>
        <w:rPr>
          <w:sz w:val="20"/>
          <w:szCs w:val="20"/>
          <w:color w:val="auto"/>
        </w:rPr>
      </w:pPr>
      <w:r>
        <w:rPr>
          <w:rFonts w:ascii="Arial" w:cs="Arial" w:eastAsia="Arial" w:hAnsi="Arial"/>
          <w:sz w:val="17"/>
          <w:szCs w:val="17"/>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 (ii) 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NASDAQ requirements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Under the Nasdaq Marketplace Rules, we are required to maintain an audit committee consisting of at least three independent directors, all of whom are financially literate and one of whom has accounting or related financial management expertise.</w:t>
      </w:r>
    </w:p>
    <w:p>
      <w:pPr>
        <w:spacing w:after="0" w:line="17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Our audit committee consists of Dr. Gelander, Mr. Mor and Mr. Geffken. Mr. Mor is an audit committee financial expert as defined by the SEC rules and has the requisite financial sophistication as defined by the Nasdaq Marketplace Rules. All of the members of our audit committee meet the requirements for financial literacy under the applicable rules and regulations of the SEC and the Nasdaq Marketplace Rules.</w:t>
      </w:r>
    </w:p>
    <w:p>
      <w:pPr>
        <w:spacing w:after="0" w:line="16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Dr. Gelander, Mr. Mor and Mr. Geffken and are independent as such term is defined in Rule 10A-3(b)(1) under the Exchange Act and under the listing standards of the NASDAQ Capital Market.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chose to rely upon the exemption available to foreign private issuers under the Listing Rules of the NASDAQ Stock Market with respect to the determination of the compensation of our Chief Executive Officer and other executive officers, and, in lieu of forming a compensation committee consisting entirely of independent directors (or the determination of such compensation solely by the independent members of our Board of Directors), we have a compensation committee in compliance with the Israeli Companies Law. See "—NASDAQ Listing Rules and Home Country Practices." However, all of the current members of our compensation committee are independent.</w:t>
      </w:r>
    </w:p>
    <w:p>
      <w:pPr>
        <w:spacing w:after="0" w:line="188"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Under an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7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7" w:name="page88"/>
    <w:bookmarkEnd w:id="87"/>
    <w:p>
      <w:pPr>
        <w:ind w:left="420"/>
        <w:spacing w:after="0"/>
        <w:rPr>
          <w:sz w:val="20"/>
          <w:szCs w:val="20"/>
          <w:color w:val="auto"/>
        </w:rPr>
      </w:pPr>
      <w:r>
        <w:rPr>
          <w:rFonts w:ascii="Arial" w:cs="Arial" w:eastAsia="Arial" w:hAnsi="Arial"/>
          <w:sz w:val="18"/>
          <w:szCs w:val="18"/>
          <w:color w:val="auto"/>
        </w:rPr>
        <w:t>Our Compensation Committee consists of Dr. Gelander, who serves as the chairperson of the committee, Mr. Geffken and Mr. Mor.</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7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Under an amendment to the Israeli Companies Law, we are required to adopt an office holder compensation policy no later than nine months from our initial public offering.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NASDAQ Requirements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Dr. Gelander, Mr. Geffken and Mr. Mor are independent under the listing standards of the NASDAQ Capital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Board of Directors does not currently have a nominating committee, as director nominees are presented by our Board of Directors to our shareholders based upon the nominations made by the Board of Directors itself. We currently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8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We do not have service contracts with any of our directors, except for Ehud Gilboa, Dr. Dalia Megiddo and Dr. Yaron Daniely. The remaining directors’ compensation has been approved by our shareholders. Please see "Certain Relationships and Related Party Transactions—Agreements and Arrangements with, and Compensation of, Directors and Executive Officers" for a summary of these agreements.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7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person (or a relative of a person) who holds more than 5% of the Company's outstanding shares or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member of the Company's independent accounting firm, or anyone on his or her behalf.</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Guy Sapir, CPA, Partner at PWC Israel was appointed as our internal auditor. The role of the internal auditor is to examine, among other things, our compliance with applicable law and orderly business procedures.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NASDAQ Listing Rules and Home Country Practices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Sarbanes-Oxley Act, as well as related rules subsequently implemented by the SEC, require foreign private issuers, such as us, to comply with various corporate governance practices. In addition, following the listing of our ordinary shares on the NASDAQ Capital Market, we are required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accordance with Israeli law and practice and subject to the exemption set forth in Rule 5615 of the Listing Rules of the NASDAQ Stock Market, we have elected to follow the provisions of the Israeli Companies Law, rather than the Listing Rules of the NASDAQ Stock Market, with respect to the following requirements:</w:t>
      </w:r>
    </w:p>
    <w:p>
      <w:pPr>
        <w:spacing w:after="0" w:line="181" w:lineRule="exact"/>
        <w:rPr>
          <w:sz w:val="20"/>
          <w:szCs w:val="20"/>
          <w:color w:val="auto"/>
        </w:rPr>
      </w:pPr>
    </w:p>
    <w:p>
      <w:pPr>
        <w:ind w:left="660" w:right="60" w:hanging="328"/>
        <w:spacing w:after="0" w:line="273"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Distribution of periodic reports to shareholders; proxy solicitation. </w:t>
      </w:r>
      <w:r>
        <w:rPr>
          <w:rFonts w:ascii="Arial" w:cs="Arial" w:eastAsia="Arial" w:hAnsi="Arial"/>
          <w:sz w:val="17"/>
          <w:szCs w:val="17"/>
          <w:color w:val="auto"/>
        </w:rPr>
        <w:t>As opposed to the Listing Rules of the NASDAQ Stock Market, which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p>
      <w:pPr>
        <w:spacing w:after="0" w:line="178" w:lineRule="exact"/>
        <w:rPr>
          <w:rFonts w:ascii="Arial" w:cs="Arial" w:eastAsia="Arial" w:hAnsi="Arial"/>
          <w:sz w:val="17"/>
          <w:szCs w:val="17"/>
          <w:color w:val="auto"/>
        </w:rPr>
      </w:pPr>
    </w:p>
    <w:p>
      <w:pPr>
        <w:ind w:left="660" w:hanging="328"/>
        <w:spacing w:after="0" w:line="273"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Nomination of our directors. </w:t>
      </w:r>
      <w:r>
        <w:rPr>
          <w:rFonts w:ascii="Arial" w:cs="Arial" w:eastAsia="Arial" w:hAnsi="Arial"/>
          <w:sz w:val="17"/>
          <w:szCs w:val="17"/>
          <w:color w:val="auto"/>
        </w:rPr>
        <w:t>With the exception of our external directors and directors elected by our Board of Directors due to vacancy,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are elected by 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78" w:lineRule="exact"/>
        <w:rPr>
          <w:rFonts w:ascii="Arial" w:cs="Arial" w:eastAsia="Arial" w:hAnsi="Arial"/>
          <w:sz w:val="17"/>
          <w:szCs w:val="17"/>
          <w:color w:val="auto"/>
        </w:rPr>
      </w:pPr>
    </w:p>
    <w:p>
      <w:pPr>
        <w:ind w:left="660" w:right="180" w:hanging="328"/>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of officers. </w:t>
      </w:r>
      <w:r>
        <w:rPr>
          <w:rFonts w:ascii="Arial" w:cs="Arial" w:eastAsia="Arial" w:hAnsi="Arial"/>
          <w:sz w:val="18"/>
          <w:szCs w:val="18"/>
          <w:color w:val="auto"/>
        </w:rPr>
        <w:t>Israeli law and our amended and restated articles of association do not require that the independent members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a 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8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8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Shareholder approval is generally required for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7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Additionally, approval of the compensation of an executive officer, who is also a director, shall generally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9" w:name="page90"/>
    <w:bookmarkEnd w:id="89"/>
    <w:p>
      <w:pPr>
        <w:ind w:right="180" w:firstLine="405"/>
        <w:spacing w:after="0" w:line="342" w:lineRule="auto"/>
        <w:rPr>
          <w:sz w:val="20"/>
          <w:szCs w:val="20"/>
          <w:color w:val="auto"/>
        </w:rPr>
      </w:pPr>
      <w:r>
        <w:rPr>
          <w:rFonts w:ascii="Arial" w:cs="Arial" w:eastAsia="Arial" w:hAnsi="Arial"/>
          <w:sz w:val="16"/>
          <w:szCs w:val="16"/>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124" w:lineRule="exact"/>
        <w:rPr>
          <w:sz w:val="20"/>
          <w:szCs w:val="20"/>
          <w:color w:val="auto"/>
        </w:rPr>
      </w:pPr>
    </w:p>
    <w:p>
      <w:pPr>
        <w:ind w:left="660" w:right="100" w:hanging="328"/>
        <w:spacing w:after="0" w:line="25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Independent directors. </w:t>
      </w:r>
      <w:r>
        <w:rPr>
          <w:rFonts w:ascii="Arial" w:cs="Arial" w:eastAsia="Arial" w:hAnsi="Arial"/>
          <w:sz w:val="18"/>
          <w:szCs w:val="18"/>
          <w:color w:val="auto"/>
        </w:rPr>
        <w:t>Israeli law does not require that a majority of the directors serving on our Board of Directors be "independent,"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NASDAQ 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192" w:lineRule="exact"/>
        <w:rPr>
          <w:rFonts w:ascii="Arial" w:cs="Arial" w:eastAsia="Arial" w:hAnsi="Arial"/>
          <w:sz w:val="18"/>
          <w:szCs w:val="18"/>
          <w:color w:val="auto"/>
        </w:rPr>
      </w:pPr>
    </w:p>
    <w:p>
      <w:pPr>
        <w:ind w:left="660" w:hanging="328"/>
        <w:spacing w:after="0" w:line="284"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will seek shareholder approval for all corporate actions requiring such approval under the requirements of the Israeli</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Law, 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w:t>
      </w:r>
    </w:p>
    <w:p>
      <w:pPr>
        <w:spacing w:after="0" w:line="1" w:lineRule="exact"/>
        <w:rPr>
          <w:rFonts w:ascii="Arial" w:cs="Arial" w:eastAsia="Arial" w:hAnsi="Arial"/>
          <w:sz w:val="16"/>
          <w:szCs w:val="16"/>
          <w:color w:val="auto"/>
        </w:rPr>
      </w:pPr>
    </w:p>
    <w:p>
      <w:pPr>
        <w:ind w:left="880" w:hanging="224"/>
        <w:spacing w:after="0"/>
        <w:tabs>
          <w:tab w:leader="none" w:pos="8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transactions with directors concerning the terms of their service or indemnification, exemption and insurance for their service (or for any other</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position that they may hold at a company), for which approvals of the compensation committee, board of directors and shareholders are all required,</w:t>
      </w:r>
    </w:p>
    <w:p>
      <w:pPr>
        <w:spacing w:after="0" w:line="32" w:lineRule="exact"/>
        <w:rPr>
          <w:rFonts w:ascii="Arial" w:cs="Arial" w:eastAsia="Arial" w:hAnsi="Arial"/>
          <w:sz w:val="16"/>
          <w:szCs w:val="16"/>
          <w:color w:val="auto"/>
        </w:rPr>
      </w:pPr>
    </w:p>
    <w:p>
      <w:pPr>
        <w:ind w:left="660" w:right="80" w:hanging="4"/>
        <w:spacing w:after="0" w:line="292" w:lineRule="auto"/>
        <w:tabs>
          <w:tab w:leader="none" w:pos="925"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extraordinary transactions with controlling shareholders of publicly held companies,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In addition, under the Israeli Companies Law, a merger requires approval of the shareholders of each of the merging companies.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Fiduciary duties of directors and executive officers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Israeli Companies Law codifies the fiduciary duties that office holders owe to a company. Each person listed in the table under "Management— Executive officers and directors" is an office holder under the Israeli Companies Law.</w:t>
      </w:r>
    </w:p>
    <w:p>
      <w:pPr>
        <w:spacing w:after="0" w:line="170"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0" w:name="page91"/>
    <w:bookmarkEnd w:id="90"/>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other important information pertaining to these actions.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duty of loyalty requires an office holder to act in good faith and for the benefit of the Company, and includes a duty to:</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refrain from any conflict of interest between the performance of his or her duties to the Company and his or her other duties or personal affairs;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an Office Holder</w:t>
      </w:r>
    </w:p>
    <w:p>
      <w:pPr>
        <w:spacing w:after="0" w:line="225" w:lineRule="exact"/>
        <w:rPr>
          <w:sz w:val="20"/>
          <w:szCs w:val="20"/>
          <w:color w:val="auto"/>
        </w:rPr>
      </w:pPr>
    </w:p>
    <w:p>
      <w:pPr>
        <w:ind w:firstLine="401"/>
        <w:spacing w:after="0" w:line="269"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183"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ind w:right="80" w:firstLine="405"/>
        <w:spacing w:after="0" w:line="273" w:lineRule="auto"/>
        <w:rPr>
          <w:sz w:val="20"/>
          <w:szCs w:val="20"/>
          <w:color w:val="auto"/>
        </w:rPr>
      </w:pPr>
      <w:r>
        <w:rPr>
          <w:rFonts w:ascii="Arial" w:cs="Arial" w:eastAsia="Arial" w:hAnsi="Arial"/>
          <w:sz w:val="17"/>
          <w:szCs w:val="17"/>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Controlling Shareholders</w:t>
      </w:r>
    </w:p>
    <w:p>
      <w:pPr>
        <w:spacing w:after="0" w:line="225"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66"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disinterested majority; or</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124" w:lineRule="exact"/>
        <w:rPr>
          <w:sz w:val="20"/>
          <w:szCs w:val="20"/>
          <w:color w:val="auto"/>
        </w:rPr>
      </w:pPr>
    </w:p>
    <w:p>
      <w:pPr>
        <w:ind w:right="20" w:firstLine="447"/>
        <w:spacing w:after="0" w:line="30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47" w:lineRule="exact"/>
        <w:rPr>
          <w:sz w:val="20"/>
          <w:szCs w:val="20"/>
          <w:color w:val="auto"/>
        </w:rPr>
      </w:pPr>
    </w:p>
    <w:p>
      <w:pPr>
        <w:jc w:val="both"/>
        <w:ind w:right="160" w:firstLine="405"/>
        <w:spacing w:after="0" w:line="312" w:lineRule="auto"/>
        <w:rPr>
          <w:sz w:val="20"/>
          <w:szCs w:val="20"/>
          <w:color w:val="auto"/>
        </w:rPr>
      </w:pPr>
      <w:r>
        <w:rPr>
          <w:rFonts w:ascii="Arial" w:cs="Arial" w:eastAsia="Arial" w:hAnsi="Arial"/>
          <w:sz w:val="16"/>
          <w:szCs w:val="16"/>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generally, the shareholders, in that order, as described above under "NASDAQ Listing Rules and Home Country Practices—Compensation of officers".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8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uto"/>
        </w:rPr>
      </w:pPr>
    </w:p>
    <w:p>
      <w:pPr>
        <w:ind w:left="420" w:right="3320" w:hanging="88"/>
        <w:spacing w:after="0" w:line="624" w:lineRule="auto"/>
        <w:tabs>
          <w:tab w:leader="none" w:pos="6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approval of interested party transactions and acts of office holders that require shareholder approval. In addition, a shareholder also has a general duty to refrain from discriminating against other shareholders.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2" w:name="page93"/>
    <w:bookmarkEnd w:id="92"/>
    <w:p>
      <w:pPr>
        <w:ind w:firstLine="405"/>
        <w:spacing w:after="0" w:line="257" w:lineRule="auto"/>
        <w:rPr>
          <w:sz w:val="20"/>
          <w:szCs w:val="20"/>
          <w:color w:val="auto"/>
        </w:rPr>
      </w:pPr>
      <w:r>
        <w:rPr>
          <w:rFonts w:ascii="Arial" w:cs="Arial" w:eastAsia="Arial" w:hAnsi="Arial"/>
          <w:sz w:val="18"/>
          <w:szCs w:val="18"/>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88"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81" w:lineRule="exact"/>
        <w:rPr>
          <w:sz w:val="20"/>
          <w:szCs w:val="20"/>
          <w:color w:val="auto"/>
        </w:rPr>
      </w:pPr>
    </w:p>
    <w:p>
      <w:pPr>
        <w:ind w:left="660" w:right="80" w:hanging="328"/>
        <w:spacing w:after="0" w:line="276"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uto"/>
        </w:rPr>
      </w:pPr>
    </w:p>
    <w:p>
      <w:pPr>
        <w:ind w:left="660" w:right="160" w:hanging="328"/>
        <w:spacing w:after="0" w:line="25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88"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660" w:right="20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Nevertheless, under the Israeli Companies Law, a company may not indemnify, exculpate or insure an office holder against any of the following: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3" w:name="page94"/>
    <w:bookmarkEnd w:id="93"/>
    <w:p>
      <w:pPr>
        <w:ind w:left="660" w:right="3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 Compensation of officers."</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Our amended and restated articles of association permit us to exculpate, indemnify and insure our office holders to the fullest extent permitted by the Israeli Companies Law.</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We adopted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Business Conduct and Ethics is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8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October 1, 2013, options to purchase 430,013 ordinary shares issued to our chief executive officer, Dr. Yaron Daniely, were outstanding under our 2010 Incentive Option Plan of which 293,133 were vested.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have written agreements with any director providing for benefits upon the termination of his employment with our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Employment Agreements with Executive Officers; Consulting and Directorship Services Provided by Directors</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have entered into written employment agreements with our executive officers. These agreements contain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9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Incentive Option Plan</w:t>
      </w:r>
    </w:p>
    <w:p>
      <w:pPr>
        <w:spacing w:after="0" w:line="229"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maintain one equity incentive plan—our 2010 Incentive Option Plan, or our 2010 Plan. As of October 1, 2013, a total of 900,516 shares were reserved for issuance under our 2010 Plan, of which options to purchase 900,516 ordinary shares were issued and outstanding thereunder. Of such outstanding options, options to purchase 515,624 ordinary shares were vested as of October 1, 2013, with a weighted average exercise price of $0.28 per share.</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70"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Options granted under the 2010 Plan to Israeli employees have been granted under the capital gains track of Section 102 of the Ordinance.</w:t>
      </w:r>
    </w:p>
    <w:p>
      <w:pPr>
        <w:spacing w:after="0" w:line="237"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6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95" w:name="page96"/>
    <w:bookmarkEnd w:id="95"/>
    <w:p>
      <w:pPr>
        <w:ind w:right="140" w:firstLine="405"/>
        <w:spacing w:after="0" w:line="297" w:lineRule="auto"/>
        <w:rPr>
          <w:sz w:val="20"/>
          <w:szCs w:val="20"/>
          <w:color w:val="auto"/>
        </w:rPr>
      </w:pPr>
      <w:r>
        <w:rPr>
          <w:rFonts w:ascii="Arial" w:cs="Arial" w:eastAsia="Arial" w:hAnsi="Arial"/>
          <w:sz w:val="16"/>
          <w:szCs w:val="16"/>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seven days, following which all outstanding options shall terminate.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Yaron Daniely</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Dr. Daniely is entitled to a gross monthly salary of $15,000. In addition, Dr. Daniely will be eligible to receive (i) a special bonus of $100,000 upon successful completion of Phase 3 Clinical Studies and (ii) an annual bonus in an amount of two to six monthly salaries, to be determined based on the achievement of certain milestones set by our Board of Directors. Dr. Daniely also received a special bonus of $200,000 in recognition of his efforts and contribution to consummate our initial public offering.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respectively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granted Dr. Daniely an aggregate of 430,013 options to purchase our ordinary shares, of which 293,133 have vested as of October 1, 2013.</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Consulting Agreement with Dr. Dalia Megiddo</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Dr. Dalia Megiddo has provided our company with consulting services related to pre-clinical, clinical, regulatory and intellectual property issues pursuant to an agreement, effective May 1, 2011 and terminable by either party upon 30 days’ prior written notice, with the latest amendment approved by our shareholders effective upon our initial public offering in May 2013. Under the terms of her amended agreement, the monthly amount payable to Dr. Megiddo is $5,000.</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Agreement with Udi Gilboa</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Udi Gilboa, our chief financial officer, has provided us with part time chief financial officer and chief operating officer services pursuant to a services agreement that became effective on March 1, 2008, with the latest amendment approved by our shareholders effective upon our initial public offering in May 2013. Under the terms of the amended services agreement, the monthly amount payable to Mr. Gilboa is $12,000, where the services agreement is terminable by either party upon 90 days’ prior written notice. In addition, Mr. Gilboa received a special bonus of $50,000 in recognition of his efforts and contribution to consummate our initial public offering.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6" w:name="page97"/>
    <w:bookmarkEnd w:id="96"/>
    <w:p>
      <w:pPr>
        <w:ind w:left="420"/>
        <w:spacing w:after="0"/>
        <w:rPr>
          <w:sz w:val="20"/>
          <w:szCs w:val="20"/>
          <w:color w:val="auto"/>
        </w:rPr>
      </w:pPr>
      <w:r>
        <w:rPr>
          <w:rFonts w:ascii="Arial" w:cs="Arial" w:eastAsia="Arial" w:hAnsi="Arial"/>
          <w:sz w:val="18"/>
          <w:szCs w:val="18"/>
          <w:b w:val="1"/>
          <w:bCs w:val="1"/>
          <w:i w:val="1"/>
          <w:iCs w:val="1"/>
          <w:color w:val="auto"/>
        </w:rPr>
        <w:t>Services of Dr. Aharon Schwartz as Director and Chairman of Our Board of Directors</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Dr. Aharon Schwartz has served as a director and Chairman of the Board of Directors of our company since January 2, 2013. In connection with such services, Dr. Schwartz receives a monthly amount of $3,333. In addition, we granted Dr. Schwartz 111,941 options to purchase ordinary shares under our 2010 Incentive Option Plan. Of such options, 89,553 shall vest according to our 2010 Incentive Option Plan, and the remaining 22,388 will vest subject to certain performance conditions.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Daniel E. Geffken and Howard B. Rosen as Directors</w:t>
      </w:r>
    </w:p>
    <w:p>
      <w:pPr>
        <w:spacing w:after="0" w:line="225"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Messrs. Geffken and Rosen have served as directors of our company since our initial public offering in May 2013. In connection with such services, each of Messrs. Geffken and Rosen are entitled to an annual amount of $30,000, payable quarterly at the end of each quarter. In addition, we granted each of Messrs. Geffken and Rosen 12,000 options to purchase ordinary shares under our 2010 Incentive Option Plan, such options to vest over a three year period.</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Dr. Hadas Gelander and Mr. Ori Mor as External Directors</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Dr. Hadas Gelander and Mr. Ori Mor serve as our external directors. In connection with such services, they are each entitled to an annual amount of $30,000, payable quarterly at the end of the quarter, in addition to reimbursement of travel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Jonathan Rubin</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entered into an employment agreement, dated July 25, 2013, with Dr. Jonathan Rubin, our Chief Medical Officer. Under the terms of his employment agreement, Dr. Rubin is entitled to a gross annual salary of $275,000. In addition, Dr. Rubin will be eligible to receive an annual bonus in an amount of up to 50% of his annual salary, to be determined based on the achievement of certain milestones set by our Board of Directors. In addition, Dr. Rubin receives under the agreement certain other benefits, including reimbursements for continued health, dental and vision coverage, individual life insurance and individual long-term disability insurance, annual contribution to retirement and monthly car allowance. Dr. Rubin’s employment engagement is terminable by either party upon 45 days’ prior written notice and contains customary provisions regarding noncompetition, confidentiality of information and assignment of inventions.</w:t>
      </w:r>
    </w:p>
    <w:p>
      <w:pPr>
        <w:spacing w:after="0" w:line="18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granted Dr. Rubin 55,640 options to purchase our ordinary shares, none of which have vested as of October 1, 2013 and further undertook to grant him options to purchase up to an aggregate of 0.75% of the issued and outstanding shares of the company, issuable upon meeting certain milestones, and subject to a vesting schedule.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Mr. Nir Peles</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entered into an employment agreement, dated April 8, 2013, with Mr. Nir Peles, our VP for Finance. Under the terms of his employment agreement, Mr. Peles is entitled to a gross monthly salary of NIS 35,000. In addition, Mr. Peles receives under the agreement other benefits that are provided for by Israeli law or that are customary for senior executives in Israel, including the right to use (and all related fixed and variable costs in respect of) a leased car and cellular telephone. Mr. Peles is also entitled to company contributions equivalent to 7.5%, 8.33%, 2.5%, and 7.5% of his gross monthly salary towards certain pension, severance, disability and tax-advantaged savings funds respectively (known as a manager's insurance policy, severance compensation fund, disability insurance, and a study fund, respectively). Mr. Peles also contributes 7% and 2.5% of his gross monthly salary towards the manager's insurance policy and study fund, respectively. Mr. Peles’ employment engagement is terminable by either party upon thirty days’ prior written notice and contains customary provisions regarding noncompetition, confidentiality of information and assignment of inventions.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97" w:name="page98"/>
    <w:bookmarkEnd w:id="97"/>
    <w:p>
      <w:pPr>
        <w:ind w:left="420"/>
        <w:spacing w:after="0"/>
        <w:rPr>
          <w:sz w:val="20"/>
          <w:szCs w:val="20"/>
          <w:color w:val="auto"/>
        </w:rPr>
      </w:pPr>
      <w:r>
        <w:rPr>
          <w:rFonts w:ascii="Arial" w:cs="Arial" w:eastAsia="Arial" w:hAnsi="Arial"/>
          <w:sz w:val="18"/>
          <w:szCs w:val="18"/>
          <w:color w:val="auto"/>
        </w:rPr>
        <w:t>We granted Mr. Peles 36,431 options to purchase our ordinary shares, none of which have vested as of October 1, 2013.</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Ms. Hanna Ron</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entered into an employment agreement, dated June 1, 2013, with Ms. Hanna Ron, for the position of Vice President CMC (chemistry, manufacturing and controls) &amp; Non-Clinical Development. Under the terms of her employment agreement, Dr. Ron is entitled to a gross monthly salary of NIS 30,000. In addition, Dr. Ron receives under the agreement other benefits that are provided for by Israeli law or that are customary for employees of her status in Israel, including the right to use (and all related fixed and variable costs in respect of) a leased car and cellular telephone. Ms. Ron is also entitled to company contributions equivalent to 5%, 8.33%, 2.5%, and 7.5% of her gross monthly salary towards certain pension, severance, disability and tax-advantaged savings funds (known as a manager's insurance policy, severance compensation fund, disability insurance, and a study fund, respectively). Ms. Ron also contributes 5% and 2.5% of her gross monthly salary towards the manager's insurance policy and study fund, respectively. Ms. Ron’s employment engagement is terminable by either party upon sixty days’ prior written notice and contains customary provisions regarding noncompetition, confidentiality of information and assignment of inventions.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granted Ms. Ron 20,000 options to purchase our ordinary shares, none of which have vested as of October 1, 2013.</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October 1, 2013 by:</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be the beneficial owner of more than 5% of our outstanding ordinary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ordinary shares. Ordinary shares issuable under share options or warrants that are exercisable within 60 days after October 1, 2013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11,128,001 shares outstanding on October 1, 2013. The number of ordinary shares deemed outstanding after this offering includes the ordinary shares being offered for sale in this offering but assumes no exercise of the underwriter’s over-allotment option.</w:t>
      </w:r>
    </w:p>
    <w:p>
      <w:pPr>
        <w:spacing w:after="0" w:line="19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of October 1, 2013, there were 19 record holders of our ordinary shares, among whom is one U.S. holder who beneficially owns less than 5%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8" w:name="page99"/>
    <w:bookmarkEnd w:id="98"/>
    <w:p>
      <w:pPr>
        <w:jc w:val="both"/>
        <w:ind w:right="40" w:firstLine="405"/>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Alcobra Ltd., Amot Investment Building, 2 Weizman St. 9th Floor, Tel Aviv 6423902 Israel.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 of Shares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56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0"/>
              </w:rPr>
              <w:t>Beneficially Owned</w:t>
            </w:r>
          </w:p>
        </w:tc>
        <w:tc>
          <w:tcPr>
            <w:tcW w:w="18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Percentage Owned</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Prior to this</w:t>
            </w:r>
          </w:p>
        </w:tc>
        <w:tc>
          <w:tcPr>
            <w:tcW w:w="10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Before this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Percentage Owned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Offering</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After this 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Dr. Yaron Daniely (1)</w:t>
            </w:r>
          </w:p>
        </w:tc>
        <w:tc>
          <w:tcPr>
            <w:tcW w:w="2560" w:type="dxa"/>
            <w:vAlign w:val="bottom"/>
            <w:gridSpan w:val="3"/>
          </w:tcPr>
          <w:p>
            <w:pPr>
              <w:jc w:val="right"/>
              <w:ind w:right="120"/>
              <w:spacing w:after="0"/>
              <w:rPr>
                <w:sz w:val="20"/>
                <w:szCs w:val="20"/>
                <w:color w:val="auto"/>
              </w:rPr>
            </w:pPr>
            <w:r>
              <w:rPr>
                <w:rFonts w:ascii="Arial" w:cs="Arial" w:eastAsia="Arial" w:hAnsi="Arial"/>
                <w:sz w:val="18"/>
                <w:szCs w:val="18"/>
                <w:color w:val="auto"/>
              </w:rPr>
              <w:t>293,133</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2.6%</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Daniel E. Geffken</w:t>
            </w:r>
          </w:p>
        </w:tc>
        <w:tc>
          <w:tcPr>
            <w:tcW w:w="25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Dr. Hadas Gelander</w:t>
            </w:r>
          </w:p>
        </w:tc>
        <w:tc>
          <w:tcPr>
            <w:tcW w:w="2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Udi Gilboa</w:t>
            </w:r>
          </w:p>
        </w:tc>
        <w:tc>
          <w:tcPr>
            <w:tcW w:w="25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2,734,927</w:t>
            </w:r>
          </w:p>
        </w:tc>
        <w:tc>
          <w:tcPr>
            <w:tcW w:w="18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24.6%</w:t>
            </w:r>
          </w:p>
        </w:tc>
        <w:tc>
          <w:tcPr>
            <w:tcW w:w="16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Dr. Dalia Megiddo</w:t>
            </w:r>
          </w:p>
        </w:tc>
        <w:tc>
          <w:tcPr>
            <w:tcW w:w="2560" w:type="dxa"/>
            <w:vAlign w:val="bottom"/>
            <w:gridSpan w:val="3"/>
          </w:tcPr>
          <w:p>
            <w:pPr>
              <w:jc w:val="right"/>
              <w:ind w:right="120"/>
              <w:spacing w:after="0"/>
              <w:rPr>
                <w:sz w:val="20"/>
                <w:szCs w:val="20"/>
                <w:color w:val="auto"/>
              </w:rPr>
            </w:pPr>
            <w:r>
              <w:rPr>
                <w:rFonts w:ascii="Arial" w:cs="Arial" w:eastAsia="Arial" w:hAnsi="Arial"/>
                <w:sz w:val="18"/>
                <w:szCs w:val="18"/>
                <w:color w:val="auto"/>
              </w:rPr>
              <w:t>2,803,817</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25.2%</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Ori Mor</w:t>
            </w:r>
          </w:p>
        </w:tc>
        <w:tc>
          <w:tcPr>
            <w:tcW w:w="25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Nir Peles</w:t>
            </w:r>
          </w:p>
        </w:tc>
        <w:tc>
          <w:tcPr>
            <w:tcW w:w="2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Hanna Ron</w:t>
            </w:r>
          </w:p>
        </w:tc>
        <w:tc>
          <w:tcPr>
            <w:tcW w:w="25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Howard B. Rosen</w:t>
            </w:r>
          </w:p>
        </w:tc>
        <w:tc>
          <w:tcPr>
            <w:tcW w:w="2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Dr. Jonathan Rubin</w:t>
            </w:r>
          </w:p>
        </w:tc>
        <w:tc>
          <w:tcPr>
            <w:tcW w:w="25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Dr. Aharon Schwartz</w:t>
            </w:r>
          </w:p>
        </w:tc>
        <w:tc>
          <w:tcPr>
            <w:tcW w:w="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All directors and executive officers as a group (11 persons)</w:t>
            </w:r>
          </w:p>
        </w:tc>
        <w:tc>
          <w:tcPr>
            <w:tcW w:w="25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5,831,877</w:t>
            </w:r>
          </w:p>
        </w:tc>
        <w:tc>
          <w:tcPr>
            <w:tcW w:w="18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52.4%</w:t>
            </w:r>
          </w:p>
        </w:tc>
        <w:tc>
          <w:tcPr>
            <w:tcW w:w="16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Holders of more than 5% of our voting securities:</w:t>
            </w:r>
          </w:p>
        </w:tc>
        <w:tc>
          <w:tcPr>
            <w:tcW w:w="96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Hadasit Medical Research Services &amp; Development Ltd.</w:t>
            </w:r>
          </w:p>
        </w:tc>
        <w:tc>
          <w:tcPr>
            <w:tcW w:w="2560" w:type="dxa"/>
            <w:vAlign w:val="bottom"/>
            <w:gridSpan w:val="3"/>
          </w:tcPr>
          <w:p>
            <w:pPr>
              <w:jc w:val="right"/>
              <w:ind w:right="120"/>
              <w:spacing w:after="0"/>
              <w:rPr>
                <w:sz w:val="20"/>
                <w:szCs w:val="20"/>
                <w:color w:val="auto"/>
              </w:rPr>
            </w:pPr>
            <w:r>
              <w:rPr>
                <w:rFonts w:ascii="Arial" w:cs="Arial" w:eastAsia="Arial" w:hAnsi="Arial"/>
                <w:sz w:val="18"/>
                <w:szCs w:val="18"/>
                <w:color w:val="auto"/>
              </w:rPr>
              <w:t>754,891</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6.8%</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Europa International, Inc. (2)</w:t>
            </w:r>
          </w:p>
        </w:tc>
        <w:tc>
          <w:tcPr>
            <w:tcW w:w="25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587,000</w:t>
            </w:r>
          </w:p>
        </w:tc>
        <w:tc>
          <w:tcPr>
            <w:tcW w:w="18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5.3%</w:t>
            </w:r>
          </w:p>
        </w:tc>
        <w:tc>
          <w:tcPr>
            <w:tcW w:w="16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323"/>
        <w:spacing w:after="0" w:line="264"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options currently exercisable or exercisable within 60 days of October 1, 2013 to purchase 293,133 ordinary shares (which have an exercise price of $0.328 per share and expire in November 15, 2020). Does not include 136,880 options that are time-vested. The options were granted under our 2010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9" w:name="page100"/>
    <w:bookmarkEnd w:id="99"/>
    <w:p>
      <w:pPr>
        <w:ind w:left="520" w:right="260" w:hanging="323"/>
        <w:spacing w:after="0" w:line="259"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Pursuant to Schedule 13G filed with the SEC on May 29, 2013, Europa International, Inc., or Europa, Knoll Capital Management, LP, and Mr. Fred Knoll are beneficial owners and have shared voting power and power of disposition over 587,000 ordinary shares owned by Europa. Knoll Capital Management, LP, of which Mr. Knoll is president, is the investment manager of Europa. We have no information as to the holdings of Europa since May 29, 2013.</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description of our share capital and provisions of our amended and restated articles of association are summaries and do not purport to be complete.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Immediately prior to the consummation of this offering, our authorized share capital will consist of 50,000,000 ordinary shares, par value NIS 0.01 per share. As of October 1, 2013 there were 11,128,001 shares issued and outstanding.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of our outstanding ordinary shares are validly issued, fully paid and non-assessable. They are not redeemable and do not have any preemptive rights.</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October 1, 2013, we had the following warrants outstanding:</w:t>
      </w:r>
    </w:p>
    <w:p>
      <w:pPr>
        <w:spacing w:after="0" w:line="225" w:lineRule="exact"/>
        <w:rPr>
          <w:sz w:val="20"/>
          <w:szCs w:val="20"/>
          <w:color w:val="auto"/>
        </w:rPr>
      </w:pPr>
    </w:p>
    <w:p>
      <w:pPr>
        <w:ind w:left="660" w:right="16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Warrants issued to professional advisor. </w:t>
      </w:r>
      <w:r>
        <w:rPr>
          <w:rFonts w:ascii="Arial" w:cs="Arial" w:eastAsia="Arial" w:hAnsi="Arial"/>
          <w:sz w:val="17"/>
          <w:szCs w:val="17"/>
          <w:color w:val="auto"/>
        </w:rPr>
        <w:t>As consideration for certain professional services, on April 2, 2008, we issued to certain advisors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up to 58,700 ordinary shares at an exercise price of $0.0005 per share. These warrants expire on April 2, 2018.</w:t>
      </w:r>
    </w:p>
    <w:p>
      <w:pPr>
        <w:spacing w:after="0" w:line="146"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Warrants issued to initial public offering underwriters</w:t>
      </w:r>
      <w:r>
        <w:rPr>
          <w:rFonts w:ascii="Arial" w:cs="Arial" w:eastAsia="Arial" w:hAnsi="Arial"/>
          <w:sz w:val="18"/>
          <w:szCs w:val="18"/>
          <w:color w:val="auto"/>
        </w:rPr>
        <w:t>. In connection with our initial public offering that was consummated in May 2013, we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underwriters warrants to purchase up to 156,250 ordinary shares, exercisable commencing on May 28, 2014. Of these warrants, 52,083 have an exercise price of $12 per share and expire on May 28, 2015, 52,083 have an exercise price of $16 per share and expire on November 28, 2015, and 52,084 have an exercise price of $20 per share and expire on May 28, 2016.</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As of October 1, 2013, options to purchase 900,516 of our ordinary shares, at a weighted average exercise price of $3.72 per share, were outstanding under our 2010 Incentive Option Plan.</w:t>
      </w:r>
    </w:p>
    <w:p>
      <w:pPr>
        <w:spacing w:after="0" w:line="17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Of such outstanding options, options to purchase 515,624 of our ordinary shares, with a weighted average exercise price of $0.28 per share, were vested as of October 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History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history of our share capital for the last three years.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Since January 1, 2010, we have issued 292,531 ordinary shares upon the exercise of share options.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0" w:name="page101"/>
    <w:bookmarkEnd w:id="100"/>
    <w:p>
      <w:pPr>
        <w:ind w:firstLine="405"/>
        <w:spacing w:after="0" w:line="291" w:lineRule="auto"/>
        <w:rPr>
          <w:sz w:val="20"/>
          <w:szCs w:val="20"/>
          <w:color w:val="auto"/>
        </w:rPr>
      </w:pPr>
      <w:r>
        <w:rPr>
          <w:rFonts w:ascii="Arial" w:cs="Arial" w:eastAsia="Arial" w:hAnsi="Arial"/>
          <w:sz w:val="16"/>
          <w:szCs w:val="16"/>
          <w:i w:val="1"/>
          <w:iCs w:val="1"/>
          <w:color w:val="auto"/>
        </w:rPr>
        <w:t>February 2010 Preferred B Subscription Agreement</w:t>
      </w:r>
      <w:r>
        <w:rPr>
          <w:rFonts w:ascii="Arial" w:cs="Arial" w:eastAsia="Arial" w:hAnsi="Arial"/>
          <w:sz w:val="16"/>
          <w:szCs w:val="16"/>
          <w:color w:val="auto"/>
        </w:rPr>
        <w:t>. On February 28, 2010, we closed the February 2010 Preferred B Subscription Agreement,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we sold an aggregate of 397,698 series B1 preferred shares at a price of $2.18, and an aggregate of 128,512 series B2 preferred shares at a price</w:t>
      </w:r>
    </w:p>
    <w:p>
      <w:pPr>
        <w:ind w:right="160"/>
        <w:spacing w:after="0" w:line="261" w:lineRule="auto"/>
        <w:rPr>
          <w:sz w:val="20"/>
          <w:szCs w:val="20"/>
          <w:color w:val="auto"/>
        </w:rPr>
      </w:pPr>
      <w:r>
        <w:rPr>
          <w:rFonts w:ascii="Arial" w:cs="Arial" w:eastAsia="Arial" w:hAnsi="Arial"/>
          <w:sz w:val="18"/>
          <w:szCs w:val="18"/>
          <w:color w:val="auto"/>
        </w:rPr>
        <w:t>of $1.75 per share and issued warrants to purchase up to an aggregate of 129,257 series B3 preferred shares with an exercise price of $2.73 per share, which shall expire immediately prior to the closing of this offering.</w:t>
      </w:r>
    </w:p>
    <w:p>
      <w:pPr>
        <w:spacing w:after="0" w:line="18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i w:val="1"/>
          <w:iCs w:val="1"/>
          <w:color w:val="auto"/>
        </w:rPr>
        <w:t xml:space="preserve">February 2011 Share Purchase Agreement. </w:t>
      </w:r>
      <w:r>
        <w:rPr>
          <w:rFonts w:ascii="Arial" w:cs="Arial" w:eastAsia="Arial" w:hAnsi="Arial"/>
          <w:sz w:val="18"/>
          <w:szCs w:val="18"/>
          <w:color w:val="auto"/>
        </w:rPr>
        <w:t>On March 24, 2011, we closed the February 2011 Share Purchase Agreement, pursuant to which we sold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of 304,324 of our ordinary shares at a price of $11.50 per share.</w:t>
      </w:r>
    </w:p>
    <w:p>
      <w:pPr>
        <w:spacing w:after="0" w:line="170"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i w:val="1"/>
          <w:iCs w:val="1"/>
          <w:color w:val="auto"/>
        </w:rPr>
        <w:t>Recapitalization and conversion of Preferred Shares to Ordinary Shares</w:t>
      </w:r>
      <w:r>
        <w:rPr>
          <w:rFonts w:ascii="Arial" w:cs="Arial" w:eastAsia="Arial" w:hAnsi="Arial"/>
          <w:sz w:val="17"/>
          <w:szCs w:val="17"/>
          <w:color w:val="auto"/>
        </w:rPr>
        <w:t>. In connection with the February 2011 Share Purchase Agreement, on March</w:t>
      </w:r>
      <w:r>
        <w:rPr>
          <w:rFonts w:ascii="Arial" w:cs="Arial" w:eastAsia="Arial" w:hAnsi="Arial"/>
          <w:sz w:val="17"/>
          <w:szCs w:val="17"/>
          <w:i w:val="1"/>
          <w:iCs w:val="1"/>
          <w:color w:val="auto"/>
        </w:rPr>
        <w:t xml:space="preserve"> </w:t>
      </w:r>
      <w:r>
        <w:rPr>
          <w:rFonts w:ascii="Arial" w:cs="Arial" w:eastAsia="Arial" w:hAnsi="Arial"/>
          <w:sz w:val="17"/>
          <w:szCs w:val="17"/>
          <w:color w:val="auto"/>
        </w:rPr>
        <w:t>24, 2011, all 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6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i w:val="1"/>
          <w:iCs w:val="1"/>
          <w:color w:val="auto"/>
        </w:rPr>
        <w:t>2012 Convertible Notes</w:t>
      </w:r>
      <w:r>
        <w:rPr>
          <w:rFonts w:ascii="Arial" w:cs="Arial" w:eastAsia="Arial" w:hAnsi="Arial"/>
          <w:sz w:val="18"/>
          <w:szCs w:val="18"/>
          <w:color w:val="auto"/>
        </w:rPr>
        <w:t>. During 2012, we issued convertible notes for a total principal amount of $600,000. In accordance with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total amount, bearing an annual interest rate of 6%, was automatically converted in the course of our initial public offering into 104,094 ordinary shares, reflecting, at a price of $6 per share, a 25% discount from the initial public offering price.</w:t>
      </w:r>
    </w:p>
    <w:p>
      <w:pPr>
        <w:spacing w:after="0" w:line="181"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i w:val="1"/>
          <w:iCs w:val="1"/>
          <w:color w:val="auto"/>
        </w:rPr>
        <w:t xml:space="preserve">2013 Convertible Notes. </w:t>
      </w:r>
      <w:r>
        <w:rPr>
          <w:rFonts w:ascii="Arial" w:cs="Arial" w:eastAsia="Arial" w:hAnsi="Arial"/>
          <w:sz w:val="17"/>
          <w:szCs w:val="17"/>
          <w:color w:val="auto"/>
        </w:rPr>
        <w:t>In February 2013 we issued to certain of our existing shareholders additional convertible notes for an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$115,000. Like the 2012 Convertible Notes, these notes bore an annual interest rate of 6% and were automatically converted in the course of our initial public offering into 19,459 ordinary shares at a 25% discount from the initial public offering price.</w:t>
      </w:r>
    </w:p>
    <w:p>
      <w:pPr>
        <w:spacing w:after="0" w:line="16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May 2013 Bonus Share Allocation. </w:t>
      </w:r>
      <w:r>
        <w:rPr>
          <w:rFonts w:ascii="Arial" w:cs="Arial" w:eastAsia="Arial" w:hAnsi="Arial"/>
          <w:sz w:val="18"/>
          <w:szCs w:val="18"/>
          <w:color w:val="auto"/>
        </w:rPr>
        <w:t>On May 19, 2013, we issued additional ordinary shares to all of our shareholders, on a basis of 4.87 bonus shares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ordinary share outstanding (equivalent to a 5.87-for-1 stock split).</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May 2013 Initial Public Offering. </w:t>
      </w:r>
      <w:r>
        <w:rPr>
          <w:rFonts w:ascii="Arial" w:cs="Arial" w:eastAsia="Arial" w:hAnsi="Arial"/>
          <w:sz w:val="18"/>
          <w:szCs w:val="18"/>
          <w:color w:val="auto"/>
        </w:rPr>
        <w:t>On May 28, 2013, we closed our initial public offering, pursuant to which we sold an aggregate of 3,125,000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at a price of $8 per share. The ordinary shares were issued pursuant to the filing, under the Securities Act, of a registration statement on Form F-1, which became effective on May 21, 2013, and the prospectus dated as of May 21, 2013 contained in such registration statement. In connection with the offering, we also issued to the underwriters of the offering warrants to purchase a total of 156,250 ordinary shares at an average exercise price of $16 per share.</w:t>
      </w:r>
    </w:p>
    <w:p>
      <w:pPr>
        <w:spacing w:after="0" w:line="188"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i w:val="1"/>
          <w:iCs w:val="1"/>
          <w:color w:val="auto"/>
        </w:rPr>
        <w:t>May 2013 Exercise of Warrants</w:t>
      </w:r>
      <w:r>
        <w:rPr>
          <w:rFonts w:ascii="Arial" w:cs="Arial" w:eastAsia="Arial" w:hAnsi="Arial"/>
          <w:sz w:val="17"/>
          <w:szCs w:val="17"/>
          <w:color w:val="auto"/>
        </w:rPr>
        <w:t>. In connection with our initial public offering, warrants to purchase up to 129,255 ordinary shares, which were</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to expire immediately prior to closing of the offering, were exercised on a cashless basis into 85,192 ordinary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Holders of our ordinary shares have one vote for each ordinary share held on all matters submitted to a vote before the shareholders at a general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1" w:name="page102"/>
    <w:bookmarkEnd w:id="101"/>
    <w:p>
      <w:pPr>
        <w:ind w:right="60" w:firstLine="405"/>
        <w:spacing w:after="0" w:line="254" w:lineRule="auto"/>
        <w:rPr>
          <w:sz w:val="20"/>
          <w:szCs w:val="20"/>
          <w:color w:val="auto"/>
        </w:rPr>
      </w:pPr>
      <w:r>
        <w:rPr>
          <w:rFonts w:ascii="Arial" w:cs="Arial" w:eastAsia="Arial" w:hAnsi="Arial"/>
          <w:sz w:val="18"/>
          <w:szCs w:val="18"/>
          <w:color w:val="auto"/>
        </w:rPr>
        <w:t>Our research and development efforts were financed in part, in the past, through grants that we received from Israel's Office of the Chief Scientist of the Ministry of Industry, Trade and Labor, as a result of which we must comply with the requirements of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8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until the next annual meeting following his or her appointment.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8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as such items are defined under the Companies Law,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5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2" w:name="page103"/>
    <w:bookmarkEnd w:id="102"/>
    <w:p>
      <w:pPr>
        <w:ind w:firstLine="405"/>
        <w:spacing w:after="0" w:line="259"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87"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amendments to our amended and restated articles of association;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of acts and transactions involving related parties, as defined by the Israeli Companies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merger.</w:t>
      </w:r>
    </w:p>
    <w:p>
      <w:pPr>
        <w:spacing w:after="0" w:line="225" w:lineRule="exact"/>
        <w:rPr>
          <w:sz w:val="20"/>
          <w:szCs w:val="20"/>
          <w:color w:val="auto"/>
        </w:rPr>
      </w:pPr>
    </w:p>
    <w:p>
      <w:pPr>
        <w:ind w:right="480" w:firstLine="405"/>
        <w:spacing w:after="0" w:line="279" w:lineRule="auto"/>
        <w:rPr>
          <w:sz w:val="20"/>
          <w:szCs w:val="20"/>
          <w:color w:val="auto"/>
        </w:rPr>
      </w:pPr>
      <w:r>
        <w:rPr>
          <w:rFonts w:ascii="Arial" w:cs="Arial" w:eastAsia="Arial" w:hAnsi="Arial"/>
          <w:sz w:val="17"/>
          <w:szCs w:val="17"/>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7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Under the Israeli Companies Law and our amended and restated articles of association, our shareholders are not permitted to take action via written consent in lieu of a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quorum required for our general meetings of shareholders consists of at least two shareholders present in person, 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ind w:right="220" w:firstLine="405"/>
        <w:spacing w:after="0" w:line="289"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described above under “Management—Board Practices— 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a compensation policy,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3" w:name="page104"/>
    <w:bookmarkEnd w:id="103"/>
    <w:p>
      <w:pPr>
        <w:ind w:firstLine="405"/>
        <w:spacing w:after="0" w:line="259" w:lineRule="auto"/>
        <w:rPr>
          <w:sz w:val="20"/>
          <w:szCs w:val="20"/>
          <w:color w:val="auto"/>
        </w:rPr>
      </w:pPr>
      <w:r>
        <w:rPr>
          <w:rFonts w:ascii="Arial" w:cs="Arial" w:eastAsia="Arial" w:hAnsi="Arial"/>
          <w:sz w:val="18"/>
          <w:szCs w:val="18"/>
          <w:color w:val="auto"/>
        </w:rPr>
        <w:t>Under our amended and restated articles of association, the alteration of the rights, privileges, preferences or obligations of any class of our share capital requires a decision of the Board of Directors, and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8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70"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appointment or removal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approval of transactions with office holders or interested or related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approval of a merger;</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approval of an arrangement or reorganization of the Company pursuant to Section 350 of the Israeli Companies Law;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170"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04" w:name="page105"/>
    <w:bookmarkEnd w:id="104"/>
    <w:p>
      <w:pPr>
        <w:ind w:left="420"/>
        <w:spacing w:after="0"/>
        <w:rPr>
          <w:sz w:val="20"/>
          <w:szCs w:val="20"/>
          <w:color w:val="auto"/>
        </w:rPr>
      </w:pPr>
      <w:r>
        <w:rPr>
          <w:rFonts w:ascii="Arial" w:cs="Arial" w:eastAsia="Arial" w:hAnsi="Arial"/>
          <w:sz w:val="18"/>
          <w:szCs w:val="18"/>
          <w:b w:val="1"/>
          <w:bCs w:val="1"/>
          <w:i w:val="1"/>
          <w:iCs w:val="1"/>
          <w:color w:val="auto"/>
        </w:rPr>
        <w:t>Modification of Class Rights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6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5" w:name="page106"/>
    <w:bookmarkEnd w:id="105"/>
    <w:p>
      <w:pPr>
        <w:ind w:right="20" w:firstLine="405"/>
        <w:spacing w:after="0" w:line="259" w:lineRule="auto"/>
        <w:rPr>
          <w:sz w:val="20"/>
          <w:szCs w:val="20"/>
          <w:color w:val="auto"/>
        </w:rPr>
      </w:pPr>
      <w:r>
        <w:rPr>
          <w:rFonts w:ascii="Arial" w:cs="Arial" w:eastAsia="Arial" w:hAnsi="Arial"/>
          <w:sz w:val="18"/>
          <w:szCs w:val="18"/>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8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65"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8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transfer agent in the United States is Continental Stock Transfer &amp; Trust Company.</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Our ordinary shares trade on the NASDAQ Capital Market. However, a liquid trading market for our ordinary shares may not be sustained after this offering. Future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w:t>
      </w:r>
    </w:p>
    <w:p>
      <w:pPr>
        <w:spacing w:after="0" w:line="147" w:lineRule="exact"/>
        <w:rPr>
          <w:sz w:val="20"/>
          <w:szCs w:val="20"/>
          <w:color w:val="auto"/>
        </w:rPr>
      </w:pPr>
    </w:p>
    <w:p>
      <w:pPr>
        <w:ind w:right="800" w:firstLine="405"/>
        <w:spacing w:after="0" w:line="342" w:lineRule="auto"/>
        <w:rPr>
          <w:sz w:val="20"/>
          <w:szCs w:val="20"/>
          <w:color w:val="auto"/>
        </w:rPr>
      </w:pPr>
      <w:r>
        <w:rPr>
          <w:rFonts w:ascii="Arial" w:cs="Arial" w:eastAsia="Arial" w:hAnsi="Arial"/>
          <w:sz w:val="16"/>
          <w:szCs w:val="16"/>
          <w:color w:val="auto"/>
        </w:rPr>
        <w:t>Upon the closing of this offering, we will have outstanding an aggregate of 13,128,001 ordinary shares, assuming (i) the representative of the underwriters does not exercise the over-allotment option, and (ii) no options or warrants outstanding as of October 1, 2013 are exercised.</w:t>
      </w:r>
    </w:p>
    <w:p>
      <w:pPr>
        <w:spacing w:after="0" w:line="124"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Of the shares to be outstanding immediately after the closing of this offering, we expect that 7,589,257 shares, including the 2,000,000 shares to be sold in this offering, at the public offering price of $16.50 per share, will be freely tradable without restriction under the Securities Act, unless owned by our "affiliates," as that term is defined in Rule 144 under the Securities Act. 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a substantial number of our outstanding shares is subject to the lock-up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Lock-up in connection with our initial public offering</w:t>
      </w:r>
    </w:p>
    <w:p>
      <w:pPr>
        <w:spacing w:after="0" w:line="22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all of our directors and executive officers and holders of all of our outstanding ordinary shares signed lock-up agreements pursuant to which, subject to certain exceptions, they agreed not to sell or otherwise dispose of their ordinary shares or any securities convertible into or exchangeable for ordinary shares for a period of at least 180 days after the date of the pricing of our initial public offering without the prior written consent of Aegis Capital Corp, which consent was granted in order for us to complete this offering.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8" w:right="27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b w:val="1"/>
          <w:bCs w:val="1"/>
          <w:i w:val="1"/>
          <w:iCs w:val="1"/>
          <w:color w:val="auto"/>
        </w:rPr>
        <w:t>Lock-up in connection with this offering</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and our directors and executive officers have signed lock-up agreements pursuant to which, subject to certain exceptions, they have agreed not to sell or otherwise dispose of their ordinary shares or any securities convertible into or exchangeable for ordinary shares for a period of 90 days after the date of this prospectus without the prior written consent of Stifel, Nicolaus &amp; Company, Incorporated.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In general, under Rule 144, any person who is not our affiliate (and has not been an affiliate of ours for the last three months) and has held their shares for at least six months, including the holding period of any prior owner other than one of our affiliates, may sell shares without restriction. In addition, under Rule 144, any person who is not an affiliate of ours (and has not been an affiliate of ours for the last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81"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 percent of the number of ordinary shares then outstanding, which will equal 131,280 shares; or</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on the NASDAQ Capital Market during the four calendar weeks preceding the filing of a notice on Form 144 with respect to the sale.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 affiliate acquires “restricted securities,” those securities will also be subject to holding period requirements.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Substantially all of our outstanding ordinary shares are either unrestricted or are eligible for sale under Rule 144. We cannot estimate the number of our ordinary shares that our existing stockholders will elect to sell.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a lock-up, in which case, immediately after the term of the lock-up expires.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companies, such as the Company, are generally subject to corporate tax at the rate of 25% (26.5% as of 2014).</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our Israeli individual shareholders on receipt of dividends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January 1, 2013, an additional income tax at a rate of 2% will be imposed on high earners whose annual income or gain exceeds NIS 811,560.</w:t>
      </w:r>
    </w:p>
    <w:p>
      <w:pPr>
        <w:spacing w:after="0" w:line="248"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71"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09" w:name="page110"/>
    <w:bookmarkEnd w:id="109"/>
    <w:p>
      <w:pPr>
        <w:ind w:left="420"/>
        <w:spacing w:after="0"/>
        <w:rPr>
          <w:sz w:val="20"/>
          <w:szCs w:val="20"/>
          <w:color w:val="auto"/>
        </w:rPr>
      </w:pPr>
      <w:r>
        <w:rPr>
          <w:rFonts w:ascii="Arial" w:cs="Arial" w:eastAsia="Arial" w:hAnsi="Arial"/>
          <w:sz w:val="18"/>
          <w:szCs w:val="18"/>
          <w:b w:val="1"/>
          <w:bCs w:val="1"/>
          <w:i w:val="1"/>
          <w:iCs w:val="1"/>
          <w:color w:val="auto"/>
        </w:rPr>
        <w:t>Taxation of Israeli Resident Corporations on Receipt of Dividends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Taxes Applicable to Israeli Resident Shareholders</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As of January 1, 2013, an additional tax at a rate of 2% will be imposed on high earners whose annual income or gains exceed NIS 811,560.</w:t>
      </w:r>
    </w:p>
    <w:p>
      <w:pPr>
        <w:spacing w:after="0" w:line="171"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Moreover, capital gains derived by a shareholder who is a dealer or trader in securities, or to whom such income is otherwise taxable as ordinary business income, are taxed in Israel at ordinary income rates (currently, 25% in 2013 and 26.5 as of 2014 for corporations and up to 50% for individuals).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Non-Israeli Shareholders on Receipt of Dividends</w:t>
      </w:r>
    </w:p>
    <w:p>
      <w:pPr>
        <w:spacing w:after="0" w:line="225"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66"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income taxes applicable to non-Israeli shareholders.</w:t>
      </w:r>
    </w:p>
    <w:p>
      <w:pPr>
        <w:spacing w:after="0" w:line="225"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Non-Israeli resident shareholders are generally exempt from Israeli capital gains tax on any gains derived from the sale, exchange or disposition of our ordinary shares, provided that such gains were not derived from a permanent establishment or business activity of such shareholders in Israel. However, non-Israeli corporations will not be entitled to the foregoing exemptions if an Israeli resident (i) has a controlling interest of more than 25% in such non-Israeli corporation or (ii) is the beneficiary of or is entitled to 25% or more of the revenues or profits of such non-Israeli corporation, whether directly or indirectly.</w:t>
      </w:r>
    </w:p>
    <w:p>
      <w:pPr>
        <w:spacing w:after="0" w:line="15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0" w:name="page111"/>
    <w:bookmarkEnd w:id="110"/>
    <w:p>
      <w:pPr>
        <w:jc w:val="both"/>
        <w:ind w:right="260" w:firstLine="405"/>
        <w:spacing w:after="0" w:line="264" w:lineRule="auto"/>
        <w:rPr>
          <w:sz w:val="20"/>
          <w:szCs w:val="20"/>
          <w:color w:val="auto"/>
        </w:rPr>
      </w:pPr>
      <w:r>
        <w:rPr>
          <w:rFonts w:ascii="Arial" w:cs="Arial" w:eastAsia="Arial" w:hAnsi="Arial"/>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Israeli Transfer Pricing Regulations</w:t>
      </w:r>
    </w:p>
    <w:p>
      <w:pPr>
        <w:spacing w:after="0" w:line="225"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On November 29, 2006, Income Tax Regulations (Determination of Market Terms), 2006, promulgated under Section 85A of the Tax Ordinance, came into force (the "TP Regulations"). Section 85A of the Tax Ordinance and the TP Regulations generally require that all cross-border transactions carried out between related parties will be conducted on an arm's length principle basis and will be taxed accordingly. We follow that rules where applicable.</w:t>
      </w:r>
    </w:p>
    <w:p>
      <w:pPr>
        <w:spacing w:after="0" w:line="143" w:lineRule="exact"/>
        <w:rPr>
          <w:sz w:val="20"/>
          <w:szCs w:val="20"/>
          <w:color w:val="auto"/>
        </w:rPr>
      </w:pPr>
    </w:p>
    <w:p>
      <w:pPr>
        <w:jc w:val="both"/>
        <w:ind w:right="220" w:firstLine="405"/>
        <w:spacing w:after="0" w:line="266" w:lineRule="auto"/>
        <w:rPr>
          <w:sz w:val="20"/>
          <w:szCs w:val="20"/>
          <w:color w:val="auto"/>
        </w:rPr>
      </w:pPr>
      <w:r>
        <w:rPr>
          <w:rFonts w:ascii="Arial" w:cs="Arial" w:eastAsia="Arial" w:hAnsi="Arial"/>
          <w:sz w:val="18"/>
          <w:szCs w:val="18"/>
          <w:b w:val="1"/>
          <w:bCs w:val="1"/>
          <w:color w:val="auto"/>
        </w:rPr>
        <w:t>EACH PROSPECTIVE INVESTOR SHOULD CONSULT ITS OWN TAX ADVISOR REGARDING THE PARTICULAR ISRAELI TAX CONSEQUENCES OF PURCHASING, HOLDING, AND DISPOSING OF OUR ORDINARY SHARES, INCLUDING THE CONSEQUENCES OF ANY PROPOSED CHANGE IN APPLICABLE LAWS.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FEDERAL INCOME TAX CONSEQUENCES</w:t>
      </w:r>
    </w:p>
    <w:p>
      <w:pPr>
        <w:spacing w:after="0" w:line="229"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6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11" w:name="page112"/>
    <w:bookmarkEnd w:id="111"/>
    <w:p>
      <w:pPr>
        <w:ind w:right="60" w:firstLine="405"/>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8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17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8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79"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2" w:name="page113"/>
    <w:bookmarkEnd w:id="112"/>
    <w:p>
      <w:pPr>
        <w:ind w:left="420"/>
        <w:spacing w:after="0"/>
        <w:rPr>
          <w:sz w:val="20"/>
          <w:szCs w:val="20"/>
          <w:color w:val="auto"/>
        </w:rPr>
      </w:pPr>
      <w:r>
        <w:rPr>
          <w:rFonts w:ascii="Arial" w:cs="Arial" w:eastAsia="Arial" w:hAnsi="Arial"/>
          <w:sz w:val="18"/>
          <w:szCs w:val="18"/>
          <w:b w:val="1"/>
          <w:bCs w:val="1"/>
          <w:i w:val="1"/>
          <w:iCs w:val="1"/>
          <w:color w:val="auto"/>
        </w:rPr>
        <w:t>Sale, exchange or other disposition of the ordinary shares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9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Passive foreign investment company consequences</w:t>
      </w:r>
    </w:p>
    <w:p>
      <w:pPr>
        <w:spacing w:after="0" w:line="225"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78"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Based on the nature of our business, the projected composition of our income and the projected composition and estimated fair market values of our assets, we can not rule out a PFIC designation.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8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If we are a PFIC in any taxable year during which a U.S. Holder owns ordinary shares, such U.S. Holder could be liable for additional taxes and interest charges upon (i) 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 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3" w:name="page114"/>
    <w:bookmarkEnd w:id="113"/>
    <w:p>
      <w:pPr>
        <w:ind w:firstLine="405"/>
        <w:spacing w:after="0" w:line="288" w:lineRule="auto"/>
        <w:rPr>
          <w:sz w:val="20"/>
          <w:szCs w:val="20"/>
          <w:color w:val="auto"/>
        </w:rPr>
      </w:pPr>
      <w:r>
        <w:rPr>
          <w:rFonts w:ascii="Arial" w:cs="Arial" w:eastAsia="Arial" w:hAnsi="Arial"/>
          <w:sz w:val="16"/>
          <w:szCs w:val="16"/>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6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17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8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U.S. Holder who is a shareholder of a PFIC must file an annual report containing certain information.</w:t>
      </w:r>
    </w:p>
    <w:p>
      <w:pPr>
        <w:spacing w:after="0" w:line="221"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Certain reporting requirements with respect to payments of Offer Price</w:t>
      </w:r>
    </w:p>
    <w:p>
      <w:pPr>
        <w:spacing w:after="0" w:line="2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4" w:name="page115"/>
    <w:bookmarkEnd w:id="114"/>
    <w:p>
      <w:pPr>
        <w:ind w:right="120" w:firstLine="405"/>
        <w:spacing w:after="0" w:line="277" w:lineRule="auto"/>
        <w:rPr>
          <w:sz w:val="20"/>
          <w:szCs w:val="20"/>
          <w:color w:val="auto"/>
        </w:rPr>
      </w:pPr>
      <w:r>
        <w:rPr>
          <w:rFonts w:ascii="Arial" w:cs="Arial" w:eastAsia="Arial" w:hAnsi="Arial"/>
          <w:sz w:val="18"/>
          <w:szCs w:val="18"/>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8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176"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Subject to the terms and conditions set forth in an underwriting agreement, each of the underwriters named below has severally agreed to purchase from us the aggregate number of ordinary shares set forth opposite their respective names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ind w:left="280"/>
              <w:spacing w:after="0"/>
              <w:rPr>
                <w:sz w:val="20"/>
                <w:szCs w:val="20"/>
                <w:color w:val="auto"/>
              </w:rPr>
            </w:pPr>
            <w:r>
              <w:rPr>
                <w:rFonts w:ascii="Arial" w:cs="Arial" w:eastAsia="Arial" w:hAnsi="Arial"/>
                <w:sz w:val="18"/>
                <w:szCs w:val="18"/>
                <w:b w:val="1"/>
                <w:bCs w:val="1"/>
                <w:color w:val="auto"/>
              </w:rPr>
              <w:t>Number</w:t>
            </w:r>
          </w:p>
        </w:tc>
      </w:tr>
      <w:tr>
        <w:trPr>
          <w:trHeight w:val="234"/>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1360" w:type="dxa"/>
            <w:vAlign w:val="bottom"/>
            <w:gridSpan w:val="3"/>
          </w:tcPr>
          <w:p>
            <w:pPr>
              <w:ind w:left="260"/>
              <w:spacing w:after="0"/>
              <w:rPr>
                <w:sz w:val="20"/>
                <w:szCs w:val="20"/>
                <w:color w:val="auto"/>
              </w:rPr>
            </w:pPr>
            <w:r>
              <w:rPr>
                <w:rFonts w:ascii="Arial" w:cs="Arial" w:eastAsia="Arial" w:hAnsi="Arial"/>
                <w:sz w:val="18"/>
                <w:szCs w:val="18"/>
                <w:b w:val="1"/>
                <w:bCs w:val="1"/>
                <w:color w:val="auto"/>
              </w:rPr>
              <w:t>of Shares</w:t>
            </w:r>
          </w:p>
        </w:tc>
      </w:tr>
      <w:tr>
        <w:trPr>
          <w:trHeight w:val="210"/>
        </w:trPr>
        <w:tc>
          <w:tcPr>
            <w:tcW w:w="98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Stifel, Nicolaus &amp; Company, Incorporated</w:t>
            </w:r>
          </w:p>
        </w:tc>
        <w:tc>
          <w:tcPr>
            <w:tcW w:w="2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880,000</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Aegis Capital Corp.</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720,000</w:t>
            </w:r>
          </w:p>
        </w:tc>
        <w:tc>
          <w:tcPr>
            <w:tcW w:w="80" w:type="dxa"/>
            <w:vAlign w:val="bottom"/>
          </w:tcPr>
          <w:p>
            <w:pPr>
              <w:spacing w:after="0"/>
              <w:rPr>
                <w:sz w:val="18"/>
                <w:szCs w:val="18"/>
                <w:color w:val="auto"/>
              </w:rPr>
            </w:pPr>
          </w:p>
        </w:tc>
      </w:tr>
      <w:tr>
        <w:trPr>
          <w:trHeight w:val="230"/>
        </w:trPr>
        <w:tc>
          <w:tcPr>
            <w:tcW w:w="10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JMP Securities LLC</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FFCC"/>
          </w:tcPr>
          <w:p>
            <w:pPr>
              <w:spacing w:after="0"/>
              <w:rPr>
                <w:sz w:val="19"/>
                <w:szCs w:val="19"/>
                <w:color w:val="auto"/>
              </w:rPr>
            </w:pPr>
          </w:p>
        </w:tc>
      </w:tr>
      <w:tr>
        <w:trPr>
          <w:trHeight w:val="223"/>
        </w:trPr>
        <w:tc>
          <w:tcPr>
            <w:tcW w:w="10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various conditions, including approval of legal matters by counsel. The nature of the underwriters’ obligations commits them to purchase and pay for all of the ordinary shares listed above if any are purchased. The underwriters reserve the right to withdraw, cancel or modify offers to the public and to reject orders in whole or in part.</w:t>
      </w:r>
    </w:p>
    <w:p>
      <w:pPr>
        <w:spacing w:after="0" w:line="16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underwriting agreement provides that we will indemnify the underwriters against liabilities specified in the underwriting agreement under the Securities Act, or will contribute to payments that the underwriters may be required to make relating to these liabilities.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underwriters expect to deliver the ordinary shares to purchasers on or about October 30,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granted a 30-day over-allotment option to the underwriters to purchase up to a total of additional ordinary shares from us, at the public offering price, less the underwriting discounts and commissions payable by us, as set forth on the cover page of this prospectus. If the underwriters exercise this option in whole or in part, then each of the underwriters will be separately committed, subject to the conditions described in the underwriting agreement, to purchase the additional ordinary shares in proportion to their respective commitments set forth in the table above. We will pay the expenses associated with the exercise of the over-allotment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We and the holders (including all of our directors and executive officers) of 10% or more of our ordinary shares outstanding prior to this offering have agreed that, without the prior written consent of Stifel, Nicolaus &amp; Company, Incorporated, we and they will not directly or indirectly: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5" w:name="page116"/>
    <w:bookmarkEnd w:id="115"/>
    <w:p>
      <w:pPr>
        <w:ind w:left="1300" w:right="60" w:hanging="320"/>
        <w:spacing w:after="0" w:line="269" w:lineRule="auto"/>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offer, sell, contract to sell (including any short sale), pledge, hypothecate, establish an open “put equivalent position” within the meaning of Rule 16a-1(h) under the Exchange Act, grant any option, right or warrant for the sale of, purchase any option or contract to sell, sell any option or contract to purchase, or otherwise encumber, dispose of or transfer, or grant any rights with respect to, directly or indirectly, any ordinary shares or securities convertible into or exchangeable or exercisable for any ordinary shares;</w:t>
      </w:r>
    </w:p>
    <w:p>
      <w:pPr>
        <w:spacing w:after="0" w:line="2" w:lineRule="exact"/>
        <w:rPr>
          <w:rFonts w:ascii="Arial" w:cs="Arial" w:eastAsia="Arial" w:hAnsi="Arial"/>
          <w:sz w:val="17"/>
          <w:szCs w:val="17"/>
          <w:color w:val="auto"/>
        </w:rPr>
      </w:pPr>
    </w:p>
    <w:p>
      <w:pPr>
        <w:ind w:left="1300" w:right="60" w:hanging="320"/>
        <w:spacing w:after="0" w:line="250"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enter into a transaction which would have the same effect, or enter into any swap, hedge or other arrangement that transfers, in whole or in part, any of the economic consequences of ownership of the ordinary shares, whether any such transaction is to be settled by delivery of the ordinary shares or other securities, in cash or otherwise; or</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a period of 90 days after the date of this prospectus. However, in the case of our officers, directors and stockholders, these lock-up restrictions will not apply to:</w:t>
      </w:r>
    </w:p>
    <w:p>
      <w:pPr>
        <w:spacing w:after="0" w:line="170" w:lineRule="exact"/>
        <w:rPr>
          <w:sz w:val="20"/>
          <w:szCs w:val="20"/>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bona fide gifts made by the holder;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 family member or a trust for the benefit of the undersigned or a family member;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 beneficiary pursuant to a will or other testamentary document or applicable laws of descent;</w:t>
      </w:r>
    </w:p>
    <w:p>
      <w:pPr>
        <w:spacing w:after="0" w:line="9" w:lineRule="exact"/>
        <w:rPr>
          <w:rFonts w:ascii="Arial" w:cs="Arial" w:eastAsia="Arial" w:hAnsi="Arial"/>
          <w:sz w:val="18"/>
          <w:szCs w:val="18"/>
          <w:color w:val="auto"/>
        </w:rPr>
      </w:pPr>
    </w:p>
    <w:p>
      <w:pPr>
        <w:ind w:left="1300" w:right="260" w:hanging="320"/>
        <w:spacing w:after="0" w:line="261"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any corporation, partnership, limited liability company or other entity all of the beneficial ownership interests of which are held by the holder or the immediate family of the holder.</w:t>
      </w:r>
    </w:p>
    <w:p>
      <w:pPr>
        <w:spacing w:after="0" w:line="184"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Stifel, Nicolaus &amp; Company, Incorporated, in its sole discretion, may release the ordinary shares and other securities subject to the lock-up agreements described above in whole or in part at any time with or without notice. When determining whether or not to release ordinary shares and other securities from lock-up agreements, Stifel, Nicolaus &amp; Company, Incorporated will consider, among other factors, the holder’s reasons for requesting the release, the number of ordinary shares and other securities for which the release is being requested and market conditions at the time.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underwriters propose to offer the ordinary shares directly to the public at the public offering price set forth on the cover page of this prospectus, and at this price less a concession not in excess of $0.594 per ordinary share to other dealers specified in a master agreement among underwriters who are members of the Financial Industry Regulatory Authority, Inc. After this offering, the offering price, concessions, and other selling terms may be changed by the underwriters. Our ordinary shares are offered subject to receipt and acceptance by the underwriters and to certain other conditions, including the right to reject orders in whole or in part.</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compensation to be paid to the underwriters by us and the proceeds, before expenses, payable to 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Per</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1020"/>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Without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With</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Share</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Over-Allotment</w:t>
            </w:r>
          </w:p>
        </w:tc>
        <w:tc>
          <w:tcPr>
            <w:tcW w:w="16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Over-Allotment</w:t>
            </w:r>
          </w:p>
        </w:tc>
        <w:tc>
          <w:tcPr>
            <w:tcW w:w="0" w:type="dxa"/>
            <w:vAlign w:val="bottom"/>
          </w:tcPr>
          <w:p>
            <w:pPr>
              <w:spacing w:after="0"/>
              <w:rPr>
                <w:sz w:val="1"/>
                <w:szCs w:val="1"/>
                <w:color w:val="auto"/>
              </w:rPr>
            </w:pPr>
          </w:p>
        </w:tc>
      </w:tr>
      <w:tr>
        <w:trPr>
          <w:trHeight w:val="210"/>
        </w:trPr>
        <w:tc>
          <w:tcPr>
            <w:tcW w:w="4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Public offering price</w:t>
            </w:r>
          </w:p>
        </w:tc>
        <w:tc>
          <w:tcPr>
            <w:tcW w:w="192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4"/>
              </w:rPr>
              <w:t>16.50</w:t>
            </w:r>
          </w:p>
        </w:tc>
        <w:tc>
          <w:tcPr>
            <w:tcW w:w="3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33,000,000</w:t>
            </w: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37,950,000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8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0.99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1,980,000</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2,277,000</w:t>
            </w:r>
          </w:p>
        </w:tc>
        <w:tc>
          <w:tcPr>
            <w:tcW w:w="0" w:type="dxa"/>
            <w:vAlign w:val="bottom"/>
          </w:tcPr>
          <w:p>
            <w:pPr>
              <w:spacing w:after="0"/>
              <w:rPr>
                <w:sz w:val="1"/>
                <w:szCs w:val="1"/>
                <w:color w:val="auto"/>
              </w:rPr>
            </w:pPr>
          </w:p>
        </w:tc>
      </w:tr>
      <w:tr>
        <w:trPr>
          <w:trHeight w:val="216"/>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Proceeds, before expenses, to us</w:t>
            </w:r>
          </w:p>
        </w:tc>
        <w:tc>
          <w:tcPr>
            <w:tcW w:w="2800" w:type="dxa"/>
            <w:vAlign w:val="bottom"/>
            <w:gridSpan w:val="2"/>
            <w:shd w:val="clear" w:color="auto" w:fill="CCFFCC"/>
          </w:tcPr>
          <w:p>
            <w:pPr>
              <w:jc w:val="right"/>
              <w:ind w:right="6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w w:val="84"/>
              </w:rPr>
              <w:t>15.51</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31,020,000</w:t>
            </w:r>
          </w:p>
        </w:tc>
        <w:tc>
          <w:tcPr>
            <w:tcW w:w="4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35,673,000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terms of the underwriting agreement, we have also agreed to reimburse the underwriters for certain expenses, including reasonable fees and expenses of counsel, relating to certain aspects of this offering that will not exceed $20,000.</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estimate that the total expenses of the offering payable by us, including registration, filing and listing fees, printing fees and legal and accounting expenses, but excluding underwriting discounts and commissions, will be approximately $0.3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Underwriters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will indemnify the underwriters against some civil liabilities, including liabilities under the Securities Act. If we are unable to provide this indemnification, we will contribute to payments the underwriters may be required to make in respect of those liabilities.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are listed on The NASDAQ Capital Market under the symbol “ADHD.”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Sales, Stabilizing Transactions and Penalty Bids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order to facilitate this offering, persons participating in this offering may engage in transactions that stabilize, maintain, or otherwise affect the price of ordinary shares during and after this offering. Specifically, the underwriters may engage in the following activities in accordance with the rules of the Securities and Exchange Commission.</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Short sales. </w:t>
      </w:r>
      <w:r>
        <w:rPr>
          <w:rFonts w:ascii="Arial" w:cs="Arial" w:eastAsia="Arial" w:hAnsi="Arial"/>
          <w:sz w:val="16"/>
          <w:szCs w:val="16"/>
          <w:color w:val="auto"/>
        </w:rPr>
        <w:t>Short sales involve the sales by the underwriters of a greater number of shares than they are required to purchase in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Covered short sales are short sales made in an amount not greater than the underwriters’ over-allotment option to purchase additional shares from us in this offering. The underwriters may close out any covered short position by either exercising their over-allotment option to purchase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short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Stabilizing transactions. </w:t>
      </w:r>
      <w:r>
        <w:rPr>
          <w:rFonts w:ascii="Arial" w:cs="Arial" w:eastAsia="Arial" w:hAnsi="Arial"/>
          <w:sz w:val="18"/>
          <w:szCs w:val="18"/>
          <w:color w:val="auto"/>
        </w:rPr>
        <w:t>The underwriters may make bids for or purchases of the shares for the purpose of pegging, fixing, or maintaining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so long as stabilizing bids do not exceed a specified maximum.</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Penalty bids. </w:t>
      </w:r>
      <w:r>
        <w:rPr>
          <w:rFonts w:ascii="Arial" w:cs="Arial" w:eastAsia="Arial" w:hAnsi="Arial"/>
          <w:sz w:val="18"/>
          <w:szCs w:val="18"/>
          <w:color w:val="auto"/>
        </w:rPr>
        <w:t>If the underwriters purchase shares in the open market in a stabilizing transaction or syndicate covering transaction, they may reclaim a</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concession from the underwriters and selling group members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re-sales of the shares.</w:t>
      </w:r>
    </w:p>
    <w:p>
      <w:pPr>
        <w:spacing w:after="0" w:line="187"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transactions above may occur on The NASDAQ Capital Market or otherwise. Neither we nor the underwriters make any representation or prediction as to the effect that the transactions described above may have on the price of the shares. If these transactions are commenced, they may be discontinued without notice at any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Sales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underwriters have informed us that they do not expect to confirm sales of ordinary shares offered by this prospectus to accounts over which they exercise discretionary authority without obtaining the specific approval of the account 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participating in this offering, or by their affiliates. Other than the prospectus in electronic format, the information on any underwriter’s web site and any information contained in any other web 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affiliates have in the past provided, and may in the future from time to time provide, investment banking and other financing and banking services to us, for which they have in the past received, and may in the future receive, customary fees and reimbursement for their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right="100" w:firstLine="545"/>
        <w:spacing w:after="0" w:line="286"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may not be made to the public in that relevant member state other than:</w:t>
      </w:r>
    </w:p>
    <w:p>
      <w:pPr>
        <w:spacing w:after="0" w:line="166" w:lineRule="exact"/>
        <w:rPr>
          <w:sz w:val="20"/>
          <w:szCs w:val="20"/>
          <w:color w:val="auto"/>
        </w:rPr>
      </w:pPr>
    </w:p>
    <w:p>
      <w:pPr>
        <w:ind w:left="880" w:right="80" w:hanging="332"/>
        <w:spacing w:after="0" w:line="258"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w:t>
      </w:r>
    </w:p>
    <w:p>
      <w:pPr>
        <w:spacing w:after="0" w:line="1" w:lineRule="exact"/>
        <w:rPr>
          <w:rFonts w:ascii="Arial" w:cs="Arial" w:eastAsia="Arial" w:hAnsi="Arial"/>
          <w:sz w:val="18"/>
          <w:szCs w:val="18"/>
          <w:color w:val="auto"/>
        </w:rPr>
      </w:pPr>
    </w:p>
    <w:p>
      <w:pPr>
        <w:ind w:left="880" w:right="60" w:hanging="332"/>
        <w:spacing w:after="0" w:line="265" w:lineRule="auto"/>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w:t>
      </w:r>
    </w:p>
    <w:p>
      <w:pPr>
        <w:ind w:left="880" w:right="400" w:hanging="332"/>
        <w:spacing w:after="0" w:line="250"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or</w:t>
      </w:r>
    </w:p>
    <w:p>
      <w:pPr>
        <w:ind w:left="880" w:hanging="332"/>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of a prospectus pursuant to Article 3 of the Prospectus Directive,</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 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58"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(Qualified Investors)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prospectus has not been prepared in the context of a public offering of financial securities in France within the meaning of Article L.411-1 of the French Code Monétaire et Financier and Title I of Book II of the Reglement Général of the Autorité des marchés financiers (the “AMF”) and therefore has not been and will not be filed with the AMF for prior approval or submitted for clearance to the AMF. Consequently, our ordinary shares may not be, directly or indirectly, offered or sold to the public in France and offers and sales of our ordinary shares may only be made in France to qualified investors (investisseurs qualifiés) acting for their own, as defined in and in accordance with Articles L.411-2 and D.411-1 to D.411-4, D.734-1, D.744-1, D.754-1 and D.764-1 of the French Code Monétaire et Financier. Neither this prospectus nor any other offering material may be released, issued or distributed to the public in France or used in connection with any offer for subscription on sale of our ordinary shares to the public in France. The subsequent direct or indirect retransfer of our ordinary shares to the public in France may only be made in compliance with Articles L.411-1, L.411-2, L.412-1 and L.621-8 through L.621-8-3 of the French Code Monétaire et Financier.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Notice to Residents of Germany</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Each person who is in possession of this prospectus is aware of the fact that no German securities prospectus (wertpapierprospekt) within the meaning of the securities prospectus act (wertpapier-prospektgesetz, the “</w:t>
      </w:r>
      <w:r>
        <w:rPr>
          <w:rFonts w:ascii="Arial" w:cs="Arial" w:eastAsia="Arial" w:hAnsi="Arial"/>
          <w:sz w:val="18"/>
          <w:szCs w:val="18"/>
          <w:i w:val="1"/>
          <w:iCs w:val="1"/>
          <w:color w:val="auto"/>
        </w:rPr>
        <w:t>act</w:t>
      </w:r>
      <w:r>
        <w:rPr>
          <w:rFonts w:ascii="Arial" w:cs="Arial" w:eastAsia="Arial" w:hAnsi="Arial"/>
          <w:sz w:val="18"/>
          <w:szCs w:val="18"/>
          <w:color w:val="auto"/>
        </w:rPr>
        <w:t>”) of the federal republic of Germany has been or will be published with respect to our ordinary shares. In particular, each underwriter has represented that it has not engaged and has agreed that it will not engage in a public offering in the federal republic of Germany (ôffertliches angebot) within the meaning of the act with respect to any of our ordinary shares otherwise than in accordance with the act and all other applicable legal and regulatory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Switzerland</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securities which are the subject of the offering contemplated by this prospectus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None of this prospectus or any other offering or marketing material relating to the securities or the offering may be publicly distributed or otherwise made publicly available in Switzerland.</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None of this prospectus 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the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the Netherlands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offering of our ordinary shares is not a public offering in The Netherlands. Our ordinary shares may not be offered or sold to individuals or legal entities in The Netherlands unless (i) a prospectus relating to the offer is available to the public, which has been approved by the Dutch Authority for the Financial Markets (Autoriteit Financiële Markten) or by the competent supervisory authority of another state that is a member of the European Union or party to the Agreement on the European Economic Area, as amended or (ii) an exception or exemption applies to the offer pursuant to Article 5:3 of The Netherlands Financial Supervision Act (Wet op het financieel toezicht) or Article 53 paragraph 2 or 3 of the Exemption Regulation of the Financial Supervision Act, for instance due to the offer targeting exclusively “qualified investors” (gekwalificeerde beleggers) within the meaning of Article 1:1 of The Netherlands Financial Supervision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Japan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underwriters will not offer or sell any of our ordinary shares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Financial Instruments and Exchange Law of Japan and any other applicable laws and regulations of Japan. For purposes of this paragraph, “</w:t>
      </w:r>
      <w:r>
        <w:rPr>
          <w:rFonts w:ascii="Arial" w:cs="Arial" w:eastAsia="Arial" w:hAnsi="Arial"/>
          <w:sz w:val="18"/>
          <w:szCs w:val="18"/>
          <w:i w:val="1"/>
          <w:iCs w:val="1"/>
          <w:color w:val="auto"/>
        </w:rPr>
        <w:t>Japanese person</w:t>
      </w:r>
      <w:r>
        <w:rPr>
          <w:rFonts w:ascii="Arial" w:cs="Arial" w:eastAsia="Arial" w:hAnsi="Arial"/>
          <w:sz w:val="18"/>
          <w:szCs w:val="18"/>
          <w:color w:val="auto"/>
        </w:rPr>
        <w:t>” means any person resident in Japan, including any corporation or other entity organized under the laws of Japan.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Hong Kong</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underwriters and each of their affiliates have not (1) offered or sold, and will not offer or sell, in Hong Kong, by means of any document, any of our ordinary shares other than (a) to “professional investors” within the meaning of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and (2) issued or had in its possession for the purposes of issue, and will not issue or have in its possession for the purposes of issue, whether in Hong Kong or elsewhere any advertisement, invitation or document relating to our ordinary shares which is directed at, or the contents of which are likely to be accessed or read by, the public in Hong Kong (except if permitted to do so under the securities laws of Hong Kong) other than with respect to our ordinary shares which are or are intended to be disposed of only to persons outside Hong Kong or only to “professional investors” within the meaning of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Notice to Residents of Singapore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document has not been registered as a prospectus with the Monetary Authority of Singapore. Accordingly, this document and any other document or material in connection with the offer or sale, or invitation for subscription or purchase, of our ordinary shares may not be circulated or distributed, nor may our ordinary shares be offered or sold, or be made the subject of an invitation for subscription or purchase, whether directly or indirectly, to persons in Singapore other than (i) to an institutional investor under Section 274 of the Securities and Futures Act, Chapter 289 of Singapore (the “Securities and Futures Act”), (ii) to a relevant person, or any person pursuant to Section 275(1A), and in accordance with the conditions, specified in Section 275 of the Securities and Futures Act or (iii) otherwise pursuant to, and in accordance with the conditions of, any other applicable provision of the Securities and Futures Act.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our ordinary shares are subscribed or purchased under Section 275 by a relevant person, which is:</w:t>
      </w:r>
    </w:p>
    <w:p>
      <w:pPr>
        <w:spacing w:after="0" w:line="225" w:lineRule="exact"/>
        <w:rPr>
          <w:sz w:val="20"/>
          <w:szCs w:val="20"/>
          <w:color w:val="auto"/>
        </w:rPr>
      </w:pPr>
    </w:p>
    <w:p>
      <w:pPr>
        <w:ind w:right="80" w:firstLine="656"/>
        <w:spacing w:after="0" w:line="277" w:lineRule="auto"/>
        <w:tabs>
          <w:tab w:leader="none" w:pos="12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investor,</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in that trust shall not be transferable for six months after that corporation or that trust has acquired our ordinary shares under Section 275 except:</w:t>
      </w:r>
    </w:p>
    <w:p>
      <w:pPr>
        <w:spacing w:after="0" w:line="170" w:lineRule="exact"/>
        <w:rPr>
          <w:sz w:val="20"/>
          <w:szCs w:val="20"/>
          <w:color w:val="auto"/>
        </w:rPr>
      </w:pPr>
    </w:p>
    <w:p>
      <w:pPr>
        <w:ind w:right="40" w:firstLine="656"/>
        <w:spacing w:after="0" w:line="264" w:lineRule="auto"/>
        <w:tabs>
          <w:tab w:leader="none" w:pos="13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pursuant to an offer that is made on terms that such rights or interest are acquired at a consideration of not less than $200,000 (or its equivalent in a foreign currency) for each transaction, whether such amount is to be paid for in cash or by exchange of securities or other assets;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by operation of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State of Israel, the securities offered hereby may not be offered to any person or entity other than the following:</w:t>
      </w:r>
    </w:p>
    <w:p>
      <w:pPr>
        <w:spacing w:after="0" w:line="225" w:lineRule="exact"/>
        <w:rPr>
          <w:sz w:val="20"/>
          <w:szCs w:val="20"/>
          <w:color w:val="auto"/>
        </w:rPr>
      </w:pPr>
    </w:p>
    <w:p>
      <w:pPr>
        <w:ind w:left="660" w:right="88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provident fund as defined in the Control of the Financial Services (Provident Funds) Law 5765-2005, or a management company of such a fund;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170"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20" w:name="page121"/>
    <w:bookmarkEnd w:id="120"/>
    <w:p>
      <w:pPr>
        <w:ind w:left="660" w:right="24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investment advisor or investment distributer, as such term is defined in Section 7(c) of the Law for the Regulation of Investment Advisors and Portfolio Managers, 5755-1995, acting on its own account;</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member of the Tel Aviv Stock Exchange, acting on its own account or for the account of investors of the type listed in Section 15A(b) of the Securities Law, 1968;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underwriter fulfilling the conditions of Section 56(c) of the Securities Law, 5728-1968, acting on its own account;</w:t>
      </w:r>
    </w:p>
    <w:p>
      <w:pPr>
        <w:spacing w:after="0" w:line="225"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entity fully owned by investors of the type listed in Section 15A(b) of the Securities Law, 1968;</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entity, other than an entity formed for the purpose of purchasing securities in this offering, in which the shareholders’ equity is in excess of NIS 50 million; and</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individual fulfilling the conditions of Section 9 to the supplement to the Law for the Regulation of Investment Advisors and Portfolio Managers, 5755-1995, acting on its own account (for this matter, Section 9 to the supplement shall be referred to as “as an investor for the meaning of Section15A(b)(1) of the Securities Law 1968” instead of “as an eligible client for the meaning of this law”).</w:t>
      </w:r>
    </w:p>
    <w:p>
      <w:pPr>
        <w:spacing w:after="0" w:line="181"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We estimate that the total expenses of this offering payable by us, excluding the underwriting discounts and commissions and expenses, will be approximately $280,000 as follows: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121" w:name="page122"/>
    <w:bookmarkEnd w:id="121"/>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SEC filing fee</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4,887.96</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FINRA filing fee</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6,192.50</w:t>
            </w: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Printer fees and expenses</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32,000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Legal fees and expenses</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Data room and diligence expenses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Accounting fees and expenses</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Miscellaneous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24,419.54</w:t>
            </w: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280,000</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401,070 ordinary shares and options to purchase 58,700 of our ordinary shares. Certain legal matters related to the offering will be passed upon for the underwriters by Troutman Sanders LLP, New York, New York and Yigal Arnon &amp; Co., Tel-Aviv, Israel.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Such financial statements are included herein in reliance upon such report given on the authority of such firm as experts in accounting and auditing. The address of Kost Forer Gabbay &amp; Kasierer is 3 Aminadav St., Tel-Aviv, Israel 67067.</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a substantial majority of whom reside outside of the United States, may be difficult to obtain within the United States. Furthermore, because substantially all of our assets and a substantial majority of our directors and officers are located outside of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96" w:right="259" w:bottom="1440" w:gutter="0" w:footer="0" w:header="0"/>
        </w:sectPr>
      </w:pPr>
    </w:p>
    <w:bookmarkStart w:id="122" w:name="page123"/>
    <w:bookmarkEnd w:id="122"/>
    <w:p>
      <w:pPr>
        <w:ind w:right="40" w:firstLine="405"/>
        <w:spacing w:after="0" w:line="264" w:lineRule="auto"/>
        <w:rPr>
          <w:sz w:val="20"/>
          <w:szCs w:val="20"/>
          <w:color w:val="auto"/>
        </w:rPr>
      </w:pPr>
      <w:r>
        <w:rPr>
          <w:rFonts w:ascii="Arial" w:cs="Arial" w:eastAsia="Arial" w:hAnsi="Arial"/>
          <w:sz w:val="18"/>
          <w:szCs w:val="18"/>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81" w:lineRule="exact"/>
        <w:rPr>
          <w:sz w:val="20"/>
          <w:szCs w:val="20"/>
          <w:color w:val="auto"/>
        </w:rPr>
      </w:pPr>
    </w:p>
    <w:p>
      <w:pPr>
        <w:ind w:left="660" w:right="8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judgment is final and is not subject to any right of appeal;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48" w:lineRule="exact"/>
        <w:rPr>
          <w:rFonts w:ascii="Arial" w:cs="Arial" w:eastAsia="Arial" w:hAnsi="Arial"/>
          <w:sz w:val="16"/>
          <w:szCs w:val="16"/>
          <w:color w:val="auto"/>
        </w:rPr>
      </w:pPr>
    </w:p>
    <w:p>
      <w:pPr>
        <w:jc w:val="both"/>
        <w:ind w:left="660" w:right="500" w:hanging="328"/>
        <w:spacing w:after="0" w:line="34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judgment was not obtained by fraud and does not conflict with any other valid judgments in the same matter between the same parties;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judgment is enforceable according to the law of the foreign state in which the relief was granted.</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93"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23" w:name="page124"/>
    <w:bookmarkEnd w:id="123"/>
    <w:p>
      <w:pPr>
        <w:ind w:firstLine="405"/>
        <w:spacing w:after="0" w:line="290" w:lineRule="auto"/>
        <w:rPr>
          <w:sz w:val="20"/>
          <w:szCs w:val="20"/>
          <w:color w:val="auto"/>
        </w:rPr>
      </w:pPr>
      <w:r>
        <w:rPr>
          <w:rFonts w:ascii="Arial" w:cs="Arial" w:eastAsia="Arial" w:hAnsi="Arial"/>
          <w:sz w:val="16"/>
          <w:szCs w:val="16"/>
          <w:color w:val="auto"/>
        </w:rPr>
        <w:t>We are subject to the information reporting requirements of the Exchange Act that are applicable to foreign private issuers, and under those requirements are filing reports with the SEC. Those other reports or other information may be inspected without charge at the locations described above.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66" w:lineRule="exact"/>
        <w:rPr>
          <w:sz w:val="20"/>
          <w:szCs w:val="20"/>
          <w:color w:val="auto"/>
        </w:rPr>
      </w:pPr>
    </w:p>
    <w:p>
      <w:pPr>
        <w:ind w:right="660" w:firstLine="405"/>
        <w:spacing w:after="0" w:line="308" w:lineRule="auto"/>
        <w:rPr>
          <w:sz w:val="20"/>
          <w:szCs w:val="20"/>
          <w:color w:val="auto"/>
        </w:rPr>
      </w:pPr>
      <w:r>
        <w:rPr>
          <w:rFonts w:ascii="Arial" w:cs="Arial" w:eastAsia="Arial" w:hAnsi="Arial"/>
          <w:sz w:val="17"/>
          <w:szCs w:val="17"/>
          <w:color w:val="auto"/>
        </w:rPr>
        <w:t>We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0" w:type="dxa"/>
            <w:vAlign w:val="bottom"/>
          </w:tcPr>
          <w:p>
            <w:pPr>
              <w:jc w:val="center"/>
              <w:ind w:left="1490"/>
              <w:spacing w:after="0"/>
              <w:rPr>
                <w:sz w:val="20"/>
                <w:szCs w:val="20"/>
                <w:color w:val="auto"/>
              </w:rPr>
            </w:pPr>
            <w:r>
              <w:rPr>
                <w:rFonts w:ascii="Arial" w:cs="Arial" w:eastAsia="Arial" w:hAnsi="Arial"/>
                <w:sz w:val="18"/>
                <w:szCs w:val="18"/>
                <w:b w:val="1"/>
                <w:bCs w:val="1"/>
                <w:color w:val="auto"/>
              </w:rPr>
              <w:t>FINANCIAL STATEMENTS</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0" w:type="dxa"/>
            <w:vAlign w:val="bottom"/>
          </w:tcPr>
          <w:p>
            <w:pPr>
              <w:jc w:val="center"/>
              <w:ind w:left="1510"/>
              <w:spacing w:after="0"/>
              <w:rPr>
                <w:sz w:val="20"/>
                <w:szCs w:val="20"/>
                <w:color w:val="auto"/>
              </w:rPr>
            </w:pPr>
            <w:r>
              <w:rPr>
                <w:rFonts w:ascii="Arial" w:cs="Arial" w:eastAsia="Arial" w:hAnsi="Arial"/>
                <w:sz w:val="18"/>
                <w:szCs w:val="18"/>
                <w:b w:val="1"/>
                <w:bCs w:val="1"/>
                <w:color w:val="auto"/>
                <w:w w:val="95"/>
              </w:rPr>
              <w:t>AS OF DECEMBER 31, 2012</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U.S. DOLLARS IN THOUSANDS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0" w:type="dxa"/>
            <w:vAlign w:val="bottom"/>
          </w:tcPr>
          <w:p>
            <w:pPr>
              <w:jc w:val="center"/>
              <w:ind w:left="1490"/>
              <w:spacing w:after="0"/>
              <w:rPr>
                <w:sz w:val="20"/>
                <w:szCs w:val="20"/>
                <w:color w:val="auto"/>
              </w:rPr>
            </w:pPr>
            <w:r>
              <w:rPr>
                <w:rFonts w:ascii="Arial" w:cs="Arial" w:eastAsia="Arial" w:hAnsi="Arial"/>
                <w:sz w:val="18"/>
                <w:szCs w:val="18"/>
                <w:b w:val="1"/>
                <w:bCs w:val="1"/>
                <w:color w:val="auto"/>
              </w:rPr>
              <w:t>INDEX</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Sheets</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7"/>
              </w:rPr>
              <w:t>F-3 - 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Changes in Shareholders' Equity (Deficiency)</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Cash Flows</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Notes to Financial Statements</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4"/>
              </w:rPr>
              <w:t>F-8 - F-24</w:t>
            </w:r>
          </w:p>
        </w:tc>
        <w:tc>
          <w:tcPr>
            <w:tcW w:w="0" w:type="dxa"/>
            <w:vAlign w:val="bottom"/>
          </w:tcPr>
          <w:p>
            <w:pPr>
              <w:spacing w:after="0"/>
              <w:rPr>
                <w:sz w:val="1"/>
                <w:szCs w:val="1"/>
                <w:color w:val="auto"/>
              </w:rPr>
            </w:pPr>
          </w:p>
        </w:tc>
      </w:tr>
      <w:tr>
        <w:trPr>
          <w:trHeight w:val="432"/>
        </w:trPr>
        <w:tc>
          <w:tcPr>
            <w:tcW w:w="9820" w:type="dxa"/>
            <w:vAlign w:val="bottom"/>
            <w:gridSpan w:val="2"/>
          </w:tcPr>
          <w:p>
            <w:pPr>
              <w:jc w:val="center"/>
              <w:ind w:left="1510"/>
              <w:spacing w:after="0"/>
              <w:rPr>
                <w:sz w:val="20"/>
                <w:szCs w:val="20"/>
                <w:color w:val="auto"/>
              </w:rPr>
            </w:pPr>
            <w:r>
              <w:rPr>
                <w:rFonts w:ascii="Arial" w:cs="Arial" w:eastAsia="Arial" w:hAnsi="Arial"/>
                <w:sz w:val="18"/>
                <w:szCs w:val="18"/>
                <w:color w:val="auto"/>
                <w:w w:val="95"/>
              </w:rPr>
              <w:t>- - - - - - - - - - - - - -</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800" w:type="dxa"/>
            <w:vAlign w:val="bottom"/>
            <w:tcBorders>
              <w:bottom w:val="single" w:sz="8" w:color="auto"/>
            </w:tcBorders>
          </w:tcPr>
          <w:p>
            <w:pPr>
              <w:jc w:val="center"/>
              <w:ind w:left="1490"/>
              <w:spacing w:after="0"/>
              <w:rPr>
                <w:sz w:val="20"/>
                <w:szCs w:val="20"/>
                <w:color w:val="auto"/>
              </w:rPr>
            </w:pPr>
            <w:r>
              <w:rPr>
                <w:rFonts w:ascii="Arial" w:cs="Arial" w:eastAsia="Arial" w:hAnsi="Arial"/>
                <w:sz w:val="18"/>
                <w:szCs w:val="18"/>
                <w:color w:val="auto"/>
                <w:w w:val="96"/>
              </w:rPr>
              <w:t>F-1</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5" w:name="page126"/>
    <w:bookmarkEnd w:id="1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857885" cy="9861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857885" cy="986155"/>
                    </a:xfrm>
                    <a:prstGeom prst="rect">
                      <a:avLst/>
                    </a:prstGeom>
                    <a:noFill/>
                  </pic:spPr>
                </pic:pic>
              </a:graphicData>
            </a:graphic>
          </wp:anchor>
        </w:drawing>
      </w:r>
    </w:p>
    <w:tbl>
      <w:tblPr>
        <w:tblLayout w:type="fixed"/>
        <w:tblInd w:w="6160" w:type="dxa"/>
        <w:tblCellMar>
          <w:top w:w="0" w:type="dxa"/>
          <w:left w:w="0" w:type="dxa"/>
          <w:bottom w:w="0" w:type="dxa"/>
          <w:right w:w="0" w:type="dxa"/>
        </w:tblCellMar>
      </w:tblPr>
      <w:tr>
        <w:trPr>
          <w:trHeight w:val="220"/>
        </w:trPr>
        <w:tc>
          <w:tcPr>
            <w:tcW w:w="3040" w:type="dxa"/>
            <w:vAlign w:val="bottom"/>
          </w:tcPr>
          <w:p>
            <w:pPr>
              <w:jc w:val="right"/>
              <w:ind w:right="530"/>
              <w:spacing w:after="0"/>
              <w:rPr>
                <w:sz w:val="20"/>
                <w:szCs w:val="20"/>
                <w:color w:val="auto"/>
              </w:rPr>
            </w:pPr>
            <w:r>
              <w:rPr>
                <w:rFonts w:ascii="Arial" w:cs="Arial" w:eastAsia="Arial" w:hAnsi="Arial"/>
                <w:sz w:val="18"/>
                <w:szCs w:val="18"/>
                <w:b w:val="1"/>
                <w:bCs w:val="1"/>
                <w:color w:val="auto"/>
                <w:w w:val="93"/>
              </w:rPr>
              <w:t>Kost Forer Gabbay &amp; Kasierer</w:t>
            </w:r>
          </w:p>
        </w:tc>
        <w:tc>
          <w:tcPr>
            <w:tcW w:w="2220" w:type="dxa"/>
            <w:vAlign w:val="bottom"/>
          </w:tcPr>
          <w:p>
            <w:pPr>
              <w:jc w:val="right"/>
              <w:spacing w:after="0"/>
              <w:rPr>
                <w:sz w:val="20"/>
                <w:szCs w:val="20"/>
                <w:color w:val="auto"/>
              </w:rPr>
            </w:pPr>
            <w:r>
              <w:rPr>
                <w:rFonts w:ascii="Arial" w:cs="Arial" w:eastAsia="Arial" w:hAnsi="Arial"/>
                <w:sz w:val="18"/>
                <w:szCs w:val="18"/>
                <w:color w:val="auto"/>
              </w:rPr>
              <w:t>Tel: +972-3-6232525</w:t>
            </w:r>
          </w:p>
        </w:tc>
      </w:tr>
      <w:tr>
        <w:trPr>
          <w:trHeight w:val="216"/>
        </w:trPr>
        <w:tc>
          <w:tcPr>
            <w:tcW w:w="3040" w:type="dxa"/>
            <w:vAlign w:val="bottom"/>
          </w:tcPr>
          <w:p>
            <w:pPr>
              <w:jc w:val="right"/>
              <w:ind w:right="530"/>
              <w:spacing w:after="0"/>
              <w:rPr>
                <w:sz w:val="20"/>
                <w:szCs w:val="20"/>
                <w:color w:val="auto"/>
              </w:rPr>
            </w:pPr>
            <w:r>
              <w:rPr>
                <w:rFonts w:ascii="Arial" w:cs="Arial" w:eastAsia="Arial" w:hAnsi="Arial"/>
                <w:sz w:val="18"/>
                <w:szCs w:val="18"/>
                <w:color w:val="auto"/>
              </w:rPr>
              <w:t>3 Aminadav St.</w:t>
            </w:r>
          </w:p>
        </w:tc>
        <w:tc>
          <w:tcPr>
            <w:tcW w:w="2220" w:type="dxa"/>
            <w:vAlign w:val="bottom"/>
          </w:tcPr>
          <w:p>
            <w:pPr>
              <w:jc w:val="right"/>
              <w:spacing w:after="0"/>
              <w:rPr>
                <w:sz w:val="20"/>
                <w:szCs w:val="20"/>
                <w:color w:val="auto"/>
              </w:rPr>
            </w:pPr>
            <w:r>
              <w:rPr>
                <w:rFonts w:ascii="Arial" w:cs="Arial" w:eastAsia="Arial" w:hAnsi="Arial"/>
                <w:sz w:val="18"/>
                <w:szCs w:val="18"/>
                <w:color w:val="auto"/>
              </w:rPr>
              <w:t>Fax: +972-3-5622555</w:t>
            </w:r>
          </w:p>
        </w:tc>
      </w:tr>
      <w:tr>
        <w:trPr>
          <w:trHeight w:val="230"/>
        </w:trPr>
        <w:tc>
          <w:tcPr>
            <w:tcW w:w="3040" w:type="dxa"/>
            <w:vAlign w:val="bottom"/>
          </w:tcPr>
          <w:p>
            <w:pPr>
              <w:jc w:val="right"/>
              <w:ind w:right="530"/>
              <w:spacing w:after="0"/>
              <w:rPr>
                <w:sz w:val="20"/>
                <w:szCs w:val="20"/>
                <w:color w:val="auto"/>
              </w:rPr>
            </w:pPr>
            <w:r>
              <w:rPr>
                <w:rFonts w:ascii="Arial" w:cs="Arial" w:eastAsia="Arial" w:hAnsi="Arial"/>
                <w:sz w:val="18"/>
                <w:szCs w:val="18"/>
                <w:color w:val="auto"/>
              </w:rPr>
              <w:t>Tel-Aviv 6706703, Israel</w:t>
            </w:r>
          </w:p>
        </w:tc>
        <w:tc>
          <w:tcPr>
            <w:tcW w:w="2220" w:type="dxa"/>
            <w:vAlign w:val="bottom"/>
          </w:tcPr>
          <w:p>
            <w:pPr>
              <w:jc w:val="right"/>
              <w:spacing w:after="0"/>
              <w:rPr>
                <w:sz w:val="20"/>
                <w:szCs w:val="20"/>
                <w:color w:val="auto"/>
              </w:rPr>
            </w:pPr>
            <w:r>
              <w:rPr>
                <w:rFonts w:ascii="Arial" w:cs="Arial" w:eastAsia="Arial" w:hAnsi="Arial"/>
                <w:sz w:val="18"/>
                <w:szCs w:val="18"/>
                <w:color w:val="auto"/>
              </w:rPr>
              <w:t>ey.com</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Board of Directors and the shareholders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jc w:val="both"/>
        <w:ind w:left="20" w:firstLine="510"/>
        <w:spacing w:after="0" w:line="257" w:lineRule="auto"/>
        <w:rPr>
          <w:sz w:val="20"/>
          <w:szCs w:val="20"/>
          <w:color w:val="auto"/>
        </w:rPr>
      </w:pPr>
      <w:r>
        <w:rPr>
          <w:rFonts w:ascii="Arial" w:cs="Arial" w:eastAsia="Arial" w:hAnsi="Arial"/>
          <w:sz w:val="18"/>
          <w:szCs w:val="18"/>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8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Since the date of completion of our audit of the accompanying financial statements and initial issuance of our report thereon dated January 14, 2013, which report contained an explanatory paragraph regarding the Company's ability to continue as a going concern, the Company, as discussed in Note 1(b), has completed an issuance of its Ordinary shares resulting in net proceeds of $22,000 thousand. Therefore, the conditions that raised substantial doubt about whether the Company will continue as a going concern no longer exist.</w:t>
      </w:r>
    </w:p>
    <w:p>
      <w:pPr>
        <w:sectPr>
          <w:pgSz w:w="11900" w:h="16838" w:orient="portrait"/>
          <w:cols w:equalWidth="0" w:num="1">
            <w:col w:w="11420"/>
          </w:cols>
          <w:pgMar w:left="240" w:top="1323"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Note 9(a) and Note 13 to which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date is May 21, 2013 and Note 1(b) to which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date is October 15, 2013</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/s/ KOST FORER GABBAY &amp; KASIERER</w:t>
      </w:r>
    </w:p>
    <w:p>
      <w:pPr>
        <w:spacing w:after="0" w:line="3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KOST FORER GABBAY &amp; KASIERER</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Member of Ernst &amp; Young Global</w:t>
      </w:r>
    </w:p>
    <w:p>
      <w:pPr>
        <w:spacing w:after="0" w:line="214" w:lineRule="exact"/>
        <w:rPr>
          <w:sz w:val="20"/>
          <w:szCs w:val="20"/>
          <w:color w:val="auto"/>
        </w:rPr>
      </w:pPr>
    </w:p>
    <w:p>
      <w:pPr>
        <w:sectPr>
          <w:pgSz w:w="11900" w:h="16838" w:orient="portrait"/>
          <w:cols w:equalWidth="0" w:num="2">
            <w:col w:w="6700" w:space="720"/>
            <w:col w:w="4000"/>
          </w:cols>
          <w:pgMar w:left="240" w:top="1323" w:right="2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ASSETS</w:t>
            </w: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CURRENT ASSETS:</w:t>
            </w: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Short-term bank deposit</w:t>
            </w: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Receivables and prepaid expenses</w:t>
            </w:r>
          </w:p>
        </w:tc>
        <w:tc>
          <w:tcPr>
            <w:tcW w:w="3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5020" w:type="dxa"/>
            <w:vAlign w:val="bottom"/>
            <w:tcBorders>
              <w:top w:val="single" w:sz="8" w:color="CCFFCC"/>
            </w:tcBorders>
            <w:shd w:val="clear" w:color="auto" w:fill="CCFFCC"/>
          </w:tcPr>
          <w:p>
            <w:pPr>
              <w:spacing w:after="0"/>
              <w:rPr>
                <w:sz w:val="18"/>
                <w:szCs w:val="18"/>
                <w:color w:val="auto"/>
              </w:rPr>
            </w:pPr>
          </w:p>
        </w:tc>
        <w:tc>
          <w:tcPr>
            <w:tcW w:w="318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8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bottom w:val="single" w:sz="8" w:color="CCFFCC"/>
            </w:tcBorders>
          </w:tcPr>
          <w:p>
            <w:pPr>
              <w:spacing w:after="0"/>
              <w:rPr>
                <w:sz w:val="2"/>
                <w:szCs w:val="2"/>
                <w:color w:val="auto"/>
              </w:rPr>
            </w:pPr>
          </w:p>
        </w:tc>
        <w:tc>
          <w:tcPr>
            <w:tcW w:w="5020" w:type="dxa"/>
            <w:vAlign w:val="bottom"/>
            <w:tcBorders>
              <w:bottom w:val="single" w:sz="8" w:color="CCFFCC"/>
            </w:tcBorders>
          </w:tcPr>
          <w:p>
            <w:pPr>
              <w:spacing w:after="0"/>
              <w:rPr>
                <w:sz w:val="2"/>
                <w:szCs w:val="2"/>
                <w:color w:val="auto"/>
              </w:rPr>
            </w:pPr>
          </w:p>
        </w:tc>
        <w:tc>
          <w:tcPr>
            <w:tcW w:w="3180" w:type="dxa"/>
            <w:vAlign w:val="bottom"/>
            <w:tcBorders>
              <w:bottom w:val="single" w:sz="8" w:color="CCFFC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Restricted bank deposits</w:t>
            </w: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Long-term deposit</w:t>
            </w: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net</w:t>
            </w:r>
          </w:p>
        </w:tc>
        <w:tc>
          <w:tcPr>
            <w:tcW w:w="3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5020" w:type="dxa"/>
            <w:vAlign w:val="bottom"/>
            <w:tcBorders>
              <w:top w:val="single" w:sz="8" w:color="CCFFCC"/>
            </w:tcBorders>
            <w:shd w:val="clear" w:color="auto" w:fill="CCFFCC"/>
          </w:tcPr>
          <w:p>
            <w:pPr>
              <w:spacing w:after="0"/>
              <w:rPr>
                <w:sz w:val="18"/>
                <w:szCs w:val="18"/>
                <w:color w:val="auto"/>
              </w:rPr>
            </w:pPr>
          </w:p>
        </w:tc>
        <w:tc>
          <w:tcPr>
            <w:tcW w:w="318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80" w:type="dxa"/>
            <w:vAlign w:val="bottom"/>
            <w:gridSpan w:val="2"/>
          </w:tcPr>
          <w:p>
            <w:pPr>
              <w:spacing w:after="0" w:line="156" w:lineRule="exact"/>
              <w:rPr>
                <w:sz w:val="20"/>
                <w:szCs w:val="20"/>
                <w:color w:val="auto"/>
              </w:rPr>
            </w:pPr>
            <w:r>
              <w:rPr>
                <w:rFonts w:ascii="Arial" w:cs="Arial" w:eastAsia="Arial" w:hAnsi="Arial"/>
                <w:sz w:val="18"/>
                <w:szCs w:val="18"/>
                <w:color w:val="auto"/>
              </w:rPr>
              <w:t>Total long-term assets</w:t>
            </w: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bottom w:val="single" w:sz="8" w:color="CCFFCC"/>
            </w:tcBorders>
          </w:tcPr>
          <w:p>
            <w:pPr>
              <w:spacing w:after="0"/>
              <w:rPr>
                <w:sz w:val="2"/>
                <w:szCs w:val="2"/>
                <w:color w:val="auto"/>
              </w:rPr>
            </w:pPr>
          </w:p>
        </w:tc>
        <w:tc>
          <w:tcPr>
            <w:tcW w:w="5020" w:type="dxa"/>
            <w:vAlign w:val="bottom"/>
            <w:tcBorders>
              <w:bottom w:val="single" w:sz="8" w:color="CCFFCC"/>
            </w:tcBorders>
          </w:tcPr>
          <w:p>
            <w:pPr>
              <w:spacing w:after="0"/>
              <w:rPr>
                <w:sz w:val="2"/>
                <w:szCs w:val="2"/>
                <w:color w:val="auto"/>
              </w:rPr>
            </w:pPr>
          </w:p>
        </w:tc>
        <w:tc>
          <w:tcPr>
            <w:tcW w:w="3180" w:type="dxa"/>
            <w:vAlign w:val="bottom"/>
            <w:tcBorders>
              <w:bottom w:val="single" w:sz="8" w:color="CCFFC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4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color w:val="auto"/>
                <w:w w:val="93"/>
              </w:rPr>
              <w:t>The accompanying notes are an integral part of the financial statements.</w:t>
            </w:r>
          </w:p>
        </w:tc>
        <w:tc>
          <w:tcPr>
            <w:tcW w:w="3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gridSpan w:val="3"/>
            <w:vMerge w:val="continue"/>
          </w:tcPr>
          <w:p>
            <w:pPr>
              <w:spacing w:after="0"/>
              <w:rPr>
                <w:sz w:val="24"/>
                <w:szCs w:val="24"/>
                <w:color w:val="auto"/>
              </w:rPr>
            </w:pP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
          </w:tcPr>
          <w:p>
            <w:pPr>
              <w:jc w:val="right"/>
              <w:ind w:right="3490"/>
              <w:spacing w:after="0"/>
              <w:rPr>
                <w:sz w:val="20"/>
                <w:szCs w:val="20"/>
                <w:color w:val="auto"/>
              </w:rPr>
            </w:pPr>
            <w:r>
              <w:rPr>
                <w:rFonts w:ascii="Arial" w:cs="Arial" w:eastAsia="Arial" w:hAnsi="Arial"/>
                <w:sz w:val="18"/>
                <w:szCs w:val="18"/>
                <w:color w:val="auto"/>
              </w:rPr>
              <w:t>F-3</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Borders>
              <w:bottom w:val="single" w:sz="8" w:color="auto"/>
            </w:tcBorders>
            <w:gridSpan w:val="5"/>
          </w:tcPr>
          <w:p>
            <w:pPr>
              <w:ind w:left="840"/>
              <w:spacing w:after="0"/>
              <w:rPr>
                <w:sz w:val="20"/>
                <w:szCs w:val="20"/>
                <w:color w:val="auto"/>
              </w:rPr>
            </w:pPr>
            <w:r>
              <w:rPr>
                <w:rFonts w:ascii="Arial" w:cs="Arial" w:eastAsia="Arial" w:hAnsi="Arial"/>
                <w:sz w:val="18"/>
                <w:szCs w:val="18"/>
                <w:b w:val="1"/>
                <w:bCs w:val="1"/>
                <w:color w:val="auto"/>
                <w:w w:val="90"/>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LIABILITIES AND SHAREHOLDERS' EQUITY (DEFICIENCY)</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11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accounts payable</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Convertible Notes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662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9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20" w:type="dxa"/>
            <w:vAlign w:val="bottom"/>
            <w:gridSpan w:val="4"/>
          </w:tcPr>
          <w:p>
            <w:pPr>
              <w:spacing w:after="0" w:line="156"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w w:val="86"/>
              </w:rPr>
              <w:t>768</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200" w:type="dxa"/>
            <w:vAlign w:val="bottom"/>
            <w:tcBorders>
              <w:top w:val="single" w:sz="8" w:color="auto"/>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790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6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rPr>
              <w:t>SHAREHOLDERS' EQUITY (DEFICIENCY):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6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rPr>
              <w:t>Ordinary shares of NIS 0.01 par value -</w:t>
            </w:r>
          </w:p>
        </w:tc>
        <w:tc>
          <w:tcPr>
            <w:tcW w:w="1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w w:val="95"/>
              </w:rPr>
              <w:t>10,000,000 shares authorized at December 31, 2012 and 2011; 8,098,581 and 8,096,109 issued shares at</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w w:val="90"/>
              </w:rPr>
              <w:t>December 31, 2012 and 2011, respectively; 7,794,256 and 8,096,109 shares outstanding at December 31, 2012</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and 2011, respectively</w:t>
            </w:r>
          </w:p>
        </w:tc>
        <w:tc>
          <w:tcPr>
            <w:tcW w:w="14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Treasury shares (304,324 Ordinary shares as of December 31, 2012)</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Additional paid- in capital</w:t>
            </w:r>
          </w:p>
        </w:tc>
        <w:tc>
          <w:tcPr>
            <w:tcW w:w="156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7,615</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Deficit accumulated during the development stage</w:t>
            </w:r>
          </w:p>
        </w:tc>
        <w:tc>
          <w:tcPr>
            <w:tcW w:w="1560" w:type="dxa"/>
            <w:vAlign w:val="bottom"/>
            <w:gridSpan w:val="4"/>
          </w:tcPr>
          <w:p>
            <w:pPr>
              <w:jc w:val="right"/>
              <w:ind w:right="80"/>
              <w:spacing w:after="0"/>
              <w:rPr>
                <w:sz w:val="20"/>
                <w:szCs w:val="20"/>
                <w:color w:val="auto"/>
              </w:rPr>
            </w:pPr>
            <w:r>
              <w:rPr>
                <w:rFonts w:ascii="Arial" w:cs="Arial" w:eastAsia="Arial" w:hAnsi="Arial"/>
                <w:sz w:val="18"/>
                <w:szCs w:val="18"/>
                <w:color w:val="auto"/>
              </w:rPr>
              <w:t>(8,186)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9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60" w:type="dxa"/>
            <w:vAlign w:val="bottom"/>
            <w:gridSpan w:val="3"/>
          </w:tcPr>
          <w:p>
            <w:pPr>
              <w:spacing w:after="0" w:line="156" w:lineRule="exact"/>
              <w:rPr>
                <w:sz w:val="20"/>
                <w:szCs w:val="20"/>
                <w:color w:val="auto"/>
              </w:rPr>
            </w:pPr>
            <w:r>
              <w:rPr>
                <w:rFonts w:ascii="Arial" w:cs="Arial" w:eastAsia="Arial" w:hAnsi="Arial"/>
                <w:sz w:val="18"/>
                <w:szCs w:val="18"/>
                <w:color w:val="auto"/>
              </w:rPr>
              <w:t>Total shareholders' equity (deficiency)</w:t>
            </w:r>
          </w:p>
        </w:tc>
        <w:tc>
          <w:tcPr>
            <w:tcW w:w="1560" w:type="dxa"/>
            <w:vAlign w:val="bottom"/>
            <w:gridSpan w:val="4"/>
          </w:tcPr>
          <w:p>
            <w:pPr>
              <w:jc w:val="right"/>
              <w:ind w:right="80"/>
              <w:spacing w:after="0" w:line="156" w:lineRule="exact"/>
              <w:rPr>
                <w:sz w:val="20"/>
                <w:szCs w:val="20"/>
                <w:color w:val="auto"/>
              </w:rPr>
            </w:pPr>
            <w:r>
              <w:rPr>
                <w:rFonts w:ascii="Arial" w:cs="Arial" w:eastAsia="Arial" w:hAnsi="Arial"/>
                <w:sz w:val="18"/>
                <w:szCs w:val="18"/>
                <w:color w:val="auto"/>
              </w:rPr>
              <w:t>(567)</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200" w:type="dxa"/>
            <w:vAlign w:val="bottom"/>
            <w:tcBorders>
              <w:top w:val="single" w:sz="8" w:color="auto"/>
              <w:bottom w:val="single" w:sz="8" w:color="CCFFCC"/>
            </w:tcBorders>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790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6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 (DEFICIENCY)</w:t>
            </w:r>
          </w:p>
        </w:tc>
        <w:tc>
          <w:tcPr>
            <w:tcW w:w="11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201</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8440" w:type="dxa"/>
            <w:vAlign w:val="bottom"/>
            <w:gridSpan w:val="5"/>
            <w:vMerge w:val="restart"/>
          </w:tcPr>
          <w:p>
            <w:pPr>
              <w:spacing w:after="0"/>
              <w:rPr>
                <w:sz w:val="20"/>
                <w:szCs w:val="20"/>
                <w:color w:val="auto"/>
              </w:rPr>
            </w:pPr>
            <w:r>
              <w:rPr>
                <w:rFonts w:ascii="Arial" w:cs="Arial" w:eastAsia="Arial" w:hAnsi="Arial"/>
                <w:sz w:val="18"/>
                <w:szCs w:val="18"/>
                <w:color w:val="auto"/>
              </w:rPr>
              <w:t>*) Represents an amount lower than $ 1.</w:t>
            </w: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4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5"/>
          </w:tcPr>
          <w:p>
            <w:pPr>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5040"/>
              <w:spacing w:after="0"/>
              <w:rPr>
                <w:sz w:val="20"/>
                <w:szCs w:val="20"/>
                <w:color w:val="auto"/>
              </w:rPr>
            </w:pPr>
            <w:r>
              <w:rPr>
                <w:rFonts w:ascii="Arial" w:cs="Arial" w:eastAsia="Arial" w:hAnsi="Arial"/>
                <w:sz w:val="18"/>
                <w:szCs w:val="18"/>
                <w:color w:val="auto"/>
              </w:rPr>
              <w:t>F-4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 net</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818</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1,822</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2,084</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3,906</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expenses, net</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1,579</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3,929</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1,579</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4,109</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Net basic and diluted loss per share</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 diluted net loss per</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7,791,932</w:t>
            </w:r>
          </w:p>
        </w:tc>
        <w:tc>
          <w:tcPr>
            <w:tcW w:w="10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7,843,388</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Deficit 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Preferred A shares</w:t>
            </w:r>
          </w:p>
        </w:tc>
        <w:tc>
          <w:tcPr>
            <w:tcW w:w="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Preferred B shares</w:t>
            </w: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during the development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equity</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stage</w:t>
            </w:r>
          </w:p>
        </w:tc>
        <w:tc>
          <w:tcPr>
            <w:tcW w:w="80" w:type="dxa"/>
            <w:vAlign w:val="bottom"/>
          </w:tcPr>
          <w:p>
            <w:pPr>
              <w:spacing w:after="0"/>
              <w:rPr>
                <w:sz w:val="13"/>
                <w:szCs w:val="13"/>
                <w:color w:val="auto"/>
              </w:rPr>
            </w:pPr>
          </w:p>
        </w:tc>
        <w:tc>
          <w:tcPr>
            <w:tcW w:w="94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w w:val="92"/>
              </w:rPr>
              <w:t>(deficiency)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Balance as of February 7, 2008 (date of</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inception)</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FFCC"/>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jc w:val="right"/>
              <w:ind w:right="448"/>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ind w:left="10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60"/>
              <w:spacing w:after="0" w:line="149" w:lineRule="exact"/>
              <w:rPr>
                <w:sz w:val="20"/>
                <w:szCs w:val="20"/>
                <w:color w:val="auto"/>
              </w:rPr>
            </w:pPr>
            <w:r>
              <w:rPr>
                <w:rFonts w:ascii="Arial" w:cs="Arial" w:eastAsia="Arial" w:hAnsi="Arial"/>
                <w:sz w:val="14"/>
                <w:szCs w:val="14"/>
                <w:color w:val="auto"/>
              </w:rPr>
              <w:t>Issuance of Ordinary shares at par share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5,752,600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7"/>
              </w:rPr>
              <w:t>Issuance of Preferred A shares, net ($0.92</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per share)</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747,339</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Preferred A shares issued to service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provider ($0.92 per share)</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81,528</w:t>
            </w:r>
          </w:p>
        </w:tc>
        <w:tc>
          <w:tcPr>
            <w:tcW w:w="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Share based compensation related to</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warrants granted to consultant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89"/>
              </w:rPr>
              <w:t>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(666)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Balance as of December 31, 2008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5,752,600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828,867</w:t>
            </w:r>
          </w:p>
        </w:tc>
        <w:tc>
          <w:tcPr>
            <w:tcW w:w="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7"/>
              </w:rPr>
              <w:t>Issuance of Preferred A shares, net ($0.92</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per share)</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203,818</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w w:val="99"/>
              </w:rPr>
              <w:t>Issuance of Preferred A shares granted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service provider ($0.92 per share)</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190,229</w:t>
            </w:r>
          </w:p>
        </w:tc>
        <w:tc>
          <w:tcPr>
            <w:tcW w:w="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Conversion of Preferred A shares into</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Ordinary shares</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461,987</w:t>
            </w:r>
          </w:p>
        </w:tc>
        <w:tc>
          <w:tcPr>
            <w:tcW w:w="66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(461,987)</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(608)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Balance as of December 31, 2009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6,214,587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760,927</w:t>
            </w:r>
          </w:p>
        </w:tc>
        <w:tc>
          <w:tcPr>
            <w:tcW w:w="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Issuance of Preferred B shares and</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warrants, net ($2.18 per unit of 1 share</w:t>
            </w: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and 0.25 warrant)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342,691</w:t>
            </w:r>
          </w:p>
        </w:tc>
        <w:tc>
          <w:tcPr>
            <w:tcW w:w="6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Issuance of Preferred B shares and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w w:val="97"/>
              </w:rPr>
              <w:t>warrants upon conversion of convertible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rPr>
              <w:t>notes ($1.75 per unit of 1 share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0.25 warrant)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128,512</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80"/>
              <w:spacing w:after="0"/>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Issuance of Preferred B shares and</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warrants granted to service provider</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55,008</w:t>
            </w:r>
          </w:p>
        </w:tc>
        <w:tc>
          <w:tcPr>
            <w:tcW w:w="6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Share based compensation related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w w:val="95"/>
              </w:rPr>
              <w:t>options granted to a service provider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employees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 of options</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288,681</w:t>
            </w:r>
          </w:p>
        </w:tc>
        <w:tc>
          <w:tcPr>
            <w:tcW w:w="6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(1,224)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Balance as of December 31, 2010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6,503,268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760,927</w:t>
            </w:r>
          </w:p>
        </w:tc>
        <w:tc>
          <w:tcPr>
            <w:tcW w:w="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526,211</w:t>
            </w: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2,486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Conversion of Preferred A and B shares</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into Ordinary shares</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1,287,138</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0"/>
                <w:szCs w:val="10"/>
                <w:color w:val="auto"/>
                <w:w w:val="71"/>
              </w:rPr>
              <w:t>1</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(760,927)</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(526,211)</w:t>
            </w:r>
          </w:p>
        </w:tc>
        <w:tc>
          <w:tcPr>
            <w:tcW w:w="6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Deemed dividend in respect of equity</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restructuring</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Issuance of Ordinary shares upon</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w w:val="99"/>
              </w:rPr>
              <w:t>conversion of loan into Ordinary shares</w:t>
            </w: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net ($11.5 per share)</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104,345</w:t>
            </w:r>
          </w:p>
        </w:tc>
        <w:tc>
          <w:tcPr>
            <w:tcW w:w="66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w w:val="95"/>
              </w:rPr>
              <w:t>Issuance of Ordinary shares, net ($11.5 per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share)</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199,979</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2,170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 of options</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1,379</w:t>
            </w:r>
          </w:p>
        </w:tc>
        <w:tc>
          <w:tcPr>
            <w:tcW w:w="6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Share based compensation related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rPr>
              <w:t>options granted to consultants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employees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1,553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(3,929)</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(3,929)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Balance as of December 31, 2011</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8,096,109</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0"/>
                <w:szCs w:val="10"/>
                <w:color w:val="auto"/>
                <w:w w:val="71"/>
              </w:rPr>
              <w:t>4</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7,588</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5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(6,607)</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60"/>
              <w:spacing w:after="0" w:line="149" w:lineRule="exact"/>
              <w:rPr>
                <w:sz w:val="20"/>
                <w:szCs w:val="20"/>
                <w:color w:val="auto"/>
              </w:rPr>
            </w:pPr>
            <w:r>
              <w:rPr>
                <w:rFonts w:ascii="Arial" w:cs="Arial" w:eastAsia="Arial" w:hAnsi="Arial"/>
                <w:sz w:val="14"/>
                <w:szCs w:val="14"/>
                <w:color w:val="auto"/>
              </w:rPr>
              <w:t>Treasury shares</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(304,324)</w:t>
            </w:r>
          </w:p>
        </w:tc>
        <w:tc>
          <w:tcPr>
            <w:tcW w:w="6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 of options</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2,471</w:t>
            </w:r>
          </w:p>
        </w:tc>
        <w:tc>
          <w:tcPr>
            <w:tcW w:w="6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Share based compensation related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rPr>
              <w:t>options granted to consultants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employees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(1,579)</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4"/>
                <w:szCs w:val="14"/>
                <w:color w:val="auto"/>
              </w:rPr>
              <w:t>Balance as of December 31, 2012</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7,794,256</w:t>
            </w:r>
          </w:p>
        </w:tc>
        <w:tc>
          <w:tcPr>
            <w:tcW w:w="12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0"/>
                <w:szCs w:val="10"/>
                <w:color w:val="auto"/>
                <w:w w:val="71"/>
              </w:rPr>
              <w:t>4</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FFCC"/>
          </w:tcPr>
          <w:p>
            <w:pPr>
              <w:spacing w:after="0"/>
              <w:rPr>
                <w:sz w:val="15"/>
                <w:szCs w:val="15"/>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jc w:val="right"/>
              <w:ind w:right="448"/>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7,615</w:t>
            </w:r>
          </w:p>
        </w:tc>
        <w:tc>
          <w:tcPr>
            <w:tcW w:w="180" w:type="dxa"/>
            <w:vAlign w:val="bottom"/>
            <w:gridSpan w:val="2"/>
            <w:shd w:val="clear" w:color="auto" w:fill="CCFFCC"/>
          </w:tcPr>
          <w:p>
            <w:pPr>
              <w:ind w:left="100"/>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2"/>
                <w:szCs w:val="12"/>
                <w:color w:val="auto"/>
              </w:rPr>
              <w:t>(8,186</w:t>
            </w:r>
            <w:r>
              <w:rPr>
                <w:rFonts w:ascii="Arial" w:cs="Arial" w:eastAsia="Arial" w:hAnsi="Arial"/>
                <w:sz w:val="20"/>
                <w:szCs w:val="20"/>
                <w:color w:val="auto"/>
                <w:vertAlign w:val="superscript"/>
              </w:rPr>
              <w:t>)</w:t>
            </w:r>
          </w:p>
        </w:tc>
        <w:tc>
          <w:tcPr>
            <w:tcW w:w="240" w:type="dxa"/>
            <w:vAlign w:val="bottom"/>
            <w:gridSpan w:val="2"/>
            <w:shd w:val="clear" w:color="auto" w:fill="CCFFC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(567</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lower than $ 1.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2580" w:type="dxa"/>
            <w:vAlign w:val="bottom"/>
            <w:tcBorders>
              <w:bottom w:val="single" w:sz="8" w:color="CCFFCC"/>
            </w:tcBorders>
          </w:tcPr>
          <w:p>
            <w:pPr>
              <w:spacing w:after="0"/>
              <w:rPr>
                <w:sz w:val="19"/>
                <w:szCs w:val="19"/>
                <w:color w:val="auto"/>
              </w:rPr>
            </w:pPr>
          </w:p>
        </w:tc>
        <w:tc>
          <w:tcPr>
            <w:tcW w:w="1400" w:type="dxa"/>
            <w:vAlign w:val="bottom"/>
            <w:tcBorders>
              <w:bottom w:val="single" w:sz="8" w:color="CCFFCC"/>
            </w:tcBorders>
          </w:tcPr>
          <w:p>
            <w:pPr>
              <w:spacing w:after="0"/>
              <w:rPr>
                <w:sz w:val="19"/>
                <w:szCs w:val="19"/>
                <w:color w:val="auto"/>
              </w:rPr>
            </w:pPr>
          </w:p>
        </w:tc>
        <w:tc>
          <w:tcPr>
            <w:tcW w:w="50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80" w:type="dxa"/>
            <w:vAlign w:val="bottom"/>
            <w:tcBorders>
              <w:left w:val="single" w:sz="8" w:color="CCFFCC"/>
            </w:tcBorders>
            <w:gridSpan w:val="4"/>
            <w:shd w:val="clear" w:color="auto" w:fill="CCFFCC"/>
          </w:tcPr>
          <w:p>
            <w:pPr>
              <w:spacing w:after="0" w:line="170" w:lineRule="exact"/>
              <w:rPr>
                <w:sz w:val="20"/>
                <w:szCs w:val="20"/>
                <w:color w:val="auto"/>
              </w:rPr>
            </w:pPr>
            <w:r>
              <w:rPr>
                <w:rFonts w:ascii="Arial" w:cs="Arial" w:eastAsia="Arial" w:hAnsi="Arial"/>
                <w:sz w:val="18"/>
                <w:szCs w:val="18"/>
                <w:color w:val="auto"/>
              </w:rPr>
              <w:t>Cash flows from operating activities</w:t>
            </w:r>
          </w:p>
        </w:tc>
        <w:tc>
          <w:tcPr>
            <w:tcW w:w="50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CCFFCC"/>
            </w:tcBorders>
          </w:tcPr>
          <w:p>
            <w:pPr>
              <w:spacing w:after="0"/>
              <w:rPr>
                <w:sz w:val="18"/>
                <w:szCs w:val="18"/>
                <w:color w:val="auto"/>
              </w:rPr>
            </w:pPr>
          </w:p>
        </w:tc>
        <w:tc>
          <w:tcPr>
            <w:tcW w:w="140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9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84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00" w:type="dxa"/>
            <w:vAlign w:val="bottom"/>
            <w:gridSpan w:val="2"/>
            <w:shd w:val="clear" w:color="auto" w:fill="CCFFCC"/>
          </w:tcPr>
          <w:p>
            <w:pPr>
              <w:jc w:val="right"/>
              <w:ind w:right="2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(3,929)</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340"/>
              <w:spacing w:after="0"/>
              <w:rPr>
                <w:sz w:val="20"/>
                <w:szCs w:val="20"/>
                <w:color w:val="auto"/>
              </w:rPr>
            </w:pPr>
            <w:r>
              <w:rPr>
                <w:rFonts w:ascii="Arial" w:cs="Arial" w:eastAsia="Arial" w:hAnsi="Arial"/>
                <w:sz w:val="18"/>
                <w:szCs w:val="18"/>
                <w:color w:val="auto"/>
              </w:rPr>
              <w:t>Depreciation</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340"/>
              <w:spacing w:after="0"/>
              <w:rPr>
                <w:sz w:val="20"/>
                <w:szCs w:val="20"/>
                <w:color w:val="auto"/>
              </w:rPr>
            </w:pPr>
            <w:r>
              <w:rPr>
                <w:rFonts w:ascii="Arial" w:cs="Arial" w:eastAsia="Arial" w:hAnsi="Arial"/>
                <w:sz w:val="18"/>
                <w:szCs w:val="18"/>
                <w:color w:val="auto"/>
              </w:rPr>
              <w:t>Decrease (increase) in receivables and prepaid expenses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340"/>
              <w:spacing w:after="0"/>
              <w:rPr>
                <w:sz w:val="20"/>
                <w:szCs w:val="20"/>
                <w:color w:val="auto"/>
              </w:rPr>
            </w:pPr>
            <w:r>
              <w:rPr>
                <w:rFonts w:ascii="Arial" w:cs="Arial" w:eastAsia="Arial" w:hAnsi="Arial"/>
                <w:sz w:val="18"/>
                <w:szCs w:val="18"/>
                <w:color w:val="auto"/>
              </w:rPr>
              <w:t>Increase (decrease) in trade payables</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340"/>
              <w:spacing w:after="0"/>
              <w:rPr>
                <w:sz w:val="20"/>
                <w:szCs w:val="20"/>
                <w:color w:val="auto"/>
              </w:rPr>
            </w:pPr>
            <w:r>
              <w:rPr>
                <w:rFonts w:ascii="Arial" w:cs="Arial" w:eastAsia="Arial" w:hAnsi="Arial"/>
                <w:sz w:val="18"/>
                <w:szCs w:val="18"/>
                <w:color w:val="auto"/>
              </w:rPr>
              <w:t>Increase (decrease) in other accounts payable</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340"/>
              <w:spacing w:after="0"/>
              <w:rPr>
                <w:sz w:val="20"/>
                <w:szCs w:val="20"/>
                <w:color w:val="auto"/>
              </w:rPr>
            </w:pPr>
            <w:r>
              <w:rPr>
                <w:rFonts w:ascii="Arial" w:cs="Arial" w:eastAsia="Arial" w:hAnsi="Arial"/>
                <w:sz w:val="18"/>
                <w:szCs w:val="18"/>
                <w:color w:val="auto"/>
              </w:rPr>
              <w:t>Interest on convertible notes</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4"/>
          </w:tcPr>
          <w:p>
            <w:pPr>
              <w:ind w:left="340"/>
              <w:spacing w:after="0"/>
              <w:rPr>
                <w:sz w:val="20"/>
                <w:szCs w:val="20"/>
                <w:color w:val="auto"/>
              </w:rPr>
            </w:pPr>
            <w:r>
              <w:rPr>
                <w:rFonts w:ascii="Arial" w:cs="Arial" w:eastAsia="Arial" w:hAnsi="Arial"/>
                <w:sz w:val="18"/>
                <w:szCs w:val="18"/>
                <w:color w:val="auto"/>
              </w:rPr>
              <w:t>Stock base compensation</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left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left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8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Purchase of property and equipment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Investment in (proceeds from) short-term bank deposit</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Decrease (increase) in long-term deposit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Investment in (proceeds from) restricted bank deposit</w:t>
            </w:r>
          </w:p>
        </w:tc>
        <w:tc>
          <w:tcPr>
            <w:tcW w:w="5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tcBorders>
              <w:left w:val="single" w:sz="8" w:color="CCFFCC"/>
            </w:tcBorders>
            <w:gridSpan w:val="4"/>
            <w:shd w:val="clear" w:color="auto" w:fill="CCFFCC"/>
          </w:tcPr>
          <w:p>
            <w:pPr>
              <w:spacing w:after="0"/>
              <w:rPr>
                <w:sz w:val="20"/>
                <w:szCs w:val="20"/>
                <w:color w:val="auto"/>
              </w:rPr>
            </w:pPr>
            <w:r>
              <w:rPr>
                <w:rFonts w:ascii="Arial" w:cs="Arial" w:eastAsia="Arial" w:hAnsi="Arial"/>
                <w:sz w:val="18"/>
                <w:szCs w:val="18"/>
                <w:color w:val="auto"/>
              </w:rPr>
              <w:t>Net cash provided by (used in) investing activities</w:t>
            </w:r>
          </w:p>
        </w:tc>
        <w:tc>
          <w:tcPr>
            <w:tcW w:w="5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80" w:type="dxa"/>
            <w:vAlign w:val="bottom"/>
            <w:tcBorders>
              <w:left w:val="single" w:sz="8" w:color="CCFFCC"/>
            </w:tcBorders>
            <w:gridSpan w:val="4"/>
            <w:shd w:val="clear" w:color="auto" w:fill="CCFFCC"/>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5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CCFFCC"/>
            </w:tcBorders>
          </w:tcPr>
          <w:p>
            <w:pPr>
              <w:spacing w:after="0"/>
              <w:rPr>
                <w:sz w:val="18"/>
                <w:szCs w:val="18"/>
                <w:color w:val="auto"/>
              </w:rPr>
            </w:pPr>
          </w:p>
        </w:tc>
        <w:tc>
          <w:tcPr>
            <w:tcW w:w="140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9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84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Proceeds from issuance of convertible notes</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Proceeds from loan</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Issuance of shares, net</w:t>
            </w:r>
          </w:p>
        </w:tc>
        <w:tc>
          <w:tcPr>
            <w:tcW w:w="5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2,170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tcBorders>
              <w:left w:val="single" w:sz="8" w:color="CCFFCC"/>
            </w:tcBorders>
            <w:gridSpan w:val="4"/>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2,620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Borders>
              <w:left w:val="single" w:sz="8" w:color="CCFFCC"/>
            </w:tcBorders>
            <w:gridSpan w:val="4"/>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(782)</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left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Cash and cash equivalents at the end of the period</w:t>
            </w:r>
          </w:p>
        </w:tc>
        <w:tc>
          <w:tcPr>
            <w:tcW w:w="7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80" w:type="dxa"/>
            <w:vAlign w:val="bottom"/>
            <w:tcBorders>
              <w:top w:val="single" w:sz="8" w:color="CCFFCC"/>
              <w:left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2580" w:type="dxa"/>
            <w:vAlign w:val="bottom"/>
            <w:tcBorders>
              <w:top w:val="single" w:sz="8" w:color="CCFFCC"/>
            </w:tcBorders>
            <w:shd w:val="clear" w:color="auto" w:fill="CCFFCC"/>
          </w:tcPr>
          <w:p>
            <w:pPr>
              <w:spacing w:after="0"/>
              <w:rPr>
                <w:sz w:val="17"/>
                <w:szCs w:val="17"/>
                <w:color w:val="auto"/>
              </w:rPr>
            </w:pPr>
          </w:p>
        </w:tc>
        <w:tc>
          <w:tcPr>
            <w:tcW w:w="1400" w:type="dxa"/>
            <w:vAlign w:val="bottom"/>
            <w:tcBorders>
              <w:top w:val="single" w:sz="8" w:color="CCFFCC"/>
            </w:tcBorders>
            <w:shd w:val="clear" w:color="auto" w:fill="CCFFCC"/>
          </w:tcPr>
          <w:p>
            <w:pPr>
              <w:spacing w:after="0"/>
              <w:rPr>
                <w:sz w:val="17"/>
                <w:szCs w:val="17"/>
                <w:color w:val="auto"/>
              </w:rPr>
            </w:pPr>
          </w:p>
        </w:tc>
        <w:tc>
          <w:tcPr>
            <w:tcW w:w="50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400" w:type="dxa"/>
            <w:vAlign w:val="bottom"/>
            <w:tcBorders>
              <w:top w:val="single" w:sz="8" w:color="auto"/>
            </w:tcBorders>
            <w:shd w:val="clear" w:color="auto" w:fill="CCFFCC"/>
          </w:tcPr>
          <w:p>
            <w:pPr>
              <w:spacing w:after="0"/>
              <w:rPr>
                <w:sz w:val="17"/>
                <w:szCs w:val="17"/>
                <w:color w:val="auto"/>
              </w:rPr>
            </w:pPr>
          </w:p>
        </w:tc>
        <w:tc>
          <w:tcPr>
            <w:tcW w:w="84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gridSpan w:val="4"/>
          </w:tcPr>
          <w:p>
            <w:pPr>
              <w:ind w:left="40"/>
              <w:spacing w:after="0" w:line="17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97"/>
              </w:rPr>
              <w:t>Issuance of Preferred B shares and warrants upon conversion of convertible notes</w:t>
            </w:r>
          </w:p>
        </w:tc>
        <w:tc>
          <w:tcPr>
            <w:tcW w:w="7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tcBorders>
              <w:top w:val="single" w:sz="8" w:color="CCFFCC"/>
              <w:left w:val="single" w:sz="8" w:color="CCFFCC"/>
              <w:bottom w:val="single" w:sz="8" w:color="CCFFCC"/>
            </w:tcBorders>
            <w:gridSpan w:val="4"/>
            <w:shd w:val="clear" w:color="auto" w:fill="CCFFCC"/>
          </w:tcPr>
          <w:p>
            <w:pPr>
              <w:ind w:left="200"/>
              <w:spacing w:after="0" w:line="190" w:lineRule="exact"/>
              <w:rPr>
                <w:sz w:val="20"/>
                <w:szCs w:val="20"/>
                <w:color w:val="auto"/>
              </w:rPr>
            </w:pPr>
            <w:r>
              <w:rPr>
                <w:rFonts w:ascii="Arial" w:cs="Arial" w:eastAsia="Arial" w:hAnsi="Arial"/>
                <w:sz w:val="18"/>
                <w:szCs w:val="18"/>
                <w:color w:val="auto"/>
              </w:rPr>
              <w:t>Issuance of Ordinary shares upon conversion of loans</w:t>
            </w:r>
          </w:p>
        </w:tc>
        <w:tc>
          <w:tcPr>
            <w:tcW w:w="50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400" w:type="dxa"/>
            <w:vAlign w:val="bottom"/>
            <w:tcBorders>
              <w:top w:val="single" w:sz="8" w:color="auto"/>
              <w:bottom w:val="single" w:sz="8" w:color="auto"/>
            </w:tcBorders>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1,200</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1,200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jc w:val="both"/>
        <w:ind w:left="1520" w:hanging="499"/>
        <w:spacing w:after="0" w:line="291" w:lineRule="auto"/>
        <w:tabs>
          <w:tab w:leader="none" w:pos="15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7" w:lineRule="exact"/>
        <w:rPr>
          <w:rFonts w:ascii="Arial" w:cs="Arial" w:eastAsia="Arial" w:hAnsi="Arial"/>
          <w:sz w:val="16"/>
          <w:szCs w:val="16"/>
          <w:color w:val="auto"/>
        </w:rPr>
      </w:pPr>
    </w:p>
    <w:p>
      <w:pPr>
        <w:jc w:val="both"/>
        <w:ind w:left="1520" w:hanging="499"/>
        <w:spacing w:after="0" w:line="255" w:lineRule="auto"/>
        <w:tabs>
          <w:tab w:leader="none" w:pos="1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 Company had its securities listed on the NASDAQ Stock Market (the "NASDAQ") in May 2013, for the purpose of raising capital to finance its operations. The Company completed issuance of its Ordinary shares in a net proceeds of $22 thousands. Therefore, the conditions that raised substantial doubt about whether the Company will continue as a going concern no longer exists.</w:t>
      </w:r>
    </w:p>
    <w:p>
      <w:pPr>
        <w:spacing w:after="0" w:line="18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("U.S. GAAP").</w:t>
      </w:r>
    </w:p>
    <w:p>
      <w:pPr>
        <w:spacing w:after="0" w:line="248" w:lineRule="exact"/>
        <w:rPr>
          <w:sz w:val="20"/>
          <w:szCs w:val="20"/>
          <w:color w:val="auto"/>
        </w:rPr>
      </w:pPr>
    </w:p>
    <w:p>
      <w:pPr>
        <w:ind w:left="1520" w:hanging="49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54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225" w:lineRule="exact"/>
        <w:rPr>
          <w:rFonts w:ascii="Arial" w:cs="Arial" w:eastAsia="Arial" w:hAnsi="Arial"/>
          <w:sz w:val="18"/>
          <w:szCs w:val="18"/>
          <w:color w:val="auto"/>
        </w:rPr>
      </w:pPr>
    </w:p>
    <w:p>
      <w:pPr>
        <w:jc w:val="both"/>
        <w:ind w:left="1540"/>
        <w:spacing w:after="0" w:line="279" w:lineRule="auto"/>
        <w:rPr>
          <w:rFonts w:ascii="Arial" w:cs="Arial" w:eastAsia="Arial" w:hAnsi="Arial"/>
          <w:sz w:val="18"/>
          <w:szCs w:val="18"/>
          <w:color w:val="auto"/>
        </w:rPr>
      </w:pPr>
      <w:r>
        <w:rPr>
          <w:rFonts w:ascii="Arial" w:cs="Arial" w:eastAsia="Arial" w:hAnsi="Arial"/>
          <w:sz w:val="17"/>
          <w:szCs w:val="17"/>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71" w:lineRule="exact"/>
        <w:rPr>
          <w:rFonts w:ascii="Arial" w:cs="Arial" w:eastAsia="Arial" w:hAnsi="Arial"/>
          <w:sz w:val="18"/>
          <w:szCs w:val="18"/>
          <w:color w:val="auto"/>
        </w:rPr>
      </w:pPr>
    </w:p>
    <w:p>
      <w:pPr>
        <w:jc w:val="both"/>
        <w:ind w:left="1540"/>
        <w:spacing w:after="0" w:line="302" w:lineRule="auto"/>
        <w:rPr>
          <w:rFonts w:ascii="Arial" w:cs="Arial" w:eastAsia="Arial" w:hAnsi="Arial"/>
          <w:sz w:val="18"/>
          <w:szCs w:val="18"/>
          <w:color w:val="auto"/>
        </w:rPr>
      </w:pPr>
      <w:r>
        <w:rPr>
          <w:rFonts w:ascii="Arial" w:cs="Arial" w:eastAsia="Arial" w:hAnsi="Arial"/>
          <w:sz w:val="16"/>
          <w:szCs w:val="16"/>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54" w:lineRule="exact"/>
        <w:rPr>
          <w:rFonts w:ascii="Arial" w:cs="Arial" w:eastAsia="Arial" w:hAnsi="Arial"/>
          <w:sz w:val="18"/>
          <w:szCs w:val="18"/>
          <w:color w:val="auto"/>
        </w:rPr>
      </w:pPr>
    </w:p>
    <w:p>
      <w:pPr>
        <w:ind w:left="1520" w:hanging="49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Short-term bank deposit</w:t>
      </w:r>
    </w:p>
    <w:p>
      <w:pPr>
        <w:spacing w:after="0" w:line="225" w:lineRule="exact"/>
        <w:rPr>
          <w:rFonts w:ascii="Arial" w:cs="Arial" w:eastAsia="Arial" w:hAnsi="Arial"/>
          <w:sz w:val="18"/>
          <w:szCs w:val="18"/>
          <w:color w:val="auto"/>
        </w:rPr>
      </w:pPr>
    </w:p>
    <w:p>
      <w:pPr>
        <w:jc w:val="both"/>
        <w:ind w:left="1540" w:right="20"/>
        <w:spacing w:after="0" w:line="264" w:lineRule="auto"/>
        <w:rPr>
          <w:rFonts w:ascii="Arial" w:cs="Arial" w:eastAsia="Arial" w:hAnsi="Arial"/>
          <w:sz w:val="18"/>
          <w:szCs w:val="18"/>
          <w:color w:val="auto"/>
        </w:rPr>
      </w:pPr>
      <w:r>
        <w:rPr>
          <w:rFonts w:ascii="Arial" w:cs="Arial" w:eastAsia="Arial" w:hAnsi="Arial"/>
          <w:sz w:val="18"/>
          <w:szCs w:val="18"/>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Restricted bank deposits: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Restricted bank deposits are pledged in favor of the bank which provides to the Company guarantees with respect to office lease agreements and credit card usage.</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3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rPr>
              <w:t>%</w:t>
            </w:r>
          </w:p>
        </w:tc>
        <w:tc>
          <w:tcPr>
            <w:tcW w:w="4180" w:type="dxa"/>
            <w:vAlign w:val="bottom"/>
          </w:tcPr>
          <w:p>
            <w:pPr>
              <w:spacing w:after="0"/>
              <w:rPr>
                <w:sz w:val="20"/>
                <w:szCs w:val="20"/>
                <w:color w:val="auto"/>
              </w:rPr>
            </w:pPr>
          </w:p>
        </w:tc>
      </w:tr>
      <w:tr>
        <w:trPr>
          <w:trHeight w:val="196"/>
        </w:trPr>
        <w:tc>
          <w:tcPr>
            <w:tcW w:w="15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18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Computers and electronic equipment</w:t>
            </w:r>
          </w:p>
        </w:tc>
        <w:tc>
          <w:tcPr>
            <w:tcW w:w="2340" w:type="dxa"/>
            <w:vAlign w:val="bottom"/>
            <w:tcBorders>
              <w:right w:val="single" w:sz="8" w:color="CCFFCC"/>
            </w:tcBorders>
            <w:gridSpan w:val="2"/>
            <w:shd w:val="clear" w:color="auto" w:fill="CCFFCC"/>
          </w:tcPr>
          <w:p>
            <w:pPr>
              <w:jc w:val="center"/>
              <w:ind w:left="1590"/>
              <w:spacing w:after="0"/>
              <w:rPr>
                <w:sz w:val="20"/>
                <w:szCs w:val="20"/>
                <w:color w:val="auto"/>
              </w:rPr>
            </w:pPr>
            <w:r>
              <w:rPr>
                <w:rFonts w:ascii="Arial" w:cs="Arial" w:eastAsia="Arial" w:hAnsi="Arial"/>
                <w:sz w:val="18"/>
                <w:szCs w:val="18"/>
                <w:color w:val="auto"/>
                <w:w w:val="91"/>
              </w:rPr>
              <w:t>15-33</w:t>
            </w:r>
          </w:p>
        </w:tc>
        <w:tc>
          <w:tcPr>
            <w:tcW w:w="41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340" w:type="dxa"/>
            <w:vAlign w:val="bottom"/>
            <w:gridSpan w:val="2"/>
          </w:tcPr>
          <w:p>
            <w:pPr>
              <w:jc w:val="center"/>
              <w:ind w:left="1570"/>
              <w:spacing w:after="0"/>
              <w:rPr>
                <w:sz w:val="20"/>
                <w:szCs w:val="20"/>
                <w:color w:val="auto"/>
              </w:rPr>
            </w:pPr>
            <w:r>
              <w:rPr>
                <w:rFonts w:ascii="Arial" w:cs="Arial" w:eastAsia="Arial" w:hAnsi="Arial"/>
                <w:sz w:val="18"/>
                <w:szCs w:val="18"/>
                <w:color w:val="auto"/>
                <w:w w:val="79"/>
              </w:rPr>
              <w:t>6</w:t>
            </w:r>
          </w:p>
        </w:tc>
        <w:tc>
          <w:tcPr>
            <w:tcW w:w="41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Clinical and medical equipment</w:t>
            </w:r>
          </w:p>
        </w:tc>
        <w:tc>
          <w:tcPr>
            <w:tcW w:w="2340" w:type="dxa"/>
            <w:vAlign w:val="bottom"/>
            <w:tcBorders>
              <w:right w:val="single" w:sz="8" w:color="CCFFCC"/>
            </w:tcBorders>
            <w:gridSpan w:val="2"/>
            <w:shd w:val="clear" w:color="auto" w:fill="CCFFCC"/>
          </w:tcPr>
          <w:p>
            <w:pPr>
              <w:jc w:val="center"/>
              <w:ind w:left="1590"/>
              <w:spacing w:after="0"/>
              <w:rPr>
                <w:sz w:val="20"/>
                <w:szCs w:val="20"/>
                <w:color w:val="auto"/>
              </w:rPr>
            </w:pPr>
            <w:r>
              <w:rPr>
                <w:rFonts w:ascii="Arial" w:cs="Arial" w:eastAsia="Arial" w:hAnsi="Arial"/>
                <w:sz w:val="18"/>
                <w:szCs w:val="18"/>
                <w:color w:val="auto"/>
                <w:w w:val="91"/>
              </w:rPr>
              <w:t>15-33</w:t>
            </w:r>
          </w:p>
        </w:tc>
        <w:tc>
          <w:tcPr>
            <w:tcW w:w="4180" w:type="dxa"/>
            <w:vAlign w:val="bottom"/>
          </w:tcPr>
          <w:p>
            <w:pPr>
              <w:spacing w:after="0"/>
              <w:rPr>
                <w:sz w:val="18"/>
                <w:szCs w:val="18"/>
                <w:color w:val="auto"/>
              </w:rPr>
            </w:pPr>
          </w:p>
        </w:tc>
      </w:tr>
      <w:tr>
        <w:trPr>
          <w:trHeight w:val="648"/>
        </w:trPr>
        <w:tc>
          <w:tcPr>
            <w:tcW w:w="15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F-9</w:t>
            </w: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40"/>
        <w:spacing w:after="0" w:line="293"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65" w:lineRule="exact"/>
        <w:rPr>
          <w:sz w:val="20"/>
          <w:szCs w:val="20"/>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Long-term deposits: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Long-term deposits include long-term deposits for motor vehicles under operating leases, presented at their cost.</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jc w:val="both"/>
        <w:ind w:left="1540"/>
        <w:spacing w:after="0" w:line="286" w:lineRule="auto"/>
        <w:rPr>
          <w:rFonts w:ascii="Arial" w:cs="Arial" w:eastAsia="Arial" w:hAnsi="Arial"/>
          <w:sz w:val="18"/>
          <w:szCs w:val="18"/>
          <w:color w:val="auto"/>
        </w:rPr>
      </w:pPr>
      <w:r>
        <w:rPr>
          <w:rFonts w:ascii="Arial" w:cs="Arial" w:eastAsia="Arial" w:hAnsi="Arial"/>
          <w:sz w:val="17"/>
          <w:szCs w:val="17"/>
          <w:color w:val="auto"/>
        </w:rPr>
        <w:t>Research and development expenses are expensed as incurred. Those expenses includes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65" w:lineRule="exact"/>
        <w:rPr>
          <w:rFonts w:ascii="Arial" w:cs="Arial" w:eastAsia="Arial" w:hAnsi="Arial"/>
          <w:sz w:val="18"/>
          <w:szCs w:val="18"/>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7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Severance pay expense for the years ended December 31, 2012 and 2011 amounted to $18 and $14,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88" w:lineRule="exact"/>
        <w:rPr>
          <w:rFonts w:ascii="Arial" w:cs="Arial" w:eastAsia="Arial" w:hAnsi="Arial"/>
          <w:sz w:val="18"/>
          <w:szCs w:val="18"/>
          <w:color w:val="auto"/>
        </w:rPr>
      </w:pPr>
    </w:p>
    <w:p>
      <w:pPr>
        <w:jc w:val="both"/>
        <w:ind w:left="1540"/>
        <w:spacing w:after="0" w:line="253" w:lineRule="auto"/>
        <w:rPr>
          <w:rFonts w:ascii="Arial" w:cs="Arial" w:eastAsia="Arial" w:hAnsi="Arial"/>
          <w:sz w:val="18"/>
          <w:szCs w:val="18"/>
          <w:color w:val="auto"/>
        </w:rPr>
      </w:pPr>
      <w:r>
        <w:rPr>
          <w:rFonts w:ascii="Arial" w:cs="Arial" w:eastAsia="Arial" w:hAnsi="Arial"/>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3" w:lineRule="exact"/>
        <w:rPr>
          <w:rFonts w:ascii="Arial" w:cs="Arial" w:eastAsia="Arial" w:hAnsi="Arial"/>
          <w:sz w:val="18"/>
          <w:szCs w:val="18"/>
          <w:color w:val="auto"/>
        </w:rPr>
      </w:pPr>
    </w:p>
    <w:p>
      <w:pPr>
        <w:ind w:left="1540"/>
        <w:spacing w:after="0" w:line="261" w:lineRule="auto"/>
        <w:rPr>
          <w:rFonts w:ascii="Arial" w:cs="Arial" w:eastAsia="Arial" w:hAnsi="Arial"/>
          <w:sz w:val="18"/>
          <w:szCs w:val="18"/>
          <w:color w:val="auto"/>
        </w:rPr>
      </w:pPr>
      <w:r>
        <w:rPr>
          <w:rFonts w:ascii="Arial" w:cs="Arial" w:eastAsia="Arial" w:hAnsi="Arial"/>
          <w:sz w:val="18"/>
          <w:szCs w:val="18"/>
          <w:color w:val="auto"/>
        </w:rPr>
        <w:t>The Company believes that its tax positions are all highly certain of being upheld upon examination. As such, as of December 31, 2012 and 2011 the Company has not recorded a liability for uncertain tax positions.</w:t>
      </w:r>
    </w:p>
    <w:p>
      <w:pPr>
        <w:spacing w:after="0" w:line="183" w:lineRule="exact"/>
        <w:rPr>
          <w:rFonts w:ascii="Arial" w:cs="Arial" w:eastAsia="Arial" w:hAnsi="Arial"/>
          <w:sz w:val="18"/>
          <w:szCs w:val="18"/>
          <w:color w:val="auto"/>
        </w:rPr>
      </w:pPr>
    </w:p>
    <w:p>
      <w:pPr>
        <w:ind w:left="1520" w:hanging="499"/>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Concentrations of credit risk:</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cash equivalents, short term bank deposit and restricted bank deposits.</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81"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no off-balance-sheet concentration of credit risk such as foreign exchange contracts, option contracts or other foreign hedging arrangements.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540" w:right="20"/>
        <w:spacing w:after="0" w:line="308" w:lineRule="auto"/>
        <w:rPr>
          <w:rFonts w:ascii="Arial" w:cs="Arial" w:eastAsia="Arial" w:hAnsi="Arial"/>
          <w:sz w:val="18"/>
          <w:szCs w:val="18"/>
          <w:color w:val="auto"/>
        </w:rPr>
      </w:pPr>
      <w:r>
        <w:rPr>
          <w:rFonts w:ascii="Arial" w:cs="Arial" w:eastAsia="Arial" w:hAnsi="Arial"/>
          <w:sz w:val="17"/>
          <w:szCs w:val="17"/>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40"/>
        <w:spacing w:after="0" w:line="273" w:lineRule="auto"/>
        <w:rPr>
          <w:sz w:val="20"/>
          <w:szCs w:val="20"/>
          <w:color w:val="auto"/>
        </w:rPr>
      </w:pPr>
      <w:r>
        <w:rPr>
          <w:rFonts w:ascii="Arial" w:cs="Arial" w:eastAsia="Arial" w:hAnsi="Arial"/>
          <w:sz w:val="17"/>
          <w:szCs w:val="17"/>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7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As a basis for considering such assumptions, ASC 820 establishes a three-tier value hierarchy, which prioritizes the inputs used in the valuation methodologies in measuring fair value:</w:t>
      </w:r>
    </w:p>
    <w:p>
      <w:pPr>
        <w:sectPr>
          <w:pgSz w:w="11900" w:h="16838" w:orient="portrait"/>
          <w:cols w:equalWidth="0" w:num="1">
            <w:col w:w="11420"/>
          </w:cols>
          <w:pgMar w:left="240" w:top="877" w:right="239" w:bottom="1440" w:gutter="0" w:footer="0" w:header="0"/>
        </w:sectPr>
      </w:pP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Level 1 -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87" w:lineRule="exact"/>
        <w:rPr>
          <w:sz w:val="20"/>
          <w:szCs w:val="20"/>
          <w:color w:val="auto"/>
        </w:rPr>
      </w:pPr>
    </w:p>
    <w:p>
      <w:pPr>
        <w:sectPr>
          <w:pgSz w:w="11900" w:h="16838" w:orient="portrait"/>
          <w:cols w:equalWidth="0" w:num="2">
            <w:col w:w="2180" w:space="660"/>
            <w:col w:w="8580"/>
          </w:cols>
          <w:pgMar w:left="240" w:top="877" w:right="239" w:bottom="1440" w:gutter="0" w:footer="0" w:header="0"/>
          <w:type w:val="continuous"/>
        </w:sectPr>
      </w:pPr>
    </w:p>
    <w:p>
      <w:pPr>
        <w:ind w:left="1540"/>
        <w:spacing w:after="0"/>
        <w:rPr>
          <w:sz w:val="20"/>
          <w:szCs w:val="20"/>
          <w:color w:val="auto"/>
        </w:rPr>
      </w:pPr>
      <w:r>
        <w:rPr>
          <w:rFonts w:ascii="Arial" w:cs="Arial" w:eastAsia="Arial" w:hAnsi="Arial"/>
          <w:sz w:val="16"/>
          <w:szCs w:val="16"/>
          <w:color w:val="auto"/>
        </w:rPr>
        <w:t>Level 2 -</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170" w:lineRule="exact"/>
        <w:rPr>
          <w:sz w:val="20"/>
          <w:szCs w:val="20"/>
          <w:color w:val="auto"/>
        </w:rPr>
      </w:pPr>
    </w:p>
    <w:p>
      <w:pPr>
        <w:sectPr>
          <w:pgSz w:w="11900" w:h="16838" w:orient="portrait"/>
          <w:cols w:equalWidth="0" w:num="2">
            <w:col w:w="2180" w:space="660"/>
            <w:col w:w="8580"/>
          </w:cols>
          <w:pgMar w:left="240" w:top="877" w:right="239" w:bottom="1440" w:gutter="0" w:footer="0" w:header="0"/>
          <w:type w:val="continuous"/>
        </w:sectPr>
      </w:pPr>
    </w:p>
    <w:p>
      <w:pPr>
        <w:ind w:left="1540"/>
        <w:spacing w:after="0"/>
        <w:rPr>
          <w:sz w:val="20"/>
          <w:szCs w:val="20"/>
          <w:color w:val="auto"/>
        </w:rPr>
      </w:pPr>
      <w:r>
        <w:rPr>
          <w:rFonts w:ascii="Arial" w:cs="Arial" w:eastAsia="Arial" w:hAnsi="Arial"/>
          <w:sz w:val="16"/>
          <w:szCs w:val="16"/>
          <w:color w:val="auto"/>
        </w:rPr>
        <w:t>Level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Valuations based on inputs that are unobservable and significant to the overall fair value measurement.</w:t>
      </w:r>
    </w:p>
    <w:p>
      <w:pPr>
        <w:spacing w:after="0" w:line="200" w:lineRule="exact"/>
        <w:rPr>
          <w:sz w:val="20"/>
          <w:szCs w:val="20"/>
          <w:color w:val="auto"/>
        </w:rPr>
      </w:pPr>
    </w:p>
    <w:p>
      <w:pPr>
        <w:sectPr>
          <w:pgSz w:w="11900" w:h="16838" w:orient="portrait"/>
          <w:cols w:equalWidth="0" w:num="2">
            <w:col w:w="2180" w:space="660"/>
            <w:col w:w="8580"/>
          </w:cols>
          <w:pgMar w:left="240" w:top="877" w:right="239" w:bottom="1440" w:gutter="0" w:footer="0" w:header="0"/>
          <w:type w:val="continuous"/>
        </w:sectPr>
      </w:pPr>
    </w:p>
    <w:p>
      <w:pPr>
        <w:spacing w:after="0" w:line="48"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70" w:lineRule="exact"/>
        <w:rPr>
          <w:sz w:val="20"/>
          <w:szCs w:val="20"/>
          <w:color w:val="auto"/>
        </w:rPr>
      </w:pPr>
    </w:p>
    <w:p>
      <w:pPr>
        <w:ind w:left="1520" w:hanging="499"/>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225" w:lineRule="exact"/>
        <w:rPr>
          <w:rFonts w:ascii="Arial" w:cs="Arial" w:eastAsia="Arial" w:hAnsi="Arial"/>
          <w:sz w:val="18"/>
          <w:szCs w:val="18"/>
          <w:color w:val="auto"/>
        </w:rPr>
      </w:pPr>
    </w:p>
    <w:p>
      <w:pPr>
        <w:jc w:val="both"/>
        <w:ind w:left="1540"/>
        <w:spacing w:after="0" w:line="312" w:lineRule="auto"/>
        <w:rPr>
          <w:rFonts w:ascii="Arial" w:cs="Arial" w:eastAsia="Arial" w:hAnsi="Arial"/>
          <w:sz w:val="18"/>
          <w:szCs w:val="18"/>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46"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All outstanding stock options and warrants have been excluded from the calculation of the diluted net loss per share because all such securities are anti-dilutive for all periods presented.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88"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Black-Scholes-Merton ("Black-Scholes") option-pricing model as the fair value method for of its stock-options awards. The option-pricing model requires a number of assumptions as noted below:</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assumption is based on the Company's historical experience and expectation of no</w:t>
      </w:r>
      <w:r>
        <w:rPr>
          <w:rFonts w:ascii="Arial" w:cs="Arial" w:eastAsia="Arial" w:hAnsi="Arial"/>
          <w:sz w:val="18"/>
          <w:szCs w:val="18"/>
          <w:i w:val="1"/>
          <w:iCs w:val="1"/>
          <w:color w:val="auto"/>
        </w:rPr>
        <w:t xml:space="preserve"> </w:t>
      </w:r>
      <w:r>
        <w:rPr>
          <w:rFonts w:ascii="Arial" w:cs="Arial" w:eastAsia="Arial" w:hAnsi="Arial"/>
          <w:sz w:val="18"/>
          <w:szCs w:val="18"/>
          <w:color w:val="auto"/>
        </w:rPr>
        <w:t>future dividend payouts. The Company has historically not paid cash dividends and has no foreseeable plans to pay cash dividends in the future.</w:t>
      </w:r>
    </w:p>
    <w:p>
      <w:pPr>
        <w:spacing w:after="0" w:line="181"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Since the Company is not traded on any stock exchange market, quoted prices of the Company's share are unavailable.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ASC 718, due to insufficient or no historical data for a company, the expected volatility determination was based on similar companies' stock volatility.</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NOTE 3:-   RECEIVABLES AND PREPAID EXPENSES</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Government authorities</w:t>
            </w:r>
          </w:p>
        </w:tc>
        <w:tc>
          <w:tcPr>
            <w:tcW w:w="21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Advance to suppliers</w:t>
            </w:r>
          </w:p>
        </w:tc>
        <w:tc>
          <w:tcPr>
            <w:tcW w:w="190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5220" w:type="dxa"/>
            <w:vAlign w:val="bottom"/>
            <w:shd w:val="clear" w:color="auto" w:fill="CCFFCC"/>
          </w:tcPr>
          <w:p>
            <w:pPr>
              <w:spacing w:after="0"/>
              <w:rPr>
                <w:sz w:val="21"/>
                <w:szCs w:val="21"/>
                <w:color w:val="auto"/>
              </w:rPr>
            </w:pPr>
          </w:p>
        </w:tc>
        <w:tc>
          <w:tcPr>
            <w:tcW w:w="1900" w:type="dxa"/>
            <w:vAlign w:val="bottom"/>
            <w:shd w:val="clear" w:color="auto" w:fill="CCFFCC"/>
          </w:tcPr>
          <w:p>
            <w:pPr>
              <w:spacing w:after="0"/>
              <w:rPr>
                <w:sz w:val="21"/>
                <w:szCs w:val="21"/>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220" w:type="dxa"/>
            <w:vAlign w:val="bottom"/>
            <w:shd w:val="clear" w:color="auto" w:fill="CCFFCC"/>
          </w:tcPr>
          <w:p>
            <w:pPr>
              <w:spacing w:after="0" w:line="20" w:lineRule="exact"/>
              <w:rPr>
                <w:sz w:val="1"/>
                <w:szCs w:val="1"/>
                <w:color w:val="auto"/>
              </w:rPr>
            </w:pPr>
          </w:p>
        </w:tc>
        <w:tc>
          <w:tcPr>
            <w:tcW w:w="19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2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spacing w:after="0"/>
              <w:rPr>
                <w:sz w:val="19"/>
                <w:szCs w:val="19"/>
                <w:color w:val="auto"/>
              </w:rPr>
            </w:pPr>
          </w:p>
        </w:tc>
        <w:tc>
          <w:tcPr>
            <w:tcW w:w="1900" w:type="dxa"/>
            <w:vAlign w:val="bottom"/>
            <w:tcBorders>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Cost:</w:t>
            </w: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Computers and electronic equipment</w:t>
            </w:r>
          </w:p>
        </w:tc>
        <w:tc>
          <w:tcPr>
            <w:tcW w:w="2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ind w:left="40"/>
              <w:spacing w:after="0"/>
              <w:rPr>
                <w:sz w:val="20"/>
                <w:szCs w:val="20"/>
                <w:color w:val="auto"/>
              </w:rPr>
            </w:pPr>
            <w:r>
              <w:rPr>
                <w:rFonts w:ascii="Arial" w:cs="Arial" w:eastAsia="Arial" w:hAnsi="Arial"/>
                <w:sz w:val="18"/>
                <w:szCs w:val="18"/>
                <w:color w:val="auto"/>
              </w:rPr>
              <w:t>Office furniture and equipment</w:t>
            </w: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Clinical and medical equipment</w:t>
            </w:r>
          </w:p>
        </w:tc>
        <w:tc>
          <w:tcPr>
            <w:tcW w:w="19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spacing w:after="0"/>
              <w:rPr>
                <w:sz w:val="19"/>
                <w:szCs w:val="19"/>
                <w:color w:val="auto"/>
              </w:rPr>
            </w:pPr>
          </w:p>
        </w:tc>
        <w:tc>
          <w:tcPr>
            <w:tcW w:w="19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Accumulated depreciation:</w:t>
            </w: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Computers and electronic equipment</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ind w:left="40"/>
              <w:spacing w:after="0"/>
              <w:rPr>
                <w:sz w:val="20"/>
                <w:szCs w:val="20"/>
                <w:color w:val="auto"/>
              </w:rPr>
            </w:pPr>
            <w:r>
              <w:rPr>
                <w:rFonts w:ascii="Arial" w:cs="Arial" w:eastAsia="Arial" w:hAnsi="Arial"/>
                <w:sz w:val="18"/>
                <w:szCs w:val="18"/>
                <w:color w:val="auto"/>
              </w:rPr>
              <w:t>Office furniture and equipment</w:t>
            </w: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Clinical and medical equipment</w:t>
            </w:r>
          </w:p>
        </w:tc>
        <w:tc>
          <w:tcPr>
            <w:tcW w:w="19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spacing w:after="0"/>
              <w:rPr>
                <w:sz w:val="19"/>
                <w:szCs w:val="19"/>
                <w:color w:val="auto"/>
              </w:rPr>
            </w:pPr>
          </w:p>
        </w:tc>
        <w:tc>
          <w:tcPr>
            <w:tcW w:w="19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Depreciated cost</w:t>
            </w:r>
          </w:p>
        </w:tc>
        <w:tc>
          <w:tcPr>
            <w:tcW w:w="2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5220" w:type="dxa"/>
            <w:vAlign w:val="bottom"/>
            <w:vMerge w:val="restart"/>
          </w:tcPr>
          <w:p>
            <w:pPr>
              <w:ind w:left="340"/>
              <w:spacing w:after="0"/>
              <w:rPr>
                <w:sz w:val="20"/>
                <w:szCs w:val="20"/>
                <w:color w:val="auto"/>
              </w:rPr>
            </w:pPr>
            <w:r>
              <w:rPr>
                <w:rFonts w:ascii="Arial" w:cs="Arial" w:eastAsia="Arial" w:hAnsi="Arial"/>
                <w:sz w:val="18"/>
                <w:szCs w:val="18"/>
                <w:color w:val="auto"/>
              </w:rPr>
              <w:t>Represents an amount lower than $ 1.</w:t>
            </w:r>
          </w:p>
        </w:tc>
        <w:tc>
          <w:tcPr>
            <w:tcW w:w="1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00" w:type="dxa"/>
            <w:vAlign w:val="bottom"/>
            <w:gridSpan w:val="2"/>
            <w:vMerge w:val="continue"/>
          </w:tcPr>
          <w:p>
            <w:pPr>
              <w:spacing w:after="0"/>
              <w:rPr>
                <w:sz w:val="24"/>
                <w:szCs w:val="24"/>
                <w:color w:val="auto"/>
              </w:rPr>
            </w:pPr>
          </w:p>
        </w:tc>
        <w:tc>
          <w:tcPr>
            <w:tcW w:w="522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Depreciation expenses for the years ended December 31, 2012 and 2011 were $ 7 and $ 6,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NOTE 5:-   OTHER ACCOUNTS PAYABLE</w:t>
            </w:r>
          </w:p>
        </w:tc>
        <w:tc>
          <w:tcPr>
            <w:tcW w:w="2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Employees and payroll accruals</w:t>
            </w:r>
          </w:p>
        </w:tc>
        <w:tc>
          <w:tcPr>
            <w:tcW w:w="3160" w:type="dxa"/>
            <w:vAlign w:val="bottom"/>
            <w:gridSpan w:val="2"/>
            <w:shd w:val="clear" w:color="auto" w:fill="CCFFCC"/>
          </w:tcPr>
          <w:p>
            <w:pPr>
              <w:jc w:val="right"/>
              <w:ind w:right="6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960" w:type="dxa"/>
            <w:vAlign w:val="bottom"/>
            <w:gridSpan w:val="2"/>
            <w:shd w:val="clear" w:color="auto" w:fill="CCFFCC"/>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Accrued expenses</w:t>
            </w:r>
          </w:p>
        </w:tc>
        <w:tc>
          <w:tcPr>
            <w:tcW w:w="2360" w:type="dxa"/>
            <w:vAlign w:val="bottom"/>
            <w:tcBorders>
              <w:bottom w:val="single" w:sz="8" w:color="CCFFC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31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CONVERTIBLE NOTES</w:t>
            </w:r>
          </w:p>
        </w:tc>
        <w:tc>
          <w:tcPr>
            <w:tcW w:w="2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gridSpan w:val="2"/>
            <w:vMerge w:val="continue"/>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520" w:hanging="499"/>
        <w:spacing w:after="0" w:line="273" w:lineRule="auto"/>
        <w:tabs>
          <w:tab w:leader="none" w:pos="1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9(c)(6)) the convertible note and the accumulated interest, in an amount of $ 224 were converted into 128,512 Preferred B2 shares.</w:t>
      </w:r>
    </w:p>
    <w:p>
      <w:pPr>
        <w:spacing w:after="0" w:line="178" w:lineRule="exact"/>
        <w:rPr>
          <w:rFonts w:ascii="Arial" w:cs="Arial" w:eastAsia="Arial" w:hAnsi="Arial"/>
          <w:sz w:val="17"/>
          <w:szCs w:val="17"/>
          <w:color w:val="auto"/>
        </w:rPr>
      </w:pPr>
    </w:p>
    <w:p>
      <w:pPr>
        <w:jc w:val="both"/>
        <w:ind w:left="1520" w:hanging="499"/>
        <w:spacing w:after="0" w:line="272" w:lineRule="auto"/>
        <w:tabs>
          <w:tab w:leader="none" w:pos="1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78" w:lineRule="exact"/>
        <w:rPr>
          <w:sz w:val="20"/>
          <w:szCs w:val="20"/>
          <w:color w:val="auto"/>
        </w:rPr>
      </w:pPr>
    </w:p>
    <w:p>
      <w:pPr>
        <w:jc w:val="both"/>
        <w:ind w:left="1020"/>
        <w:spacing w:after="0" w:line="255" w:lineRule="auto"/>
        <w:rPr>
          <w:sz w:val="20"/>
          <w:szCs w:val="20"/>
          <w:color w:val="auto"/>
        </w:rPr>
      </w:pPr>
      <w:r>
        <w:rPr>
          <w:rFonts w:ascii="Arial" w:cs="Arial" w:eastAsia="Arial" w:hAnsi="Arial"/>
          <w:sz w:val="18"/>
          <w:szCs w:val="18"/>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 which approximates the fair value.</w:t>
      </w:r>
    </w:p>
    <w:p>
      <w:pPr>
        <w:spacing w:after="0" w:line="193"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Upon conversion of the convertible note in February 2010, the entire redemption amount was derecognized against additional paid in capital in the amount of $ 279. As of December 31, 2012, the convertible notes redemption amount was $ 662.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tab/>
        <w:t>INCOME TAXES</w:t>
      </w:r>
    </w:p>
    <w:p>
      <w:pPr>
        <w:spacing w:after="0" w:line="229" w:lineRule="exact"/>
        <w:rPr>
          <w:sz w:val="20"/>
          <w:szCs w:val="20"/>
          <w:color w:val="auto"/>
        </w:rPr>
      </w:pPr>
    </w:p>
    <w:p>
      <w:pPr>
        <w:ind w:left="1520" w:hanging="499"/>
        <w:spacing w:after="0"/>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 rates applicable to the Company:</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is incorporated in Israel. Taxable income of Israeli companies is subject to tax at the rate of 24% in 2011 and 25% in 2012 and onwards.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operating losses carry forward:</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accumulated losses for tax purposes as of December 31, 2012 in the amount of approximately $ 4,600 which may be carried forward and offset against taxable income in the future for an indefinite period.</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91"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r>
      <w:tr>
        <w:trPr>
          <w:trHeight w:val="210"/>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 carry forward</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1,153</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703</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Reserves and allowances</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r>
      <w:tr>
        <w:trPr>
          <w:trHeight w:val="210"/>
        </w:trPr>
        <w:tc>
          <w:tcPr>
            <w:tcW w:w="68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deferred tax asset before valuation allowance</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1,461</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1,044</w:t>
            </w:r>
          </w:p>
        </w:tc>
      </w:tr>
      <w:tr>
        <w:trPr>
          <w:trHeight w:val="230"/>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(1,461)</w:t>
            </w:r>
          </w:p>
        </w:tc>
        <w:tc>
          <w:tcPr>
            <w:tcW w:w="22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(1,044)</w:t>
            </w:r>
          </w:p>
        </w:tc>
      </w:tr>
      <w:tr>
        <w:trPr>
          <w:trHeight w:val="210"/>
        </w:trPr>
        <w:tc>
          <w:tcPr>
            <w:tcW w:w="6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Net deferred tax asset</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87" w:lineRule="exact"/>
        <w:rPr>
          <w:sz w:val="20"/>
          <w:szCs w:val="20"/>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liability for uncertain tax positions was recorded as a result of implementation of ASC 740.</w:t>
      </w:r>
    </w:p>
    <w:p>
      <w:pPr>
        <w:spacing w:after="0" w:line="225" w:lineRule="exact"/>
        <w:rPr>
          <w:rFonts w:ascii="Arial" w:cs="Arial" w:eastAsia="Arial" w:hAnsi="Arial"/>
          <w:sz w:val="18"/>
          <w:szCs w:val="18"/>
          <w:color w:val="auto"/>
        </w:rPr>
      </w:pPr>
    </w:p>
    <w:p>
      <w:pPr>
        <w:jc w:val="both"/>
        <w:ind w:left="1520" w:hanging="499"/>
        <w:spacing w:after="0" w:line="264" w:lineRule="auto"/>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8:-</w:t>
        <w:tab/>
        <w:t>CONTINGENT LIABILITIES AND COMMITMENTS</w:t>
      </w:r>
    </w:p>
    <w:p>
      <w:pPr>
        <w:spacing w:after="0" w:line="229" w:lineRule="exact"/>
        <w:rPr>
          <w:sz w:val="20"/>
          <w:szCs w:val="20"/>
          <w:color w:val="auto"/>
        </w:rPr>
      </w:pPr>
    </w:p>
    <w:p>
      <w:pPr>
        <w:ind w:left="1520" w:hanging="499"/>
        <w:spacing w:after="0" w:line="342" w:lineRule="auto"/>
        <w:tabs>
          <w:tab w:leader="none" w:pos="1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23" w:lineRule="exact"/>
        <w:rPr>
          <w:rFonts w:ascii="Arial" w:cs="Arial" w:eastAsia="Arial" w:hAnsi="Arial"/>
          <w:sz w:val="16"/>
          <w:szCs w:val="16"/>
          <w:color w:val="auto"/>
        </w:rPr>
      </w:pPr>
    </w:p>
    <w:p>
      <w:pPr>
        <w:ind w:left="1520" w:hanging="499"/>
        <w:spacing w:after="0" w:line="342" w:lineRule="auto"/>
        <w:tabs>
          <w:tab w:leader="none" w:pos="1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133"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FFCC"/>
          </w:tcPr>
          <w:p>
            <w:pPr>
              <w:spacing w:after="0"/>
              <w:rPr>
                <w:sz w:val="18"/>
                <w:szCs w:val="18"/>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0"/>
        </w:trPr>
        <w:tc>
          <w:tcPr>
            <w:tcW w:w="59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43"/>
        </w:trPr>
        <w:tc>
          <w:tcPr>
            <w:tcW w:w="5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r>
      <w:tr>
        <w:trPr>
          <w:trHeight w:val="20"/>
        </w:trPr>
        <w:tc>
          <w:tcPr>
            <w:tcW w:w="5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may impose certain conditions on any arrangement under which it permits the Company to transfer technology or development out of Israel.</w:t>
      </w:r>
    </w:p>
    <w:p>
      <w:pPr>
        <w:spacing w:after="0" w:line="1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w:t>
      </w:r>
    </w:p>
    <w:p>
      <w:pPr>
        <w:spacing w:after="0" w:line="229" w:lineRule="exact"/>
        <w:rPr>
          <w:sz w:val="20"/>
          <w:szCs w:val="20"/>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jc w:val="both"/>
        <w:ind w:left="1520"/>
        <w:spacing w:after="0" w:line="264" w:lineRule="auto"/>
        <w:rPr>
          <w:rFonts w:ascii="Arial" w:cs="Arial" w:eastAsia="Arial" w:hAnsi="Arial"/>
          <w:sz w:val="18"/>
          <w:szCs w:val="18"/>
          <w:color w:val="auto"/>
        </w:rPr>
      </w:pPr>
      <w:r>
        <w:rPr>
          <w:rFonts w:ascii="Arial" w:cs="Arial" w:eastAsia="Arial" w:hAnsi="Arial"/>
          <w:sz w:val="18"/>
          <w:szCs w:val="18"/>
          <w:color w:val="auto"/>
        </w:rPr>
        <w:t>All Ordinary shares, options, warrants, per share data, exercise price and convertible notes conversion ratio included in these financial statements for all periods presented have been retroactively adjusted to reflect the issuance on May 19, 2013 of 4.87-to-one bonus shares (equivalent to a 5.87-for-1 stock split).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Issuances of share:</w:t>
      </w:r>
    </w:p>
    <w:p>
      <w:pPr>
        <w:spacing w:after="0" w:line="225" w:lineRule="exact"/>
        <w:rPr>
          <w:rFonts w:ascii="Arial" w:cs="Arial" w:eastAsia="Arial" w:hAnsi="Arial"/>
          <w:sz w:val="18"/>
          <w:szCs w:val="18"/>
          <w:color w:val="auto"/>
        </w:rPr>
      </w:pPr>
    </w:p>
    <w:p>
      <w:pPr>
        <w:ind w:left="2040" w:hanging="506"/>
        <w:spacing w:after="0"/>
        <w:tabs>
          <w:tab w:leader="none" w:pos="2040" w:val="left"/>
        </w:tabs>
        <w:numPr>
          <w:ilvl w:val="1"/>
          <w:numId w:val="91"/>
        </w:numPr>
        <w:rPr>
          <w:rFonts w:ascii="Arial" w:cs="Arial" w:eastAsia="Arial" w:hAnsi="Arial"/>
          <w:sz w:val="17"/>
          <w:szCs w:val="17"/>
          <w:color w:val="auto"/>
        </w:rPr>
      </w:pPr>
      <w:r>
        <w:rPr>
          <w:rFonts w:ascii="Arial" w:cs="Arial" w:eastAsia="Arial" w:hAnsi="Arial"/>
          <w:sz w:val="17"/>
          <w:szCs w:val="17"/>
          <w:color w:val="auto"/>
        </w:rPr>
        <w:t>On February 7, 2008, (inception day) the Company issued 5,752,600 Ordinary shares in consideration of their par value.</w:t>
      </w:r>
    </w:p>
    <w:p>
      <w:pPr>
        <w:spacing w:after="0" w:line="236" w:lineRule="exact"/>
        <w:rPr>
          <w:rFonts w:ascii="Arial" w:cs="Arial" w:eastAsia="Arial" w:hAnsi="Arial"/>
          <w:sz w:val="17"/>
          <w:szCs w:val="17"/>
          <w:color w:val="auto"/>
        </w:rPr>
      </w:pPr>
    </w:p>
    <w:p>
      <w:pPr>
        <w:ind w:left="2040" w:hanging="506"/>
        <w:spacing w:after="0" w:line="277" w:lineRule="auto"/>
        <w:tabs>
          <w:tab w:leader="none" w:pos="2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February 2008, the Company entered into an investment agreement, according to the agreement, the Company issued 434,814 Preferred A shares in consideration of $ 400.</w:t>
      </w:r>
    </w:p>
    <w:p>
      <w:pPr>
        <w:spacing w:after="0" w:line="170" w:lineRule="exact"/>
        <w:rPr>
          <w:rFonts w:ascii="Arial" w:cs="Arial" w:eastAsia="Arial" w:hAnsi="Arial"/>
          <w:sz w:val="18"/>
          <w:szCs w:val="18"/>
          <w:color w:val="auto"/>
        </w:rPr>
      </w:pPr>
    </w:p>
    <w:p>
      <w:pPr>
        <w:jc w:val="both"/>
        <w:ind w:left="2040" w:hanging="506"/>
        <w:spacing w:after="0" w:line="264" w:lineRule="auto"/>
        <w:tabs>
          <w:tab w:leader="none" w:pos="2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May 2008, an agreement to purchase Preferred A shares was signed with a new investor (the "Investor"). Accordingly, as of December 31, 2008, 95,117 Preferred A shares were issued in consideration of $ 88. In January 2009, additional 95,112 Preferred A shares, were issued in consideration of $ 87.</w:t>
      </w:r>
    </w:p>
    <w:p>
      <w:pPr>
        <w:spacing w:after="0" w:line="181" w:lineRule="exact"/>
        <w:rPr>
          <w:rFonts w:ascii="Arial" w:cs="Arial" w:eastAsia="Arial" w:hAnsi="Arial"/>
          <w:sz w:val="18"/>
          <w:szCs w:val="18"/>
          <w:color w:val="auto"/>
        </w:rPr>
      </w:pPr>
    </w:p>
    <w:p>
      <w:pPr>
        <w:jc w:val="both"/>
        <w:ind w:left="2040"/>
        <w:spacing w:after="0" w:line="264" w:lineRule="auto"/>
        <w:rPr>
          <w:rFonts w:ascii="Arial" w:cs="Arial" w:eastAsia="Arial" w:hAnsi="Arial"/>
          <w:sz w:val="18"/>
          <w:szCs w:val="18"/>
          <w:color w:val="auto"/>
        </w:rPr>
      </w:pPr>
      <w:r>
        <w:rPr>
          <w:rFonts w:ascii="Arial" w:cs="Arial" w:eastAsia="Arial" w:hAnsi="Arial"/>
          <w:sz w:val="18"/>
          <w:szCs w:val="18"/>
          <w:color w:val="auto"/>
        </w:rPr>
        <w:t>In addition, the Company and the Investor agreed that the Investor shall supply clinical trial services in a value of up to $ 250 in exchange of up to 271,757 Preferred A shares. As of December 31, 2008, the investor provided part of the clinical trial services, for which 81,528 Preferred A shares were issued.</w:t>
      </w:r>
    </w:p>
    <w:p>
      <w:pPr>
        <w:spacing w:after="0" w:line="181"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7"/>
          <w:szCs w:val="17"/>
          <w:color w:val="auto"/>
        </w:rPr>
        <w:t>In January 2009, the Investor carried out the rest of the services and an additional 190,229 Preferred A shares were issued.</w:t>
      </w:r>
    </w:p>
    <w:p>
      <w:pPr>
        <w:spacing w:after="0" w:line="236" w:lineRule="exact"/>
        <w:rPr>
          <w:rFonts w:ascii="Arial" w:cs="Arial" w:eastAsia="Arial" w:hAnsi="Arial"/>
          <w:sz w:val="18"/>
          <w:szCs w:val="18"/>
          <w:color w:val="auto"/>
        </w:rPr>
      </w:pPr>
    </w:p>
    <w:p>
      <w:pPr>
        <w:jc w:val="both"/>
        <w:ind w:left="2040" w:hanging="506"/>
        <w:spacing w:after="0" w:line="342" w:lineRule="auto"/>
        <w:tabs>
          <w:tab w:leader="none" w:pos="20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 July 2008, the Company entered into an investment agreement. Accordingly, as of December 31, 2008, 217,408 Preferred A shares were issued in consideration of $ 184. In February 2009, 108,706 Preferred A shares were issued in consideration of $ 100.</w:t>
      </w:r>
    </w:p>
    <w:p>
      <w:pPr>
        <w:spacing w:after="0" w:line="123" w:lineRule="exact"/>
        <w:rPr>
          <w:rFonts w:ascii="Arial" w:cs="Arial" w:eastAsia="Arial" w:hAnsi="Arial"/>
          <w:sz w:val="16"/>
          <w:szCs w:val="16"/>
          <w:color w:val="auto"/>
        </w:rPr>
      </w:pPr>
    </w:p>
    <w:p>
      <w:pPr>
        <w:ind w:left="2040" w:hanging="506"/>
        <w:spacing w:after="0" w:line="277" w:lineRule="auto"/>
        <w:tabs>
          <w:tab w:leader="none" w:pos="2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relation with the convertible loan agreement dated June 2009, in July 2009, 461,987 Preferred A shares of an existing investor that did not participate in the loan agreement, were converted into 461,987 Ordinary shares.</w:t>
      </w:r>
    </w:p>
    <w:p>
      <w:pPr>
        <w:spacing w:after="0" w:line="170" w:lineRule="exact"/>
        <w:rPr>
          <w:rFonts w:ascii="Arial" w:cs="Arial" w:eastAsia="Arial" w:hAnsi="Arial"/>
          <w:sz w:val="18"/>
          <w:szCs w:val="18"/>
          <w:color w:val="auto"/>
        </w:rPr>
      </w:pPr>
    </w:p>
    <w:p>
      <w:pPr>
        <w:jc w:val="both"/>
        <w:ind w:left="2040" w:hanging="506"/>
        <w:spacing w:after="0" w:line="302" w:lineRule="auto"/>
        <w:tabs>
          <w:tab w:leader="none" w:pos="20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 February 2010, an agreement to purchase Preferred B shares was signed. Accordingly, 183,356 Preferred B shares were issued in consideration of $ 400. In addition, the Convertible Notes were converted (see Note 6(a)). As a part of the above agreement, the Company granted to investors warrants to purchase 77,965 Preferred B-3 shares at an exercise price of $ 2.73 per share. The warrants will expire five years after the date of grant. As of December 31, 2012, the warrants were not exercised.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jc w:val="both"/>
        <w:ind w:left="2040"/>
        <w:spacing w:after="0" w:line="279" w:lineRule="auto"/>
        <w:rPr>
          <w:sz w:val="20"/>
          <w:szCs w:val="20"/>
          <w:color w:val="auto"/>
        </w:rPr>
      </w:pPr>
      <w:r>
        <w:rPr>
          <w:rFonts w:ascii="Arial" w:cs="Arial" w:eastAsia="Arial" w:hAnsi="Arial"/>
          <w:sz w:val="17"/>
          <w:szCs w:val="17"/>
          <w:color w:val="auto"/>
        </w:rPr>
        <w:t>As a part of the 2010 Agreement, the Company entered into a service agreement according to which a service provider will provide clinical trial services for up to 55,008 Preferred B-1 shares. As of December 31, 2010, the services provider supplied the clinical trial services and 55,008 Preferred B-1 shares and 11,458 warrants to Preferred B-3 were issued. The Company recorded a compensation expense in the amount of $120 in the year ended December 31, 2010.</w:t>
      </w:r>
    </w:p>
    <w:p>
      <w:pPr>
        <w:spacing w:after="0" w:line="171" w:lineRule="exact"/>
        <w:rPr>
          <w:sz w:val="20"/>
          <w:szCs w:val="20"/>
          <w:color w:val="auto"/>
        </w:rPr>
      </w:pPr>
    </w:p>
    <w:p>
      <w:pPr>
        <w:jc w:val="both"/>
        <w:ind w:left="2040"/>
        <w:spacing w:after="0" w:line="277" w:lineRule="auto"/>
        <w:rPr>
          <w:sz w:val="20"/>
          <w:szCs w:val="20"/>
          <w:color w:val="auto"/>
        </w:rPr>
      </w:pPr>
      <w:r>
        <w:rPr>
          <w:rFonts w:ascii="Arial" w:cs="Arial" w:eastAsia="Arial" w:hAnsi="Arial"/>
          <w:sz w:val="18"/>
          <w:szCs w:val="18"/>
          <w:color w:val="auto"/>
        </w:rPr>
        <w:t>In August 2010, additional 159,335 preferred B shares and 39,834 warrants to preferred B-3 were issued for a total consideration of $323 (net of $26 issuance expenses).</w:t>
      </w:r>
    </w:p>
    <w:p>
      <w:pPr>
        <w:spacing w:after="0" w:line="170" w:lineRule="exact"/>
        <w:rPr>
          <w:sz w:val="20"/>
          <w:szCs w:val="20"/>
          <w:color w:val="auto"/>
        </w:rPr>
      </w:pPr>
    </w:p>
    <w:p>
      <w:pPr>
        <w:jc w:val="both"/>
        <w:ind w:left="2040" w:hanging="506"/>
        <w:spacing w:after="0" w:line="255" w:lineRule="auto"/>
        <w:tabs>
          <w:tab w:leader="none" w:pos="2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do not reach a Buyout agreement. To the extent a Buyout agreement is executed by March 2011, the loan will be converted into Ordinary shares. In March 2011, the Buyout agreement was executed and the Company issued to the Strategic Investor 199,979 Ordinary shares in consideration of $ 2,170 (net of $130 issuance expenses).</w:t>
      </w:r>
    </w:p>
    <w:p>
      <w:pPr>
        <w:spacing w:after="0" w:line="193" w:lineRule="exact"/>
        <w:rPr>
          <w:rFonts w:ascii="Arial" w:cs="Arial" w:eastAsia="Arial" w:hAnsi="Arial"/>
          <w:sz w:val="18"/>
          <w:szCs w:val="18"/>
          <w:color w:val="auto"/>
        </w:rPr>
      </w:pPr>
    </w:p>
    <w:p>
      <w:pPr>
        <w:jc w:val="both"/>
        <w:ind w:left="2040"/>
        <w:spacing w:after="0" w:line="273" w:lineRule="auto"/>
        <w:rPr>
          <w:rFonts w:ascii="Arial" w:cs="Arial" w:eastAsia="Arial" w:hAnsi="Arial"/>
          <w:sz w:val="18"/>
          <w:szCs w:val="18"/>
          <w:color w:val="auto"/>
        </w:rPr>
      </w:pPr>
      <w:r>
        <w:rPr>
          <w:rFonts w:ascii="Arial" w:cs="Arial" w:eastAsia="Arial" w:hAnsi="Arial"/>
          <w:sz w:val="17"/>
          <w:szCs w:val="17"/>
          <w:color w:val="auto"/>
        </w:rPr>
        <w:t>Additionally, 104,345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304,324 Ordinary shares to back the Company, without any consideration.</w:t>
      </w:r>
    </w:p>
    <w:p>
      <w:pPr>
        <w:spacing w:after="0" w:line="178" w:lineRule="exact"/>
        <w:rPr>
          <w:rFonts w:ascii="Arial" w:cs="Arial" w:eastAsia="Arial" w:hAnsi="Arial"/>
          <w:sz w:val="18"/>
          <w:szCs w:val="18"/>
          <w:color w:val="auto"/>
        </w:rPr>
      </w:pPr>
    </w:p>
    <w:p>
      <w:pPr>
        <w:jc w:val="both"/>
        <w:ind w:left="2040"/>
        <w:spacing w:after="0" w:line="272" w:lineRule="auto"/>
        <w:rPr>
          <w:rFonts w:ascii="Arial" w:cs="Arial" w:eastAsia="Arial" w:hAnsi="Arial"/>
          <w:sz w:val="18"/>
          <w:szCs w:val="18"/>
          <w:color w:val="auto"/>
        </w:rPr>
      </w:pPr>
      <w:r>
        <w:rPr>
          <w:rFonts w:ascii="Arial" w:cs="Arial" w:eastAsia="Arial" w:hAnsi="Arial"/>
          <w:sz w:val="17"/>
          <w:szCs w:val="17"/>
          <w:color w:val="auto"/>
        </w:rPr>
        <w:t>Prior to the closing of the Buyout agreement and as a condition to it, the Company affected an equity restructuring, under which, all of the Company's Preferred shares (1,287,138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 $ 15 and of $ 1,466 in the years ended December 31, 2012 and 2011, respectively. Additionally, a deemed dividend to other Ordinary shareholders was recorded in the amount of $ 180 for the year ended December 31, 2011.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2010 incentive option plan:</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December 31, 2012, 7,009 options were still available for future grants under the Plan.</w:t>
      </w:r>
    </w:p>
    <w:p>
      <w:pPr>
        <w:spacing w:after="0" w:line="18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88"/>
              </w:rPr>
              <w:t>Year ended December 31,</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1"/>
        </w:trPr>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gridSpan w:val="2"/>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Number of</w:t>
            </w: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Number of</w:t>
            </w:r>
          </w:p>
        </w:tc>
        <w:tc>
          <w:tcPr>
            <w:tcW w:w="120" w:type="dxa"/>
            <w:vAlign w:val="bottom"/>
          </w:tcPr>
          <w:p>
            <w:pPr>
              <w:spacing w:after="0"/>
              <w:rPr>
                <w:sz w:val="18"/>
                <w:szCs w:val="18"/>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5"/>
              </w:rPr>
              <w:t>exercise</w:t>
            </w:r>
          </w:p>
        </w:tc>
      </w:tr>
      <w:tr>
        <w:trPr>
          <w:trHeight w:val="234"/>
        </w:trPr>
        <w:tc>
          <w:tcPr>
            <w:tcW w:w="44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price</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price</w:t>
            </w:r>
          </w:p>
        </w:tc>
      </w:tr>
      <w:tr>
        <w:trPr>
          <w:trHeight w:val="210"/>
        </w:trPr>
        <w:tc>
          <w:tcPr>
            <w:tcW w:w="44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465,520</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0.21</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544,472</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FFC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0.33</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FFCC"/>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(77,572)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r>
        <w:trPr>
          <w:trHeight w:val="210"/>
        </w:trPr>
        <w:tc>
          <w:tcPr>
            <w:tcW w:w="448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83"/>
        </w:trPr>
        <w:tc>
          <w:tcPr>
            <w:tcW w:w="448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461,118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465,520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24"/>
                <w:szCs w:val="24"/>
                <w:color w:val="auto"/>
              </w:rPr>
            </w:pP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r>
      <w:tr>
        <w:trPr>
          <w:trHeight w:val="283"/>
        </w:trPr>
        <w:tc>
          <w:tcPr>
            <w:tcW w:w="448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461,118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465,520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24"/>
                <w:szCs w:val="24"/>
                <w:color w:val="auto"/>
              </w:rPr>
            </w:pP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366,464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305,017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1"/>
                <w:szCs w:val="21"/>
                <w:color w:val="auto"/>
              </w:rPr>
            </w:pPr>
          </w:p>
        </w:tc>
      </w:tr>
      <w:tr>
        <w:trPr>
          <w:trHeight w:val="20"/>
        </w:trPr>
        <w:tc>
          <w:tcPr>
            <w:tcW w:w="4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right="20"/>
        <w:spacing w:after="0" w:line="286" w:lineRule="auto"/>
        <w:rPr>
          <w:sz w:val="20"/>
          <w:szCs w:val="20"/>
          <w:color w:val="auto"/>
        </w:rPr>
      </w:pPr>
      <w:r>
        <w:rPr>
          <w:rFonts w:ascii="Arial" w:cs="Arial" w:eastAsia="Arial" w:hAnsi="Arial"/>
          <w:sz w:val="17"/>
          <w:szCs w:val="17"/>
          <w:color w:val="auto"/>
        </w:rPr>
        <w:t>As of December 31, 2012, the weighted-average remaining contractual term of the outstanding and exercisable options is 7.098 years; the aggregated intrinsic value of outstanding options and exercisable options is $38 and $38, respectively. As of December 31, 2012, the unrecognized compensation cost is $ 11 and $ 1 to be recognized in 2013 and 2014, respectively.</w:t>
      </w:r>
    </w:p>
    <w:p>
      <w:pPr>
        <w:spacing w:after="0" w:line="166" w:lineRule="exact"/>
        <w:rPr>
          <w:sz w:val="20"/>
          <w:szCs w:val="20"/>
          <w:color w:val="auto"/>
        </w:rPr>
      </w:pPr>
    </w:p>
    <w:p>
      <w:pPr>
        <w:jc w:val="both"/>
        <w:ind w:left="1540"/>
        <w:spacing w:after="0" w:line="297" w:lineRule="auto"/>
        <w:rPr>
          <w:sz w:val="20"/>
          <w:szCs w:val="20"/>
          <w:color w:val="auto"/>
        </w:rPr>
      </w:pPr>
      <w:r>
        <w:rPr>
          <w:rFonts w:ascii="Arial" w:cs="Arial" w:eastAsia="Arial" w:hAnsi="Arial"/>
          <w:sz w:val="16"/>
          <w:szCs w:val="16"/>
          <w:color w:val="auto"/>
        </w:rPr>
        <w:t>In addition, the Company granted an employee the following: (a) Options to purchase 88,050 Ordinary shares granted in 2010, at an exercise price of $ 0.33 per share. The options will vest immediately prior to and subject to the event of a merger of the Company into another corporation; (b) Options to purchase 89,553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5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According to ASC-718-10-20, compensation cost will be recognized if the performance condition is satisfied. As of December 31, 2012, no compensation cost was recognized.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jc w:val="both"/>
        <w:ind w:left="1520"/>
        <w:spacing w:after="0" w:line="257" w:lineRule="auto"/>
        <w:rPr>
          <w:sz w:val="20"/>
          <w:szCs w:val="20"/>
          <w:color w:val="auto"/>
        </w:rPr>
      </w:pPr>
      <w:r>
        <w:rPr>
          <w:rFonts w:ascii="Arial" w:cs="Arial" w:eastAsia="Arial" w:hAnsi="Arial"/>
          <w:sz w:val="18"/>
          <w:szCs w:val="18"/>
          <w:color w:val="auto"/>
        </w:rPr>
        <w:t>In addition, in December 2012, the Company granted a director the following options: (a) Options to purchase 89,553 Ordinary shares. The exercise price shall be the effective price determined in the course of the Transaction; (b) Options to purchase 22,388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88" w:lineRule="exact"/>
        <w:rPr>
          <w:sz w:val="20"/>
          <w:szCs w:val="20"/>
          <w:color w:val="auto"/>
        </w:rPr>
      </w:pPr>
    </w:p>
    <w:p>
      <w:pPr>
        <w:jc w:val="both"/>
        <w:ind w:left="1520"/>
        <w:spacing w:after="0" w:line="342" w:lineRule="auto"/>
        <w:rPr>
          <w:sz w:val="20"/>
          <w:szCs w:val="20"/>
          <w:color w:val="auto"/>
        </w:rPr>
      </w:pPr>
      <w:r>
        <w:rPr>
          <w:rFonts w:ascii="Arial" w:cs="Arial" w:eastAsia="Arial" w:hAnsi="Arial"/>
          <w:sz w:val="16"/>
          <w:szCs w:val="16"/>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24" w:lineRule="exact"/>
        <w:rPr>
          <w:sz w:val="20"/>
          <w:szCs w:val="20"/>
          <w:color w:val="auto"/>
        </w:rPr>
      </w:pPr>
    </w:p>
    <w:p>
      <w:pPr>
        <w:ind w:left="1520" w:hanging="49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right="980"/>
        <w:spacing w:after="0" w:line="498"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Number of</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Exercise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20" w:type="dxa"/>
            <w:vAlign w:val="bottom"/>
            <w:gridSpan w:val="2"/>
          </w:tcPr>
          <w:p>
            <w:pPr>
              <w:ind w:left="2260"/>
              <w:spacing w:after="0"/>
              <w:rPr>
                <w:sz w:val="20"/>
                <w:szCs w:val="20"/>
                <w:color w:val="auto"/>
              </w:rPr>
            </w:pPr>
            <w:r>
              <w:rPr>
                <w:rFonts w:ascii="Arial" w:cs="Arial" w:eastAsia="Arial" w:hAnsi="Arial"/>
                <w:sz w:val="18"/>
                <w:szCs w:val="18"/>
                <w:b w:val="1"/>
                <w:bCs w:val="1"/>
                <w:color w:val="auto"/>
              </w:rPr>
              <w:t>Grant date</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price</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Expiration date</w:t>
            </w:r>
          </w:p>
        </w:tc>
        <w:tc>
          <w:tcPr>
            <w:tcW w:w="0" w:type="dxa"/>
            <w:vAlign w:val="bottom"/>
          </w:tcPr>
          <w:p>
            <w:pPr>
              <w:spacing w:after="0"/>
              <w:rPr>
                <w:sz w:val="1"/>
                <w:szCs w:val="1"/>
                <w:color w:val="auto"/>
              </w:rPr>
            </w:pPr>
          </w:p>
        </w:tc>
      </w:tr>
      <w:tr>
        <w:trPr>
          <w:trHeight w:val="210"/>
        </w:trPr>
        <w:tc>
          <w:tcPr>
            <w:tcW w:w="5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April 2, 2008</w:t>
            </w:r>
          </w:p>
        </w:tc>
        <w:tc>
          <w:tcPr>
            <w:tcW w:w="12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58,700</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0.0005</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April 2, 2018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February 28, 2010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8,805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2.1840</w:t>
            </w:r>
          </w:p>
        </w:tc>
        <w:tc>
          <w:tcPr>
            <w:tcW w:w="1340" w:type="dxa"/>
            <w:vAlign w:val="bottom"/>
          </w:tcPr>
          <w:p>
            <w:pPr>
              <w:jc w:val="right"/>
              <w:spacing w:after="0"/>
              <w:rPr>
                <w:sz w:val="20"/>
                <w:szCs w:val="20"/>
                <w:color w:val="auto"/>
              </w:rPr>
            </w:pPr>
            <w:r>
              <w:rPr>
                <w:rFonts w:ascii="Arial" w:cs="Arial" w:eastAsia="Arial" w:hAnsi="Arial"/>
                <w:sz w:val="18"/>
                <w:szCs w:val="18"/>
                <w:color w:val="auto"/>
                <w:w w:val="89"/>
              </w:rPr>
              <w:t>February 28,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February 13, 2011</w:t>
            </w:r>
          </w:p>
        </w:tc>
        <w:tc>
          <w:tcPr>
            <w:tcW w:w="12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1,174</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0.0005</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February 13,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February 17, 2011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3,804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0.0005</w:t>
            </w:r>
          </w:p>
        </w:tc>
        <w:tc>
          <w:tcPr>
            <w:tcW w:w="1340" w:type="dxa"/>
            <w:vAlign w:val="bottom"/>
          </w:tcPr>
          <w:p>
            <w:pPr>
              <w:jc w:val="right"/>
              <w:spacing w:after="0"/>
              <w:rPr>
                <w:sz w:val="20"/>
                <w:szCs w:val="20"/>
                <w:color w:val="auto"/>
              </w:rPr>
            </w:pPr>
            <w:r>
              <w:rPr>
                <w:rFonts w:ascii="Arial" w:cs="Arial" w:eastAsia="Arial" w:hAnsi="Arial"/>
                <w:sz w:val="18"/>
                <w:szCs w:val="18"/>
                <w:color w:val="auto"/>
                <w:w w:val="89"/>
              </w:rPr>
              <w:t>February 17,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CCFFCC"/>
            </w:tcBorders>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72,483*)</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 All options were fully vested on grant date.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 based expense recognized in the financial statements for services received from employees and non-employees is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Period from</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February 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2008 (date of</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4"/>
          </w:tcPr>
          <w:p>
            <w:pPr>
              <w:ind w:left="440"/>
              <w:spacing w:after="0"/>
              <w:rPr>
                <w:sz w:val="20"/>
                <w:szCs w:val="20"/>
                <w:color w:val="auto"/>
              </w:rPr>
            </w:pPr>
            <w:r>
              <w:rPr>
                <w:rFonts w:ascii="Arial" w:cs="Arial" w:eastAsia="Arial" w:hAnsi="Arial"/>
                <w:sz w:val="18"/>
                <w:szCs w:val="18"/>
                <w:b w:val="1"/>
                <w:bCs w:val="1"/>
                <w:color w:val="auto"/>
              </w:rPr>
              <w:t>Year ended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inception) to</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Research and development, net</w:t>
            </w:r>
          </w:p>
        </w:tc>
        <w:tc>
          <w:tcPr>
            <w:tcW w:w="2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26</w:t>
            </w:r>
          </w:p>
        </w:tc>
        <w:tc>
          <w:tcPr>
            <w:tcW w:w="5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1,736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3280" w:type="dxa"/>
            <w:vAlign w:val="bottom"/>
            <w:tcBorders>
              <w:top w:val="single" w:sz="8" w:color="CCFFCC"/>
            </w:tcBorders>
            <w:shd w:val="clear" w:color="auto" w:fill="CCFFCC"/>
          </w:tcPr>
          <w:p>
            <w:pPr>
              <w:spacing w:after="0"/>
              <w:rPr>
                <w:sz w:val="18"/>
                <w:szCs w:val="18"/>
                <w:color w:val="auto"/>
              </w:rPr>
            </w:pPr>
          </w:p>
        </w:tc>
        <w:tc>
          <w:tcPr>
            <w:tcW w:w="20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2,219</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w:t>
            </w:r>
          </w:p>
        </w:tc>
        <w:tc>
          <w:tcPr>
            <w:tcW w:w="3280" w:type="dxa"/>
            <w:vAlign w:val="bottom"/>
            <w:vMerge w:val="restart"/>
          </w:tcPr>
          <w:p>
            <w:pPr>
              <w:ind w:left="180"/>
              <w:spacing w:after="0"/>
              <w:rPr>
                <w:sz w:val="20"/>
                <w:szCs w:val="20"/>
                <w:color w:val="auto"/>
              </w:rPr>
            </w:pPr>
            <w:r>
              <w:rPr>
                <w:rFonts w:ascii="Arial" w:cs="Arial" w:eastAsia="Arial" w:hAnsi="Arial"/>
                <w:sz w:val="18"/>
                <w:szCs w:val="18"/>
                <w:color w:val="auto"/>
              </w:rPr>
              <w:t>Represents an amount lower than $ 1.</w:t>
            </w: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5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32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1540"/>
              <w:spacing w:after="0"/>
              <w:rPr>
                <w:sz w:val="20"/>
                <w:szCs w:val="20"/>
                <w:color w:val="auto"/>
              </w:rPr>
            </w:pPr>
            <w:r>
              <w:rPr>
                <w:rFonts w:ascii="Arial" w:cs="Arial" w:eastAsia="Arial" w:hAnsi="Arial"/>
                <w:sz w:val="18"/>
                <w:szCs w:val="18"/>
                <w:color w:val="auto"/>
              </w:rPr>
              <w:t>F-21</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RELATED PARTY BALANCES AND TRANSACTIONS</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Balances with related parties: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7"/>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2012</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Convertible Notes (e)</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FFCC"/>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accounts payable (c)</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FFCC"/>
              <w:bottom w:val="single" w:sz="8" w:color="CCFFCC"/>
            </w:tcBorders>
            <w:gridSpan w:val="2"/>
            <w:vMerge w:val="restart"/>
          </w:tcPr>
          <w:p>
            <w:pPr>
              <w:spacing w:after="0"/>
              <w:rPr>
                <w:sz w:val="20"/>
                <w:szCs w:val="20"/>
                <w:color w:val="auto"/>
              </w:rPr>
            </w:pPr>
            <w:r>
              <w:rPr>
                <w:rFonts w:ascii="Arial" w:cs="Arial" w:eastAsia="Arial" w:hAnsi="Arial"/>
                <w:sz w:val="18"/>
                <w:szCs w:val="18"/>
                <w:color w:val="auto"/>
              </w:rPr>
              <w:t>Related parties'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6"/>
          </w:tcPr>
          <w:p>
            <w:pPr>
              <w:jc w:val="center"/>
              <w:ind w:right="10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FFCC"/>
            </w:tcBorders>
          </w:tcPr>
          <w:p>
            <w:pPr>
              <w:spacing w:after="0"/>
              <w:rPr>
                <w:sz w:val="19"/>
                <w:szCs w:val="19"/>
                <w:color w:val="auto"/>
              </w:rPr>
            </w:pPr>
          </w:p>
        </w:tc>
        <w:tc>
          <w:tcPr>
            <w:tcW w:w="4780" w:type="dxa"/>
            <w:vAlign w:val="bottom"/>
            <w:tcBorders>
              <w:bottom w:val="single" w:sz="8" w:color="CCFFCC"/>
            </w:tcBorders>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60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62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bottom w:val="single" w:sz="8" w:color="CCFFCC"/>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Amounts charged to: *)</w:t>
            </w:r>
          </w:p>
        </w:tc>
        <w:tc>
          <w:tcPr>
            <w:tcW w:w="1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and administrative expense (a) (b) (c) (d)</w:t>
            </w:r>
          </w:p>
        </w:tc>
        <w:tc>
          <w:tcPr>
            <w:tcW w:w="1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20" w:type="dxa"/>
            <w:vAlign w:val="bottom"/>
            <w:gridSpan w:val="4"/>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1,786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FFCC"/>
            </w:tcBorders>
            <w:gridSpan w:val="2"/>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CCFFCC"/>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expense (e)</w:t>
            </w:r>
          </w:p>
        </w:tc>
        <w:tc>
          <w:tcPr>
            <w:tcW w:w="1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700" w:type="dxa"/>
            <w:vAlign w:val="bottom"/>
            <w:gridSpan w:val="3"/>
            <w:shd w:val="clear" w:color="auto" w:fill="CCFFCC"/>
          </w:tcPr>
          <w:p>
            <w:pPr>
              <w:spacing w:after="0"/>
              <w:rPr>
                <w:sz w:val="21"/>
                <w:szCs w:val="21"/>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FFCC"/>
            </w:tcBorders>
          </w:tcPr>
          <w:p>
            <w:pPr>
              <w:spacing w:after="0" w:line="20" w:lineRule="exact"/>
              <w:rPr>
                <w:sz w:val="1"/>
                <w:szCs w:val="1"/>
                <w:color w:val="auto"/>
              </w:rPr>
            </w:pPr>
          </w:p>
        </w:tc>
        <w:tc>
          <w:tcPr>
            <w:tcW w:w="6540" w:type="dxa"/>
            <w:vAlign w:val="bottom"/>
            <w:tcBorders>
              <w:top w:val="single" w:sz="8" w:color="CCFFCC"/>
            </w:tcBorders>
            <w:gridSpan w:val="8"/>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9560" w:type="dxa"/>
            <w:vAlign w:val="bottom"/>
            <w:gridSpan w:val="15"/>
          </w:tcPr>
          <w:p>
            <w:pPr>
              <w:ind w:left="180"/>
              <w:spacing w:after="0"/>
              <w:rPr>
                <w:sz w:val="20"/>
                <w:szCs w:val="20"/>
                <w:color w:val="auto"/>
              </w:rPr>
            </w:pPr>
            <w:r>
              <w:rPr>
                <w:rFonts w:ascii="Arial" w:cs="Arial" w:eastAsia="Arial" w:hAnsi="Arial"/>
                <w:sz w:val="18"/>
                <w:szCs w:val="18"/>
                <w:color w:val="auto"/>
                <w:w w:val="93"/>
              </w:rPr>
              <w:t>Including share based compensation expenses for the years ended December 31, 2012 and 2011 in the amounts of $ 26 and</w:t>
            </w:r>
          </w:p>
        </w:tc>
        <w:tc>
          <w:tcPr>
            <w:tcW w:w="0" w:type="dxa"/>
            <w:vAlign w:val="bottom"/>
          </w:tcPr>
          <w:p>
            <w:pPr>
              <w:spacing w:after="0"/>
              <w:rPr>
                <w:sz w:val="1"/>
                <w:szCs w:val="1"/>
                <w:color w:val="auto"/>
              </w:rPr>
            </w:pPr>
          </w:p>
        </w:tc>
      </w:tr>
    </w:tbl>
    <w:p>
      <w:pPr>
        <w:ind w:left="2160" w:hanging="126"/>
        <w:spacing w:after="0"/>
        <w:tabs>
          <w:tab w:leader="none" w:pos="21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1,394, respectively.</w:t>
      </w:r>
    </w:p>
    <w:p>
      <w:pPr>
        <w:spacing w:after="0" w:line="210" w:lineRule="exact"/>
        <w:rPr>
          <w:rFonts w:ascii="Arial" w:cs="Arial" w:eastAsia="Arial" w:hAnsi="Arial"/>
          <w:sz w:val="18"/>
          <w:szCs w:val="18"/>
          <w:color w:val="auto"/>
        </w:rPr>
      </w:pPr>
    </w:p>
    <w:p>
      <w:pPr>
        <w:ind w:left="1520" w:right="20" w:hanging="499"/>
        <w:spacing w:after="0" w:line="342" w:lineRule="auto"/>
        <w:tabs>
          <w:tab w:leader="none" w:pos="15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On March 1, 2008, the Company signed an agreement with a consultant, who is also one of the Company's shareholders and directors, as a contractor to render management, finance and operation services. The Company pays the consultant an amount of $ 7 per month.</w:t>
      </w:r>
    </w:p>
    <w:p>
      <w:pPr>
        <w:spacing w:after="0" w:line="123" w:lineRule="exact"/>
        <w:rPr>
          <w:rFonts w:ascii="Arial" w:cs="Arial" w:eastAsia="Arial" w:hAnsi="Arial"/>
          <w:sz w:val="16"/>
          <w:szCs w:val="16"/>
          <w:color w:val="auto"/>
        </w:rPr>
      </w:pPr>
    </w:p>
    <w:p>
      <w:pPr>
        <w:jc w:val="both"/>
        <w:ind w:left="1520" w:hanging="499"/>
        <w:spacing w:after="0" w:line="264" w:lineRule="auto"/>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81" w:lineRule="exact"/>
        <w:rPr>
          <w:rFonts w:ascii="Arial" w:cs="Arial" w:eastAsia="Arial" w:hAnsi="Arial"/>
          <w:sz w:val="18"/>
          <w:szCs w:val="18"/>
          <w:color w:val="auto"/>
        </w:rPr>
      </w:pPr>
    </w:p>
    <w:p>
      <w:pPr>
        <w:ind w:left="1520" w:hanging="499"/>
        <w:spacing w:after="0" w:line="308" w:lineRule="auto"/>
        <w:tabs>
          <w:tab w:leader="none" w:pos="15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 agreement was signed on June 2, 2011 between the Company and one its shareholders, as a contractor to render services related to pre clinical, clinical, regulatory and intellectual property issues, for an amount of approximately $ 3 per month.</w:t>
      </w:r>
    </w:p>
    <w:p>
      <w:pPr>
        <w:spacing w:after="0" w:line="146" w:lineRule="exact"/>
        <w:rPr>
          <w:rFonts w:ascii="Arial" w:cs="Arial" w:eastAsia="Arial" w:hAnsi="Arial"/>
          <w:sz w:val="17"/>
          <w:szCs w:val="17"/>
          <w:color w:val="auto"/>
        </w:rPr>
      </w:pPr>
    </w:p>
    <w:p>
      <w:pPr>
        <w:jc w:val="both"/>
        <w:ind w:left="1520" w:hanging="499"/>
        <w:spacing w:after="0" w:line="259" w:lineRule="auto"/>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186"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One of the Company's shareholders invested as part of the Company's issuance of the Convertible Notes with terms as described in Note 6(b).</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EXPENSES, NET</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February 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2008 (date of</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88"/>
              </w:rPr>
              <w:t>Year ended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inception) to</w:t>
            </w: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1"/>
                <w:szCs w:val="21"/>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expenses:</w:t>
            </w:r>
          </w:p>
        </w:tc>
        <w:tc>
          <w:tcPr>
            <w:tcW w:w="110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2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9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Exchange rate</w:t>
            </w: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Interest on convertible notes</w:t>
            </w:r>
          </w:p>
        </w:tc>
        <w:tc>
          <w:tcPr>
            <w:tcW w:w="110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spacing w:after="0"/>
              <w:rPr>
                <w:sz w:val="19"/>
                <w:szCs w:val="19"/>
                <w:color w:val="auto"/>
              </w:rPr>
            </w:pPr>
          </w:p>
        </w:tc>
        <w:tc>
          <w:tcPr>
            <w:tcW w:w="110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spacing w:after="0"/>
              <w:rPr>
                <w:sz w:val="19"/>
                <w:szCs w:val="19"/>
                <w:color w:val="auto"/>
              </w:rPr>
            </w:pPr>
          </w:p>
        </w:tc>
        <w:tc>
          <w:tcPr>
            <w:tcW w:w="110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82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9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BASIC AND DILUTED NET LOSS PER SHARE</w:t>
            </w:r>
          </w:p>
        </w:tc>
        <w:tc>
          <w:tcPr>
            <w:tcW w:w="1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of Ordinary share:</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Ordinary shares as reported</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(1,579)</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w w:val="96"/>
              </w:rPr>
              <w:t>Shares used in computing net loss per share of Ordinary shares, basic and diluted</w:t>
            </w:r>
          </w:p>
        </w:tc>
        <w:tc>
          <w:tcPr>
            <w:tcW w:w="5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7,791,932</w:t>
            </w:r>
          </w:p>
        </w:tc>
        <w:tc>
          <w:tcPr>
            <w:tcW w:w="10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7,843,388</w:t>
            </w:r>
          </w:p>
        </w:tc>
        <w:tc>
          <w:tcPr>
            <w:tcW w:w="8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For the years ended December 31, 2012 and 2011, all outstanding options and warrants have been excluded from the calculation of the diluted net loss per share since their effect was anti-dilutive.</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jc w:val="both"/>
        <w:ind w:left="1340" w:hanging="319"/>
        <w:spacing w:after="0" w:line="264" w:lineRule="auto"/>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During March 2013, the Company's shareholders resolved to amend the vesting term of 88,050 options granted to an employee in 2010, such that the options will also vest immediately prior to and subject to the completion of an initial public offering of the Company's Ordinary shares. See also Note 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SUBSEQUENT EVENTS (Cont.)</w:t>
      </w:r>
    </w:p>
    <w:p>
      <w:pPr>
        <w:spacing w:after="0" w:line="229" w:lineRule="exact"/>
        <w:rPr>
          <w:sz w:val="20"/>
          <w:szCs w:val="20"/>
          <w:color w:val="auto"/>
        </w:rPr>
      </w:pPr>
    </w:p>
    <w:p>
      <w:pPr>
        <w:ind w:left="1340" w:hanging="319"/>
        <w:spacing w:after="0" w:line="342" w:lineRule="auto"/>
        <w:tabs>
          <w:tab w:leader="none" w:pos="1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During February 2013, the Company issued convertible promissory notes to certain investors for a total amount of $ 115. The terms of the convertible promissory notes are the same as the terms of the convertible promissory notes issued in 2012. For the terms see Note 6 (b).</w:t>
      </w:r>
    </w:p>
    <w:p>
      <w:pPr>
        <w:spacing w:after="0" w:line="123" w:lineRule="exact"/>
        <w:rPr>
          <w:rFonts w:ascii="Arial" w:cs="Arial" w:eastAsia="Arial" w:hAnsi="Arial"/>
          <w:sz w:val="16"/>
          <w:szCs w:val="16"/>
          <w:color w:val="auto"/>
        </w:rPr>
      </w:pPr>
    </w:p>
    <w:p>
      <w:pPr>
        <w:jc w:val="both"/>
        <w:ind w:left="1340" w:hanging="319"/>
        <w:spacing w:after="0" w:line="312" w:lineRule="auto"/>
        <w:tabs>
          <w:tab w:leader="none" w:pos="1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During March 2013, the Company increased the monthly fee for its consultant who is also one of the Company's shareholders and directors to an amount of $ 12 (see also Note 10 (a)), and the monthly fee for its contractor who is also one of the Company's shareholders to an amount of $ 5 (see also Note 10 (c)). These amendments are subject to and effective upon consummation of initial public offering.</w:t>
      </w:r>
    </w:p>
    <w:p>
      <w:pPr>
        <w:spacing w:after="0" w:line="146" w:lineRule="exact"/>
        <w:rPr>
          <w:rFonts w:ascii="Arial" w:cs="Arial" w:eastAsia="Arial" w:hAnsi="Arial"/>
          <w:sz w:val="16"/>
          <w:szCs w:val="16"/>
          <w:color w:val="auto"/>
        </w:rPr>
      </w:pPr>
    </w:p>
    <w:p>
      <w:pPr>
        <w:ind w:left="1340" w:hanging="319"/>
        <w:spacing w:after="0"/>
        <w:tabs>
          <w:tab w:leader="none" w:pos="1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During March 2013, the Company's general meeting resolved to increase the Company’s authorized shares to 50,000,000 Ordinary shares.</w:t>
      </w:r>
    </w:p>
    <w:p>
      <w:pPr>
        <w:spacing w:after="0" w:line="248" w:lineRule="exact"/>
        <w:rPr>
          <w:rFonts w:ascii="Arial" w:cs="Arial" w:eastAsia="Arial" w:hAnsi="Arial"/>
          <w:sz w:val="16"/>
          <w:szCs w:val="16"/>
          <w:color w:val="auto"/>
        </w:rPr>
      </w:pPr>
    </w:p>
    <w:p>
      <w:pPr>
        <w:ind w:left="1340" w:hanging="319"/>
        <w:spacing w:after="0" w:line="277" w:lineRule="auto"/>
        <w:tabs>
          <w:tab w:leader="none" w:pos="1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received a short term loan from a bank in the amount of $69. The loan bears an annual interest rate of 4.8% paid on a weekly basis and will be settled no later than July 2, 2013.</w:t>
      </w:r>
    </w:p>
    <w:p>
      <w:pPr>
        <w:spacing w:after="0" w:line="170" w:lineRule="exact"/>
        <w:rPr>
          <w:rFonts w:ascii="Arial" w:cs="Arial" w:eastAsia="Arial" w:hAnsi="Arial"/>
          <w:sz w:val="18"/>
          <w:szCs w:val="18"/>
          <w:color w:val="auto"/>
        </w:rPr>
      </w:pPr>
    </w:p>
    <w:p>
      <w:pPr>
        <w:ind w:left="5100" w:hanging="98"/>
        <w:spacing w:after="0"/>
        <w:tabs>
          <w:tab w:leader="none" w:pos="51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Sheets</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4"/>
              </w:rPr>
              <w:t>F-26 -F-27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1"/>
              </w:rPr>
              <w:t>F-28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2"/>
              </w:rPr>
              <w:t>Statements of Changes in Shareholders' Equity (Deficiency)</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1"/>
              </w:rPr>
              <w:t>F-29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Cash Flows</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5"/>
              </w:rPr>
              <w:t>F-30 - F-31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Notes to Financial Statements</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5"/>
              </w:rPr>
              <w:t>F-32 - F-40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480" w:type="dxa"/>
            <w:vAlign w:val="bottom"/>
          </w:tcPr>
          <w:p>
            <w:pPr>
              <w:jc w:val="right"/>
              <w:ind w:right="3770"/>
              <w:spacing w:after="0"/>
              <w:rPr>
                <w:sz w:val="20"/>
                <w:szCs w:val="20"/>
                <w:color w:val="auto"/>
              </w:rPr>
            </w:pPr>
            <w:r>
              <w:rPr>
                <w:rFonts w:ascii="Arial" w:cs="Arial" w:eastAsia="Arial" w:hAnsi="Arial"/>
                <w:sz w:val="18"/>
                <w:szCs w:val="18"/>
                <w:color w:val="auto"/>
              </w:rPr>
              <w:t>- - - - - - - - - - - - - -</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2"/>
          </w:tcPr>
          <w:p>
            <w:pPr>
              <w:jc w:val="center"/>
              <w:ind w:right="4710"/>
              <w:spacing w:after="0"/>
              <w:rPr>
                <w:sz w:val="20"/>
                <w:szCs w:val="20"/>
                <w:color w:val="auto"/>
              </w:rPr>
            </w:pPr>
            <w:r>
              <w:rPr>
                <w:rFonts w:ascii="Arial" w:cs="Arial" w:eastAsia="Arial" w:hAnsi="Arial"/>
                <w:sz w:val="18"/>
                <w:szCs w:val="18"/>
                <w:color w:val="auto"/>
                <w:w w:val="91"/>
              </w:rPr>
              <w:t>F-25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bottom w:val="single" w:sz="8" w:color="CCFFCC"/>
            </w:tcBorders>
          </w:tcPr>
          <w:p>
            <w:pPr>
              <w:spacing w:after="0"/>
              <w:rPr>
                <w:sz w:val="18"/>
                <w:szCs w:val="18"/>
                <w:color w:val="auto"/>
              </w:rPr>
            </w:pPr>
          </w:p>
        </w:tc>
        <w:tc>
          <w:tcPr>
            <w:tcW w:w="762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3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17,593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Short-term deposit</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Receivables and prepaid expenses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76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5"/>
                <w:szCs w:val="15"/>
                <w:color w:val="auto"/>
              </w:rPr>
            </w:pPr>
          </w:p>
        </w:tc>
        <w:tc>
          <w:tcPr>
            <w:tcW w:w="1460" w:type="dxa"/>
            <w:vAlign w:val="bottom"/>
            <w:gridSpan w:val="2"/>
          </w:tcPr>
          <w:p>
            <w:pPr>
              <w:jc w:val="right"/>
              <w:ind w:right="180"/>
              <w:spacing w:after="0" w:line="156" w:lineRule="exact"/>
              <w:rPr>
                <w:sz w:val="20"/>
                <w:szCs w:val="20"/>
                <w:color w:val="auto"/>
              </w:rPr>
            </w:pPr>
            <w:r>
              <w:rPr>
                <w:rFonts w:ascii="Arial" w:cs="Arial" w:eastAsia="Arial" w:hAnsi="Arial"/>
                <w:sz w:val="18"/>
                <w:szCs w:val="18"/>
                <w:color w:val="auto"/>
              </w:rPr>
              <w:t>21,680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bottom w:val="single" w:sz="8" w:color="CCFFCC"/>
            </w:tcBorders>
          </w:tcPr>
          <w:p>
            <w:pPr>
              <w:spacing w:after="0"/>
              <w:rPr>
                <w:sz w:val="2"/>
                <w:szCs w:val="2"/>
                <w:color w:val="auto"/>
              </w:rPr>
            </w:pPr>
          </w:p>
        </w:tc>
        <w:tc>
          <w:tcPr>
            <w:tcW w:w="76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6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6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Long-term deposit</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8"/>
                <w:szCs w:val="18"/>
                <w:color w:val="auto"/>
              </w:rPr>
              <w:t>Total long-term assets</w:t>
            </w:r>
          </w:p>
        </w:tc>
        <w:tc>
          <w:tcPr>
            <w:tcW w:w="2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line="156" w:lineRule="exact"/>
              <w:rPr>
                <w:sz w:val="20"/>
                <w:szCs w:val="20"/>
                <w:color w:val="auto"/>
              </w:rPr>
            </w:pPr>
            <w:r>
              <w:rPr>
                <w:rFonts w:ascii="Arial" w:cs="Arial" w:eastAsia="Arial" w:hAnsi="Arial"/>
                <w:sz w:val="18"/>
                <w:szCs w:val="18"/>
                <w:color w:val="auto"/>
              </w:rPr>
              <w:t>24</w:t>
            </w: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00"/>
              <w:spacing w:after="0" w:line="15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2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21,704</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76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interim financial statements.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5160"/>
              <w:spacing w:after="0"/>
              <w:rPr>
                <w:sz w:val="20"/>
                <w:szCs w:val="20"/>
                <w:color w:val="auto"/>
              </w:rPr>
            </w:pPr>
            <w:r>
              <w:rPr>
                <w:rFonts w:ascii="Arial" w:cs="Arial" w:eastAsia="Arial" w:hAnsi="Arial"/>
                <w:sz w:val="18"/>
                <w:szCs w:val="18"/>
                <w:color w:val="auto"/>
              </w:rPr>
              <w:t>F-26</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9"/>
                <w:szCs w:val="19"/>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746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200" w:type="dxa"/>
            <w:vAlign w:val="bottom"/>
            <w:tcBorders>
              <w:top w:val="single" w:sz="8" w:color="auto"/>
              <w:bottom w:val="single" w:sz="8" w:color="CCFFCC"/>
            </w:tcBorders>
          </w:tcPr>
          <w:p>
            <w:pPr>
              <w:spacing w:after="0"/>
              <w:rPr>
                <w:sz w:val="18"/>
                <w:szCs w:val="18"/>
                <w:color w:val="auto"/>
              </w:rPr>
            </w:pPr>
          </w:p>
        </w:tc>
        <w:tc>
          <w:tcPr>
            <w:tcW w:w="280" w:type="dxa"/>
            <w:vAlign w:val="bottom"/>
            <w:tcBorders>
              <w:top w:val="single" w:sz="8" w:color="auto"/>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LIABILITIES AND SHAREHOLDERS' EQUITY (DEFICIENCY)</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3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accounts payable</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Convertible Notes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4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4"/>
          </w:tcPr>
          <w:p>
            <w:pPr>
              <w:spacing w:after="0" w:line="156"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5"/>
                <w:szCs w:val="15"/>
                <w:color w:val="auto"/>
              </w:rPr>
            </w:pPr>
          </w:p>
        </w:tc>
        <w:tc>
          <w:tcPr>
            <w:tcW w:w="1480" w:type="dxa"/>
            <w:vAlign w:val="bottom"/>
            <w:gridSpan w:val="2"/>
          </w:tcPr>
          <w:p>
            <w:pPr>
              <w:jc w:val="right"/>
              <w:ind w:right="200"/>
              <w:spacing w:after="0" w:line="156" w:lineRule="exact"/>
              <w:rPr>
                <w:sz w:val="20"/>
                <w:szCs w:val="20"/>
                <w:color w:val="auto"/>
              </w:rPr>
            </w:pPr>
            <w:r>
              <w:rPr>
                <w:rFonts w:ascii="Arial" w:cs="Arial" w:eastAsia="Arial" w:hAnsi="Arial"/>
                <w:sz w:val="18"/>
                <w:szCs w:val="18"/>
                <w:color w:val="auto"/>
              </w:rPr>
              <w:t>343</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w w:val="86"/>
              </w:rPr>
              <w:t>768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200" w:type="dxa"/>
            <w:vAlign w:val="bottom"/>
            <w:tcBorders>
              <w:top w:val="single" w:sz="8" w:color="auto"/>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74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SHAREHOLDERS' EQUITY (DEFICIENCY):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82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w w:val="94"/>
              </w:rPr>
              <w:t>Ordinary shares of NIS 0.01 par value - 50,000,000 and 10,000,000 shares authorized at June 30, 2013</w:t>
            </w:r>
          </w:p>
        </w:tc>
        <w:tc>
          <w:tcPr>
            <w:tcW w:w="2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w w:val="92"/>
              </w:rPr>
              <w:t>and December 31, 2012, respectively; 11,432,325 and 8,098,580 shares issued shares at June 30, 2013</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w w:val="97"/>
              </w:rPr>
              <w:t>(unaudited) and December 31, 2012, respectively; 11,128,001 and 7,794,256 shares outstanding at</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82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June 30, 2013 (unaudited) and December 31, 2012, respectively</w:t>
            </w:r>
          </w:p>
        </w:tc>
        <w:tc>
          <w:tcPr>
            <w:tcW w:w="220" w:type="dxa"/>
            <w:vAlign w:val="bottom"/>
            <w:shd w:val="clear" w:color="auto" w:fill="CCFFCC"/>
          </w:tcPr>
          <w:p>
            <w:pPr>
              <w:spacing w:after="0"/>
              <w:rPr>
                <w:sz w:val="20"/>
                <w:szCs w:val="20"/>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0" w:type="dxa"/>
            <w:vAlign w:val="bottom"/>
            <w:shd w:val="clear" w:color="auto" w:fill="CCFFCC"/>
          </w:tcPr>
          <w:p>
            <w:pPr>
              <w:spacing w:after="0"/>
              <w:rPr>
                <w:sz w:val="20"/>
                <w:szCs w:val="20"/>
                <w:color w:val="auto"/>
              </w:rPr>
            </w:pP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Treasury shares ( 304,324 Ordinary shares as of December 31, 2012 and June 30, 2013)</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31,231</w:t>
            </w:r>
          </w:p>
        </w:tc>
        <w:tc>
          <w:tcPr>
            <w:tcW w:w="17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Deficit accumulated during the development stage</w:t>
            </w: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(9,902)</w:t>
            </w:r>
          </w:p>
        </w:tc>
        <w:tc>
          <w:tcPr>
            <w:tcW w:w="1720" w:type="dxa"/>
            <w:vAlign w:val="bottom"/>
            <w:gridSpan w:val="4"/>
          </w:tcPr>
          <w:p>
            <w:pPr>
              <w:jc w:val="right"/>
              <w:ind w:right="4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4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20" w:type="dxa"/>
            <w:vAlign w:val="bottom"/>
            <w:gridSpan w:val="3"/>
          </w:tcPr>
          <w:p>
            <w:pPr>
              <w:spacing w:after="0" w:line="156" w:lineRule="exact"/>
              <w:rPr>
                <w:sz w:val="20"/>
                <w:szCs w:val="20"/>
                <w:color w:val="auto"/>
              </w:rPr>
            </w:pPr>
            <w:r>
              <w:rPr>
                <w:rFonts w:ascii="Arial" w:cs="Arial" w:eastAsia="Arial" w:hAnsi="Arial"/>
                <w:sz w:val="18"/>
                <w:szCs w:val="18"/>
                <w:color w:val="auto"/>
              </w:rPr>
              <w:t>Total shareholders' equity (deficiency)</w:t>
            </w:r>
          </w:p>
        </w:tc>
        <w:tc>
          <w:tcPr>
            <w:tcW w:w="220" w:type="dxa"/>
            <w:vAlign w:val="bottom"/>
          </w:tcPr>
          <w:p>
            <w:pPr>
              <w:spacing w:after="0"/>
              <w:rPr>
                <w:sz w:val="15"/>
                <w:szCs w:val="15"/>
                <w:color w:val="auto"/>
              </w:rPr>
            </w:pPr>
          </w:p>
        </w:tc>
        <w:tc>
          <w:tcPr>
            <w:tcW w:w="1480" w:type="dxa"/>
            <w:vAlign w:val="bottom"/>
            <w:gridSpan w:val="2"/>
          </w:tcPr>
          <w:p>
            <w:pPr>
              <w:jc w:val="right"/>
              <w:ind w:right="200"/>
              <w:spacing w:after="0" w:line="156" w:lineRule="exact"/>
              <w:rPr>
                <w:sz w:val="20"/>
                <w:szCs w:val="20"/>
                <w:color w:val="auto"/>
              </w:rPr>
            </w:pPr>
            <w:r>
              <w:rPr>
                <w:rFonts w:ascii="Arial" w:cs="Arial" w:eastAsia="Arial" w:hAnsi="Arial"/>
                <w:sz w:val="18"/>
                <w:szCs w:val="18"/>
                <w:color w:val="auto"/>
              </w:rPr>
              <w:t>21,361</w:t>
            </w:r>
          </w:p>
        </w:tc>
        <w:tc>
          <w:tcPr>
            <w:tcW w:w="1720" w:type="dxa"/>
            <w:vAlign w:val="bottom"/>
            <w:gridSpan w:val="4"/>
          </w:tcPr>
          <w:p>
            <w:pPr>
              <w:jc w:val="right"/>
              <w:ind w:right="40"/>
              <w:spacing w:after="0" w:line="156" w:lineRule="exact"/>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200" w:type="dxa"/>
            <w:vAlign w:val="bottom"/>
            <w:tcBorders>
              <w:top w:val="single" w:sz="8" w:color="auto"/>
              <w:bottom w:val="single" w:sz="8" w:color="CCFFCC"/>
            </w:tcBorders>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74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21,704</w:t>
            </w:r>
          </w:p>
        </w:tc>
        <w:tc>
          <w:tcPr>
            <w:tcW w:w="13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201</w:t>
            </w:r>
          </w:p>
        </w:tc>
        <w:tc>
          <w:tcPr>
            <w:tcW w:w="0" w:type="dxa"/>
            <w:vAlign w:val="bottom"/>
          </w:tcPr>
          <w:p>
            <w:pPr>
              <w:spacing w:after="0"/>
              <w:rPr>
                <w:sz w:val="1"/>
                <w:szCs w:val="1"/>
                <w:color w:val="auto"/>
              </w:rPr>
            </w:pPr>
          </w:p>
        </w:tc>
      </w:tr>
      <w:tr>
        <w:trPr>
          <w:trHeight w:val="20"/>
        </w:trPr>
        <w:tc>
          <w:tcPr>
            <w:tcW w:w="8000" w:type="dxa"/>
            <w:vAlign w:val="bottom"/>
            <w:gridSpan w:val="5"/>
            <w:vMerge w:val="restart"/>
          </w:tcPr>
          <w:p>
            <w:pPr>
              <w:spacing w:after="0"/>
              <w:rPr>
                <w:sz w:val="20"/>
                <w:szCs w:val="20"/>
                <w:color w:val="auto"/>
              </w:rPr>
            </w:pPr>
            <w:r>
              <w:rPr>
                <w:rFonts w:ascii="Arial" w:cs="Arial" w:eastAsia="Arial" w:hAnsi="Arial"/>
                <w:sz w:val="18"/>
                <w:szCs w:val="18"/>
                <w:color w:val="auto"/>
              </w:rPr>
              <w:t>*)  Represents an amount lower than $ 1.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5"/>
          </w:tcPr>
          <w:p>
            <w:pPr>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ind w:left="5000"/>
              <w:spacing w:after="0"/>
              <w:rPr>
                <w:sz w:val="20"/>
                <w:szCs w:val="20"/>
                <w:color w:val="auto"/>
              </w:rPr>
            </w:pPr>
            <w:r>
              <w:rPr>
                <w:rFonts w:ascii="Arial" w:cs="Arial" w:eastAsia="Arial" w:hAnsi="Arial"/>
                <w:sz w:val="18"/>
                <w:szCs w:val="18"/>
                <w:color w:val="auto"/>
              </w:rPr>
              <w:t>F-27</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7"/>
              </w:rPr>
              <w:t>Six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3"/>
              </w:rPr>
              <w:t>Unaudited</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 net</w:t>
            </w: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396</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632</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1,114</w:t>
            </w:r>
          </w:p>
        </w:tc>
        <w:tc>
          <w:tcPr>
            <w:tcW w:w="3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1,510</w:t>
            </w: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expenses, net</w:t>
            </w:r>
          </w:p>
        </w:tc>
        <w:tc>
          <w:tcPr>
            <w:tcW w:w="1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1,716</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1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1,716</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Net basic and diluted loss per share</w:t>
            </w: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 diluted net loss</w:t>
            </w:r>
          </w:p>
        </w:tc>
        <w:tc>
          <w:tcPr>
            <w:tcW w:w="1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60" w:type="dxa"/>
            <w:vAlign w:val="bottom"/>
            <w:shd w:val="clear" w:color="auto" w:fill="CCFFCC"/>
          </w:tcPr>
          <w:p>
            <w:pPr>
              <w:ind w:left="120"/>
              <w:spacing w:after="0"/>
              <w:rPr>
                <w:sz w:val="20"/>
                <w:szCs w:val="20"/>
                <w:color w:val="auto"/>
              </w:rPr>
            </w:pPr>
            <w:r>
              <w:rPr>
                <w:rFonts w:ascii="Arial" w:cs="Arial" w:eastAsia="Arial" w:hAnsi="Arial"/>
                <w:sz w:val="18"/>
                <w:szCs w:val="18"/>
                <w:color w:val="auto"/>
              </w:rPr>
              <w:t>per share</w:t>
            </w:r>
          </w:p>
        </w:tc>
        <w:tc>
          <w:tcPr>
            <w:tcW w:w="18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8,397,070</w:t>
            </w:r>
          </w:p>
        </w:tc>
        <w:tc>
          <w:tcPr>
            <w:tcW w:w="34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7,791,785</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40" w:type="dxa"/>
            <w:vAlign w:val="bottom"/>
            <w:gridSpan w:val="5"/>
            <w:vMerge w:val="restart"/>
          </w:tcPr>
          <w:p>
            <w:pPr>
              <w:jc w:val="right"/>
              <w:ind w:right="328"/>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Deficit accumulated during</w:t>
            </w:r>
          </w:p>
        </w:tc>
        <w:tc>
          <w:tcPr>
            <w:tcW w:w="17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6"/>
              </w:rPr>
              <w:t>Total shareholders' 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40" w:type="dxa"/>
            <w:vAlign w:val="bottom"/>
            <w:tcBorders>
              <w:bottom w:val="single" w:sz="8" w:color="auto"/>
            </w:tcBorders>
            <w:gridSpan w:val="5"/>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the development</w:t>
            </w:r>
          </w:p>
        </w:tc>
        <w:tc>
          <w:tcPr>
            <w:tcW w:w="1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8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7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1"/>
              </w:rPr>
              <w:t>stage</w:t>
            </w:r>
          </w:p>
        </w:tc>
        <w:tc>
          <w:tcPr>
            <w:tcW w:w="260" w:type="dxa"/>
            <w:vAlign w:val="bottom"/>
          </w:tcPr>
          <w:p>
            <w:pPr>
              <w:spacing w:after="0"/>
              <w:rPr>
                <w:sz w:val="13"/>
                <w:szCs w:val="13"/>
                <w:color w:val="auto"/>
              </w:rPr>
            </w:pPr>
          </w:p>
        </w:tc>
        <w:tc>
          <w:tcPr>
            <w:tcW w:w="1180" w:type="dxa"/>
            <w:vAlign w:val="bottom"/>
          </w:tcPr>
          <w:p>
            <w:pPr>
              <w:jc w:val="right"/>
              <w:ind w:right="208"/>
              <w:spacing w:after="0" w:line="155" w:lineRule="exact"/>
              <w:rPr>
                <w:sz w:val="20"/>
                <w:szCs w:val="20"/>
                <w:color w:val="auto"/>
              </w:rPr>
            </w:pPr>
            <w:r>
              <w:rPr>
                <w:rFonts w:ascii="Arial" w:cs="Arial" w:eastAsia="Arial" w:hAnsi="Arial"/>
                <w:sz w:val="14"/>
                <w:szCs w:val="14"/>
                <w:b w:val="1"/>
                <w:bCs w:val="1"/>
                <w:color w:val="auto"/>
              </w:rPr>
              <w:t>(deficiency)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Balance as of December 31, 2011</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8,096,109</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7,588</w:t>
            </w:r>
          </w:p>
        </w:tc>
        <w:tc>
          <w:tcPr>
            <w:tcW w:w="200" w:type="dxa"/>
            <w:vAlign w:val="bottom"/>
            <w:shd w:val="clear" w:color="auto" w:fill="CCFFCC"/>
          </w:tcPr>
          <w:p>
            <w:pPr>
              <w:spacing w:after="0"/>
              <w:rPr>
                <w:sz w:val="12"/>
                <w:szCs w:val="12"/>
                <w:color w:val="auto"/>
              </w:rPr>
            </w:pPr>
          </w:p>
        </w:tc>
        <w:tc>
          <w:tcPr>
            <w:tcW w:w="17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(6,607)</w:t>
            </w: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985</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4"/>
                <w:szCs w:val="14"/>
                <w:color w:val="auto"/>
              </w:rPr>
              <w:t>Treasury shares</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(304,324)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 of options</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2,471</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FFCC"/>
          </w:tcPr>
          <w:p>
            <w:pPr>
              <w:spacing w:after="0"/>
              <w:rPr>
                <w:sz w:val="12"/>
                <w:szCs w:val="12"/>
                <w:color w:val="auto"/>
              </w:rPr>
            </w:pPr>
          </w:p>
        </w:tc>
        <w:tc>
          <w:tcPr>
            <w:tcW w:w="15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ind w:left="160"/>
              <w:spacing w:after="0" w:line="130" w:lineRule="exact"/>
              <w:rPr>
                <w:sz w:val="20"/>
                <w:szCs w:val="20"/>
                <w:color w:val="auto"/>
              </w:rPr>
            </w:pPr>
            <w:r>
              <w:rPr>
                <w:rFonts w:ascii="Arial" w:cs="Arial" w:eastAsia="Arial" w:hAnsi="Arial"/>
                <w:sz w:val="14"/>
                <w:szCs w:val="14"/>
                <w:color w:val="auto"/>
                <w:w w:val="92"/>
              </w:rPr>
              <w:t>Share based compensation related to options granted to consultants and</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280"/>
              <w:spacing w:after="0"/>
              <w:rPr>
                <w:sz w:val="20"/>
                <w:szCs w:val="20"/>
                <w:color w:val="auto"/>
              </w:rPr>
            </w:pPr>
            <w:r>
              <w:rPr>
                <w:rFonts w:ascii="Arial" w:cs="Arial" w:eastAsia="Arial" w:hAnsi="Arial"/>
                <w:sz w:val="14"/>
                <w:szCs w:val="14"/>
                <w:color w:val="auto"/>
              </w:rPr>
              <w:t>employees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4"/>
                <w:szCs w:val="14"/>
                <w:color w:val="auto"/>
              </w:rPr>
            </w:pPr>
          </w:p>
        </w:tc>
        <w:tc>
          <w:tcPr>
            <w:tcW w:w="17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(1,579)</w:t>
            </w:r>
          </w:p>
        </w:tc>
        <w:tc>
          <w:tcPr>
            <w:tcW w:w="260" w:type="dxa"/>
            <w:vAlign w:val="bottom"/>
            <w:shd w:val="clear" w:color="auto" w:fill="CCFFCC"/>
          </w:tcPr>
          <w:p>
            <w:pPr>
              <w:spacing w:after="0"/>
              <w:rPr>
                <w:sz w:val="14"/>
                <w:szCs w:val="14"/>
                <w:color w:val="auto"/>
              </w:rPr>
            </w:pPr>
          </w:p>
        </w:tc>
        <w:tc>
          <w:tcPr>
            <w:tcW w:w="144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Balance as of December 31, 2012</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7,794,256</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7,615</w:t>
            </w:r>
          </w:p>
        </w:tc>
        <w:tc>
          <w:tcPr>
            <w:tcW w:w="200" w:type="dxa"/>
            <w:vAlign w:val="bottom"/>
            <w:shd w:val="clear" w:color="auto" w:fill="CCFFCC"/>
          </w:tcPr>
          <w:p>
            <w:pPr>
              <w:spacing w:after="0"/>
              <w:rPr>
                <w:sz w:val="12"/>
                <w:szCs w:val="12"/>
                <w:color w:val="auto"/>
              </w:rPr>
            </w:pPr>
          </w:p>
        </w:tc>
        <w:tc>
          <w:tcPr>
            <w:tcW w:w="17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(8,186)</w:t>
            </w:r>
          </w:p>
        </w:tc>
        <w:tc>
          <w:tcPr>
            <w:tcW w:w="260" w:type="dxa"/>
            <w:vAlign w:val="bottom"/>
            <w:shd w:val="clear" w:color="auto" w:fill="CCFFCC"/>
          </w:tcPr>
          <w:p>
            <w:pPr>
              <w:spacing w:after="0"/>
              <w:rPr>
                <w:sz w:val="12"/>
                <w:szCs w:val="12"/>
                <w:color w:val="auto"/>
              </w:rPr>
            </w:pPr>
          </w:p>
        </w:tc>
        <w:tc>
          <w:tcPr>
            <w:tcW w:w="144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ind w:left="160"/>
              <w:spacing w:after="0" w:line="130" w:lineRule="exact"/>
              <w:rPr>
                <w:sz w:val="20"/>
                <w:szCs w:val="20"/>
                <w:color w:val="auto"/>
              </w:rPr>
            </w:pPr>
            <w:r>
              <w:rPr>
                <w:rFonts w:ascii="Arial" w:cs="Arial" w:eastAsia="Arial" w:hAnsi="Arial"/>
                <w:sz w:val="14"/>
                <w:szCs w:val="14"/>
                <w:color w:val="auto"/>
                <w:w w:val="92"/>
              </w:rPr>
              <w:t>Share based compensation related to options granted to consultants and</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280"/>
              <w:spacing w:after="0"/>
              <w:rPr>
                <w:sz w:val="20"/>
                <w:szCs w:val="20"/>
                <w:color w:val="auto"/>
              </w:rPr>
            </w:pPr>
            <w:r>
              <w:rPr>
                <w:rFonts w:ascii="Arial" w:cs="Arial" w:eastAsia="Arial" w:hAnsi="Arial"/>
                <w:sz w:val="14"/>
                <w:szCs w:val="14"/>
                <w:color w:val="auto"/>
              </w:rPr>
              <w:t>employees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744</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Issuance of shares upon exercise of cashless warrants</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85,192</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5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4"/>
                <w:szCs w:val="14"/>
                <w:color w:val="auto"/>
              </w:rPr>
              <w:t>Issuance of Ordinary shares upon conversion of convertible notes</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123,553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980</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Issuance of shares upon initial public offering ($8 per share), net of</w:t>
            </w: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5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$3,080 issuance expenses</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3,125,000</w:t>
            </w: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76"/>
              </w:rPr>
              <w:t>28</w:t>
            </w: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21,892</w:t>
            </w:r>
          </w:p>
        </w:tc>
        <w:tc>
          <w:tcPr>
            <w:tcW w:w="200" w:type="dxa"/>
            <w:vAlign w:val="bottom"/>
            <w:shd w:val="clear" w:color="auto" w:fill="CCFFCC"/>
          </w:tcPr>
          <w:p>
            <w:pPr>
              <w:spacing w:after="0"/>
              <w:rPr>
                <w:sz w:val="14"/>
                <w:szCs w:val="14"/>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21,920</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(1,716)</w:t>
            </w:r>
          </w:p>
        </w:tc>
        <w:tc>
          <w:tcPr>
            <w:tcW w:w="260" w:type="dxa"/>
            <w:vAlign w:val="bottom"/>
          </w:tcPr>
          <w:p>
            <w:pPr>
              <w:spacing w:after="0"/>
              <w:rPr>
                <w:sz w:val="14"/>
                <w:szCs w:val="1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Borders>
              <w:top w:val="single" w:sz="8" w:color="CCFFCC"/>
            </w:tcBorders>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auto"/>
            </w:tcBorders>
            <w:shd w:val="clear" w:color="auto" w:fill="CCFFCC"/>
          </w:tcPr>
          <w:p>
            <w:pPr>
              <w:spacing w:after="0"/>
              <w:rPr>
                <w:sz w:val="12"/>
                <w:szCs w:val="12"/>
                <w:color w:val="auto"/>
              </w:rPr>
            </w:pPr>
          </w:p>
        </w:tc>
        <w:tc>
          <w:tcPr>
            <w:tcW w:w="15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118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Balance as of June 30, 2013 (unaudited)</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11,128,001</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w w:val="76"/>
              </w:rPr>
              <w:t>32</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31,231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gridSpan w:val="2"/>
          </w:tcPr>
          <w:p>
            <w:pPr>
              <w:jc w:val="right"/>
              <w:ind w:right="160"/>
              <w:spacing w:after="0" w:line="176" w:lineRule="exact"/>
              <w:rPr>
                <w:sz w:val="20"/>
                <w:szCs w:val="20"/>
                <w:color w:val="auto"/>
              </w:rPr>
            </w:pPr>
            <w:r>
              <w:rPr>
                <w:rFonts w:ascii="Arial" w:cs="Arial" w:eastAsia="Arial" w:hAnsi="Arial"/>
                <w:sz w:val="12"/>
                <w:szCs w:val="12"/>
                <w:color w:val="auto"/>
              </w:rPr>
              <w:t>(9,902</w:t>
            </w:r>
            <w:r>
              <w:rPr>
                <w:rFonts w:ascii="Arial" w:cs="Arial" w:eastAsia="Arial" w:hAnsi="Arial"/>
                <w:sz w:val="20"/>
                <w:szCs w:val="20"/>
                <w:color w:val="auto"/>
                <w:vertAlign w:val="superscript"/>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21,361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Represents an amount lower than $ 1.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7"/>
              </w:rPr>
              <w:t>Six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860" w:type="dxa"/>
            <w:vAlign w:val="bottom"/>
            <w:tcBorders>
              <w:bottom w:val="single" w:sz="8" w:color="CCFFCC"/>
            </w:tcBorders>
          </w:tcPr>
          <w:p>
            <w:pPr>
              <w:spacing w:after="0"/>
              <w:rPr>
                <w:sz w:val="18"/>
                <w:szCs w:val="18"/>
                <w:color w:val="auto"/>
              </w:rPr>
            </w:pPr>
          </w:p>
        </w:tc>
        <w:tc>
          <w:tcPr>
            <w:tcW w:w="138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60" w:type="dxa"/>
            <w:vAlign w:val="bottom"/>
            <w:gridSpan w:val="3"/>
            <w:shd w:val="clear" w:color="auto" w:fill="CCFFCC"/>
          </w:tcPr>
          <w:p>
            <w:pPr>
              <w:spacing w:after="0" w:line="170" w:lineRule="exact"/>
              <w:rPr>
                <w:sz w:val="20"/>
                <w:szCs w:val="20"/>
                <w:color w:val="auto"/>
              </w:rPr>
            </w:pPr>
            <w:r>
              <w:rPr>
                <w:rFonts w:ascii="Arial" w:cs="Arial" w:eastAsia="Arial" w:hAnsi="Arial"/>
                <w:sz w:val="18"/>
                <w:szCs w:val="18"/>
                <w:color w:val="auto"/>
              </w:rPr>
              <w:t>Cash flows from operating activities</w:t>
            </w:r>
          </w:p>
        </w:tc>
        <w:tc>
          <w:tcPr>
            <w:tcW w:w="138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6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8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(1,716)</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w w:val="91"/>
              </w:rPr>
              <w:t>Adjustments to reconcile net loss to net cash used in operating activities: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Depreciation</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Gain from sale of property and equipment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Decrease (Increase) in receivables and prepaid expenses</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Increase (decrease) in trade payables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Increase in other accounts payable</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Interest on convertible notes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Stock base compensation</w:t>
            </w:r>
          </w:p>
        </w:tc>
        <w:tc>
          <w:tcPr>
            <w:tcW w:w="13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(532)</w:t>
            </w:r>
          </w:p>
        </w:tc>
        <w:tc>
          <w:tcPr>
            <w:tcW w:w="18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6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3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86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8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Purchase of property and equipment</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Decrease (increase) in long-term deposit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Proceeds from (investment in) short-term bank deposit</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Proceeds from restricted bank deposit</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860" w:type="dxa"/>
            <w:vAlign w:val="bottom"/>
            <w:tcBorders>
              <w:top w:val="single" w:sz="8" w:color="CCFFCC"/>
            </w:tcBorders>
            <w:shd w:val="clear" w:color="auto" w:fill="CCFFCC"/>
          </w:tcPr>
          <w:p>
            <w:pPr>
              <w:spacing w:after="0"/>
              <w:rPr>
                <w:sz w:val="18"/>
                <w:szCs w:val="18"/>
                <w:color w:val="auto"/>
              </w:rPr>
            </w:pPr>
          </w:p>
        </w:tc>
        <w:tc>
          <w:tcPr>
            <w:tcW w:w="13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(4,007)</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F-30</w:t>
            </w: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2520" w:type="dxa"/>
            <w:vAlign w:val="bottom"/>
            <w:tcBorders>
              <w:top w:val="single" w:sz="8" w:color="CCFFCC"/>
            </w:tcBorders>
          </w:tcPr>
          <w:p>
            <w:pPr>
              <w:spacing w:after="0"/>
              <w:rPr>
                <w:sz w:val="18"/>
                <w:szCs w:val="18"/>
                <w:color w:val="auto"/>
              </w:rPr>
            </w:pPr>
          </w:p>
        </w:tc>
        <w:tc>
          <w:tcPr>
            <w:tcW w:w="104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8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9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Proceeds from loan</w:t>
            </w:r>
          </w:p>
        </w:tc>
        <w:tc>
          <w:tcPr>
            <w:tcW w:w="5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Proceeds from issuance of convertible notes</w:t>
            </w:r>
          </w:p>
        </w:tc>
        <w:tc>
          <w:tcPr>
            <w:tcW w:w="5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115</w:t>
            </w:r>
          </w:p>
        </w:tc>
        <w:tc>
          <w:tcPr>
            <w:tcW w:w="6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Issuance of shares, net</w:t>
            </w:r>
          </w:p>
        </w:tc>
        <w:tc>
          <w:tcPr>
            <w:tcW w:w="5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21,920</w:t>
            </w:r>
          </w:p>
        </w:tc>
        <w:tc>
          <w:tcPr>
            <w:tcW w:w="6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25,661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22,035</w:t>
            </w:r>
          </w:p>
        </w:tc>
        <w:tc>
          <w:tcPr>
            <w:tcW w:w="6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17,496</w:t>
            </w:r>
          </w:p>
        </w:tc>
        <w:tc>
          <w:tcPr>
            <w:tcW w:w="6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17,593</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68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17,593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0" w:type="dxa"/>
            <w:vAlign w:val="bottom"/>
            <w:tcBorders>
              <w:top w:val="single" w:sz="8" w:color="CCFFCC"/>
            </w:tcBorders>
            <w:shd w:val="clear" w:color="auto" w:fill="CCFFCC"/>
          </w:tcPr>
          <w:p>
            <w:pPr>
              <w:spacing w:after="0"/>
              <w:rPr>
                <w:sz w:val="17"/>
                <w:szCs w:val="17"/>
                <w:color w:val="auto"/>
              </w:rPr>
            </w:pPr>
          </w:p>
        </w:tc>
        <w:tc>
          <w:tcPr>
            <w:tcW w:w="2520" w:type="dxa"/>
            <w:vAlign w:val="bottom"/>
            <w:tcBorders>
              <w:top w:val="single" w:sz="8" w:color="CCFFCC"/>
            </w:tcBorders>
            <w:shd w:val="clear" w:color="auto" w:fill="CCFFCC"/>
          </w:tcPr>
          <w:p>
            <w:pPr>
              <w:spacing w:after="0"/>
              <w:rPr>
                <w:sz w:val="17"/>
                <w:szCs w:val="17"/>
                <w:color w:val="auto"/>
              </w:rPr>
            </w:pPr>
          </w:p>
        </w:tc>
        <w:tc>
          <w:tcPr>
            <w:tcW w:w="1040" w:type="dxa"/>
            <w:vAlign w:val="bottom"/>
            <w:tcBorders>
              <w:top w:val="single" w:sz="8" w:color="CCFFCC"/>
            </w:tcBorders>
            <w:shd w:val="clear" w:color="auto" w:fill="CCFFCC"/>
          </w:tcPr>
          <w:p>
            <w:pPr>
              <w:spacing w:after="0"/>
              <w:rPr>
                <w:sz w:val="17"/>
                <w:szCs w:val="17"/>
                <w:color w:val="auto"/>
              </w:rPr>
            </w:pPr>
          </w:p>
        </w:tc>
        <w:tc>
          <w:tcPr>
            <w:tcW w:w="540" w:type="dxa"/>
            <w:vAlign w:val="bottom"/>
            <w:tcBorders>
              <w:top w:val="single" w:sz="8" w:color="auto"/>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360" w:type="dxa"/>
            <w:vAlign w:val="bottom"/>
            <w:tcBorders>
              <w:top w:val="single" w:sz="8" w:color="CCFFCC"/>
            </w:tcBorders>
            <w:shd w:val="clear" w:color="auto" w:fill="CCFFCC"/>
          </w:tcPr>
          <w:p>
            <w:pPr>
              <w:spacing w:after="0"/>
              <w:rPr>
                <w:sz w:val="17"/>
                <w:szCs w:val="17"/>
                <w:color w:val="auto"/>
              </w:rPr>
            </w:pPr>
          </w:p>
        </w:tc>
        <w:tc>
          <w:tcPr>
            <w:tcW w:w="660" w:type="dxa"/>
            <w:vAlign w:val="bottom"/>
            <w:tcBorders>
              <w:top w:val="single" w:sz="8" w:color="auto"/>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54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60" w:type="dxa"/>
            <w:vAlign w:val="bottom"/>
            <w:gridSpan w:val="3"/>
          </w:tcPr>
          <w:p>
            <w:pPr>
              <w:spacing w:after="0" w:line="17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w w:val="93"/>
              </w:rPr>
              <w:t>Issuance of Preferred B shares and warrants upon conversion of convertible notes</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tcBorders>
              <w:top w:val="single" w:sz="8" w:color="CCFFCC"/>
              <w:bottom w:val="single" w:sz="8" w:color="CCFFCC"/>
            </w:tcBorders>
            <w:gridSpan w:val="3"/>
            <w:shd w:val="clear" w:color="auto" w:fill="CCFFCC"/>
          </w:tcPr>
          <w:p>
            <w:pPr>
              <w:spacing w:after="0" w:line="190" w:lineRule="exact"/>
              <w:rPr>
                <w:sz w:val="20"/>
                <w:szCs w:val="20"/>
                <w:color w:val="auto"/>
              </w:rPr>
            </w:pPr>
            <w:r>
              <w:rPr>
                <w:rFonts w:ascii="Arial" w:cs="Arial" w:eastAsia="Arial" w:hAnsi="Arial"/>
                <w:sz w:val="18"/>
                <w:szCs w:val="18"/>
                <w:color w:val="auto"/>
              </w:rPr>
              <w:t>Issuance of Ordinary shares upon conversion of loans</w:t>
            </w:r>
          </w:p>
        </w:tc>
        <w:tc>
          <w:tcPr>
            <w:tcW w:w="540" w:type="dxa"/>
            <w:vAlign w:val="bottom"/>
            <w:tcBorders>
              <w:top w:val="single" w:sz="8" w:color="auto"/>
              <w:bottom w:val="single" w:sz="8" w:color="auto"/>
            </w:tcBorders>
            <w:shd w:val="clear" w:color="auto" w:fill="CCFFC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980</w:t>
            </w:r>
          </w:p>
        </w:tc>
        <w:tc>
          <w:tcPr>
            <w:tcW w:w="360" w:type="dxa"/>
            <w:vAlign w:val="bottom"/>
            <w:tcBorders>
              <w:top w:val="single" w:sz="8" w:color="CCFFCC"/>
              <w:bottom w:val="single" w:sz="8" w:color="CCFFCC"/>
            </w:tcBorders>
            <w:shd w:val="clear" w:color="auto" w:fill="CCFFCC"/>
          </w:tcPr>
          <w:p>
            <w:pPr>
              <w:spacing w:after="0"/>
              <w:rPr>
                <w:sz w:val="17"/>
                <w:szCs w:val="17"/>
                <w:color w:val="auto"/>
              </w:rPr>
            </w:pPr>
          </w:p>
        </w:tc>
        <w:tc>
          <w:tcPr>
            <w:tcW w:w="660" w:type="dxa"/>
            <w:vAlign w:val="bottom"/>
            <w:tcBorders>
              <w:top w:val="single" w:sz="8" w:color="auto"/>
              <w:bottom w:val="single" w:sz="8" w:color="auto"/>
            </w:tcBorders>
            <w:shd w:val="clear" w:color="auto" w:fill="CCFFCC"/>
          </w:tcPr>
          <w:p>
            <w:pPr>
              <w:spacing w:after="0"/>
              <w:rPr>
                <w:sz w:val="17"/>
                <w:szCs w:val="17"/>
                <w:color w:val="auto"/>
              </w:rPr>
            </w:pPr>
          </w:p>
        </w:tc>
        <w:tc>
          <w:tcPr>
            <w:tcW w:w="82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540" w:type="dxa"/>
            <w:vAlign w:val="bottom"/>
            <w:tcBorders>
              <w:top w:val="single" w:sz="8" w:color="auto"/>
              <w:bottom w:val="single" w:sz="8" w:color="auto"/>
            </w:tcBorders>
            <w:shd w:val="clear" w:color="auto" w:fill="CCFFCC"/>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2,180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jc w:val="both"/>
        <w:ind w:left="1520" w:hanging="499"/>
        <w:spacing w:after="0" w:line="291" w:lineRule="auto"/>
        <w:tabs>
          <w:tab w:leader="none" w:pos="15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7" w:lineRule="exact"/>
        <w:rPr>
          <w:rFonts w:ascii="Arial" w:cs="Arial" w:eastAsia="Arial" w:hAnsi="Arial"/>
          <w:sz w:val="16"/>
          <w:szCs w:val="16"/>
          <w:color w:val="auto"/>
        </w:rPr>
      </w:pPr>
    </w:p>
    <w:p>
      <w:pPr>
        <w:jc w:val="both"/>
        <w:ind w:left="1520" w:hanging="499"/>
        <w:spacing w:after="0" w:line="259" w:lineRule="auto"/>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is in the development stage. As reflected in the accompanying unaudited interim financial statements, the Company incurred a loss for the six month period ended June 30, 2013 of $1,716 and had a negative cash flow from operating activities of $532 during the six month period ended June 30, 2013. The accumulated deficit as of June 30, 2013 is $9,902. The Company has not yet generated revenues from product sale.</w:t>
      </w:r>
    </w:p>
    <w:p>
      <w:pPr>
        <w:spacing w:after="0" w:line="186"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During May 2013, the Company completed an Initial Public Offering (the "IPO") in the "NASDAQ" and issued 3,125,000 ordinary shares in consideration of approximately $22,000, net.</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UNAUDITED INTERIM FINANCIAL STATEMENTS</w:t>
      </w:r>
    </w:p>
    <w:p>
      <w:pPr>
        <w:spacing w:after="0" w:line="229"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The accompanying unaudited interim financial statements have been prepared in accordance with accounting principles generally accepted in the United States for interim financial information. Accordingly, they do not include all the information and footnotes required by accounting principles generally accepted in the United States for complete financial statements. The Company believes that the disclosures are adequate to make the information presented not misleading. These financial statements should be read in conjunction with the 2012 annual financial statements and the notes thereto.</w:t>
      </w:r>
    </w:p>
    <w:p>
      <w:pPr>
        <w:spacing w:after="0" w:line="18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Operating results for the six months period ended June 30, 2013, are not necessarily indicative of the results that may be expected for the year ended December 31, 2013.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tab/>
        <w:t>SIGNIFICANT ACCOUNTING POLICIES</w:t>
      </w:r>
    </w:p>
    <w:p>
      <w:pPr>
        <w:spacing w:after="0" w:line="229" w:lineRule="exact"/>
        <w:rPr>
          <w:sz w:val="20"/>
          <w:szCs w:val="20"/>
          <w:color w:val="auto"/>
        </w:rPr>
      </w:pPr>
    </w:p>
    <w:p>
      <w:pPr>
        <w:ind w:left="1540"/>
        <w:spacing w:after="0" w:line="308" w:lineRule="auto"/>
        <w:rPr>
          <w:sz w:val="20"/>
          <w:szCs w:val="20"/>
          <w:color w:val="auto"/>
        </w:rPr>
      </w:pPr>
      <w:r>
        <w:rPr>
          <w:rFonts w:ascii="Arial" w:cs="Arial" w:eastAsia="Arial" w:hAnsi="Arial"/>
          <w:sz w:val="17"/>
          <w:szCs w:val="17"/>
          <w:color w:val="auto"/>
        </w:rPr>
        <w:t>The significant accounting policies applied in the annual financial statements of the Company as of December 31, 2012 are applied consistently in these financial statements. For further information, refer to the financial statements as of December 31, 2012.</w:t>
      </w:r>
    </w:p>
    <w:p>
      <w:pPr>
        <w:spacing w:after="0" w:line="147" w:lineRule="exact"/>
        <w:rPr>
          <w:sz w:val="20"/>
          <w:szCs w:val="20"/>
          <w:color w:val="auto"/>
        </w:rPr>
      </w:pPr>
    </w:p>
    <w:p>
      <w:pPr>
        <w:ind w:left="1520" w:hanging="499"/>
        <w:spacing w:after="0"/>
        <w:tabs>
          <w:tab w:leader="none" w:pos="1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54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liabilities at the dates of the financial statements, and the reported amounts of expenses during the reporting period. Actual results could differ from those estimates.</w:t>
      </w:r>
    </w:p>
    <w:p>
      <w:pPr>
        <w:spacing w:after="0" w:line="1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4:-</w:t>
        <w:tab/>
        <w:t>CONVERTIBLE NOTES</w:t>
      </w:r>
    </w:p>
    <w:p>
      <w:pPr>
        <w:spacing w:after="0" w:line="229" w:lineRule="exact"/>
        <w:rPr>
          <w:sz w:val="20"/>
          <w:szCs w:val="20"/>
          <w:color w:val="auto"/>
        </w:rPr>
      </w:pPr>
    </w:p>
    <w:p>
      <w:pPr>
        <w:jc w:val="both"/>
        <w:ind w:left="1520" w:hanging="499"/>
        <w:spacing w:after="0" w:line="272" w:lineRule="auto"/>
        <w:tabs>
          <w:tab w:leader="none" w:pos="15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During 2012, the Company issued convertible promissory notes to certain investors for a total amount of $ 600. The convertible notes bore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77" w:lineRule="exact"/>
        <w:rPr>
          <w:rFonts w:ascii="Arial" w:cs="Arial" w:eastAsia="Arial" w:hAnsi="Arial"/>
          <w:sz w:val="17"/>
          <w:szCs w:val="17"/>
          <w:color w:val="auto"/>
        </w:rPr>
      </w:pPr>
    </w:p>
    <w:p>
      <w:pPr>
        <w:ind w:left="1520" w:hanging="499"/>
        <w:spacing w:after="0" w:line="308" w:lineRule="auto"/>
        <w:tabs>
          <w:tab w:leader="none" w:pos="15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During February and March 2013, the Company issued convertible promissory notes to certain investors for a total amount of $ 115. The terms of the convertible promissory notes are the same as the terms of the convertible promissory notes issued in 2012.</w:t>
      </w:r>
    </w:p>
    <w:p>
      <w:pPr>
        <w:spacing w:after="0" w:line="147" w:lineRule="exact"/>
        <w:rPr>
          <w:sz w:val="20"/>
          <w:szCs w:val="20"/>
          <w:color w:val="auto"/>
        </w:rPr>
      </w:pPr>
    </w:p>
    <w:p>
      <w:pPr>
        <w:jc w:val="both"/>
        <w:ind w:left="1140"/>
        <w:spacing w:after="0" w:line="255" w:lineRule="auto"/>
        <w:rPr>
          <w:sz w:val="20"/>
          <w:szCs w:val="20"/>
          <w:color w:val="auto"/>
        </w:rPr>
      </w:pPr>
      <w:r>
        <w:rPr>
          <w:rFonts w:ascii="Arial" w:cs="Arial" w:eastAsia="Arial" w:hAnsi="Arial"/>
          <w:sz w:val="18"/>
          <w:szCs w:val="18"/>
          <w:color w:val="auto"/>
        </w:rPr>
        <w:t>The convertible notes had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were presented at their redemption amount, which included the principal amount of the convertible notes, the accumulated interest and additional redemption amount accrued over the term of the convertible notes, using the interest method, which approximated the fair value.</w:t>
      </w:r>
    </w:p>
    <w:p>
      <w:pPr>
        <w:spacing w:after="0" w:line="193" w:lineRule="exact"/>
        <w:rPr>
          <w:sz w:val="20"/>
          <w:szCs w:val="20"/>
          <w:color w:val="auto"/>
        </w:rPr>
      </w:pPr>
    </w:p>
    <w:p>
      <w:pPr>
        <w:jc w:val="both"/>
        <w:ind w:left="1140"/>
        <w:spacing w:after="0" w:line="312" w:lineRule="auto"/>
        <w:rPr>
          <w:sz w:val="20"/>
          <w:szCs w:val="20"/>
          <w:color w:val="auto"/>
        </w:rPr>
      </w:pPr>
      <w:r>
        <w:rPr>
          <w:rFonts w:ascii="Arial" w:cs="Arial" w:eastAsia="Arial" w:hAnsi="Arial"/>
          <w:sz w:val="16"/>
          <w:szCs w:val="16"/>
          <w:color w:val="auto"/>
        </w:rPr>
        <w:t>In connection with the IPO in May 2013, according to the terms of the convertible notes, in May 2013 the notes were automatically converted into 123,553 ordinary shares of the Company. Upon conversion of the convertible notes, the entire redemption amount was derecognized against additional paid in capital in the amount of $980. The financial expenses for the Six months ended June 30, 2013 amounted to $203.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CONTINGENT LIABILITIES AND COMMITMENTS</w:t>
      </w:r>
    </w:p>
    <w:p>
      <w:pPr>
        <w:spacing w:after="0" w:line="229" w:lineRule="exact"/>
        <w:rPr>
          <w:sz w:val="20"/>
          <w:szCs w:val="20"/>
          <w:color w:val="auto"/>
        </w:rPr>
      </w:pPr>
    </w:p>
    <w:p>
      <w:pPr>
        <w:ind w:left="1520" w:hanging="499"/>
        <w:spacing w:after="0" w:line="277" w:lineRule="auto"/>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is engaged in an operating lease agreement for its office facilities. Future minimum non cancelable rental payments under the operating lease are $4. The rent expenses for the Six month ended June 30, 2013 amounted to $16.</w:t>
      </w:r>
    </w:p>
    <w:p>
      <w:pPr>
        <w:spacing w:after="0" w:line="170" w:lineRule="exact"/>
        <w:rPr>
          <w:rFonts w:ascii="Arial" w:cs="Arial" w:eastAsia="Arial" w:hAnsi="Arial"/>
          <w:sz w:val="18"/>
          <w:szCs w:val="18"/>
          <w:color w:val="auto"/>
        </w:rPr>
      </w:pPr>
    </w:p>
    <w:p>
      <w:pPr>
        <w:ind w:left="1520" w:hanging="499"/>
        <w:spacing w:after="0" w:line="308" w:lineRule="auto"/>
        <w:tabs>
          <w:tab w:leader="none" w:pos="1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On June 2013 the Company entered into an operating lease agreement for its vehicles until 2016. Future minimum non cancelable rental payments under the operating lease are $11. The rent expenses for the Six month ended June 30, 2013 amounted to $9.</w:t>
      </w:r>
    </w:p>
    <w:p>
      <w:pPr>
        <w:spacing w:after="0" w:line="146" w:lineRule="exact"/>
        <w:rPr>
          <w:rFonts w:ascii="Arial" w:cs="Arial" w:eastAsia="Arial" w:hAnsi="Arial"/>
          <w:sz w:val="17"/>
          <w:szCs w:val="17"/>
          <w:color w:val="auto"/>
        </w:rPr>
      </w:pPr>
    </w:p>
    <w:p>
      <w:pPr>
        <w:ind w:left="1520" w:hanging="499"/>
        <w:spacing w:after="0"/>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In connection with its research and development, the Company received $106 of participation payments from the OCS through June 30, 2013.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$113 as of June 30, 2013. In addition, the OCS may impose certain conditions on any arrangement under which it permits the Company to transfer technology or development out of Israel.</w:t>
      </w:r>
    </w:p>
    <w:p>
      <w:pPr>
        <w:spacing w:after="0" w:line="1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SHAREHOLDERS' EQUITY (DEFICIENCY)</w:t>
      </w:r>
    </w:p>
    <w:p>
      <w:pPr>
        <w:spacing w:after="0" w:line="229" w:lineRule="exact"/>
        <w:rPr>
          <w:sz w:val="20"/>
          <w:szCs w:val="20"/>
          <w:color w:val="auto"/>
        </w:rPr>
      </w:pPr>
    </w:p>
    <w:p>
      <w:pPr>
        <w:ind w:left="1520" w:hanging="499"/>
        <w:spacing w:after="0"/>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jc w:val="both"/>
        <w:ind w:left="1520"/>
        <w:spacing w:after="0" w:line="286" w:lineRule="auto"/>
        <w:rPr>
          <w:rFonts w:ascii="Arial" w:cs="Arial" w:eastAsia="Arial" w:hAnsi="Arial"/>
          <w:sz w:val="18"/>
          <w:szCs w:val="18"/>
          <w:color w:val="auto"/>
        </w:rPr>
      </w:pPr>
      <w:r>
        <w:rPr>
          <w:rFonts w:ascii="Arial" w:cs="Arial" w:eastAsia="Arial" w:hAnsi="Arial"/>
          <w:sz w:val="17"/>
          <w:szCs w:val="17"/>
          <w:color w:val="auto"/>
        </w:rPr>
        <w:t>All Ordinary shares, options, warrants, per share data, exercise price and convertible notes conversion ratio included in these financial statements for all periods presented have been retroactively adjusted to reflect the 4.87-to-one bonus shares (equivalent to a 5.87-for-1 stock split) that was effective immediately prior to the effectiveness of the registration statement in May 2013.</w:t>
      </w:r>
    </w:p>
    <w:p>
      <w:pPr>
        <w:spacing w:after="0" w:line="165" w:lineRule="exact"/>
        <w:rPr>
          <w:rFonts w:ascii="Arial" w:cs="Arial" w:eastAsia="Arial" w:hAnsi="Arial"/>
          <w:sz w:val="18"/>
          <w:szCs w:val="18"/>
          <w:color w:val="auto"/>
        </w:rPr>
      </w:pPr>
    </w:p>
    <w:p>
      <w:pPr>
        <w:ind w:left="1520"/>
        <w:spacing w:after="0" w:line="277" w:lineRule="auto"/>
        <w:rPr>
          <w:rFonts w:ascii="Arial" w:cs="Arial" w:eastAsia="Arial" w:hAnsi="Arial"/>
          <w:sz w:val="18"/>
          <w:szCs w:val="18"/>
          <w:color w:val="auto"/>
        </w:rPr>
      </w:pPr>
      <w:r>
        <w:rPr>
          <w:rFonts w:ascii="Arial" w:cs="Arial" w:eastAsia="Arial" w:hAnsi="Arial"/>
          <w:sz w:val="18"/>
          <w:szCs w:val="18"/>
          <w:color w:val="auto"/>
        </w:rPr>
        <w:t>During March 2013, the Company's general meeting resolved to increase the Company’s authorized shares to 50,000,000 Ordinary shares.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Issuances of share:</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During May, 2013, the Company completed an Initial Public Offering (the "IPO") in the "NASDAQ" and issued 3,125,000 ordinary shares in consideration of approximately $22,000, net.</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Following the IPO and according to the terms of the convertible notes (see also Note 4), the notes were automatically converted into 123,552 ordinary shares of the Company. In addition, 120,255 warrants were exercised into 85,189 ordinary shares of the Company, using the cashless exercise method.</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2010 incentive option plan:</w:t>
      </w:r>
    </w:p>
    <w:p>
      <w:pPr>
        <w:spacing w:after="0" w:line="225" w:lineRule="exact"/>
        <w:rPr>
          <w:rFonts w:ascii="Arial" w:cs="Arial" w:eastAsia="Arial" w:hAnsi="Arial"/>
          <w:sz w:val="18"/>
          <w:szCs w:val="18"/>
          <w:color w:val="auto"/>
        </w:rPr>
      </w:pPr>
    </w:p>
    <w:p>
      <w:pPr>
        <w:jc w:val="both"/>
        <w:ind w:left="1540"/>
        <w:spacing w:after="0" w:line="279" w:lineRule="auto"/>
        <w:rPr>
          <w:rFonts w:ascii="Arial" w:cs="Arial" w:eastAsia="Arial" w:hAnsi="Arial"/>
          <w:sz w:val="18"/>
          <w:szCs w:val="18"/>
          <w:color w:val="auto"/>
        </w:rPr>
      </w:pPr>
      <w:r>
        <w:rPr>
          <w:rFonts w:ascii="Arial" w:cs="Arial" w:eastAsia="Arial" w:hAnsi="Arial"/>
          <w:sz w:val="17"/>
          <w:szCs w:val="17"/>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June 30, 2013, 7,009 options were still available for future grants under the Plan. (See also Note 9(b)).</w:t>
      </w:r>
    </w:p>
    <w:p>
      <w:pPr>
        <w:spacing w:after="0" w:line="17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020" w:type="dxa"/>
            <w:vAlign w:val="bottom"/>
            <w:gridSpan w:val="6"/>
          </w:tcPr>
          <w:p>
            <w:pPr>
              <w:ind w:left="240"/>
              <w:spacing w:after="0"/>
              <w:rPr>
                <w:sz w:val="20"/>
                <w:szCs w:val="20"/>
                <w:color w:val="auto"/>
              </w:rPr>
            </w:pPr>
            <w:r>
              <w:rPr>
                <w:rFonts w:ascii="Arial" w:cs="Arial" w:eastAsia="Arial" w:hAnsi="Arial"/>
                <w:sz w:val="18"/>
                <w:szCs w:val="18"/>
                <w:b w:val="1"/>
                <w:bCs w:val="1"/>
                <w:color w:val="auto"/>
                <w:w w:val="99"/>
              </w:rPr>
              <w:t>Six months ended June 30, 2013</w:t>
            </w:r>
          </w:p>
        </w:tc>
      </w:tr>
      <w:tr>
        <w:trPr>
          <w:trHeight w:val="191"/>
        </w:trPr>
        <w:tc>
          <w:tcPr>
            <w:tcW w:w="644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Number of</w:t>
            </w:r>
          </w:p>
        </w:tc>
        <w:tc>
          <w:tcPr>
            <w:tcW w:w="14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w w:val="88"/>
              </w:rPr>
              <w:t>Weighted average</w:t>
            </w:r>
          </w:p>
        </w:tc>
        <w:tc>
          <w:tcPr>
            <w:tcW w:w="100" w:type="dxa"/>
            <w:vAlign w:val="bottom"/>
            <w:gridSpan w:val="2"/>
          </w:tcPr>
          <w:p>
            <w:pPr>
              <w:spacing w:after="0"/>
              <w:rPr>
                <w:sz w:val="16"/>
                <w:szCs w:val="16"/>
                <w:color w:val="auto"/>
              </w:rPr>
            </w:pPr>
          </w:p>
        </w:tc>
      </w:tr>
      <w:tr>
        <w:trPr>
          <w:trHeight w:val="234"/>
        </w:trPr>
        <w:tc>
          <w:tcPr>
            <w:tcW w:w="644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exercise price</w:t>
            </w:r>
          </w:p>
        </w:tc>
      </w:tr>
      <w:tr>
        <w:trPr>
          <w:trHeight w:val="210"/>
        </w:trPr>
        <w:tc>
          <w:tcPr>
            <w:tcW w:w="64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period</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461,118</w:t>
            </w:r>
          </w:p>
        </w:tc>
        <w:tc>
          <w:tcPr>
            <w:tcW w:w="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FFCC"/>
          </w:tcPr>
          <w:p>
            <w:pPr>
              <w:spacing w:after="0"/>
              <w:rPr>
                <w:sz w:val="18"/>
                <w:szCs w:val="18"/>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Granted *)</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289,544</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83"/>
        </w:trPr>
        <w:tc>
          <w:tcPr>
            <w:tcW w:w="644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750,662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r>
      <w:tr>
        <w:trPr>
          <w:trHeight w:val="197"/>
        </w:trPr>
        <w:tc>
          <w:tcPr>
            <w:tcW w:w="6440" w:type="dxa"/>
            <w:vAlign w:val="bottom"/>
            <w:tcBorders>
              <w:top w:val="single" w:sz="8" w:color="CCFFCC"/>
            </w:tcBorders>
            <w:shd w:val="clear" w:color="auto" w:fill="CCFFCC"/>
          </w:tcPr>
          <w:p>
            <w:pPr>
              <w:spacing w:after="0"/>
              <w:rPr>
                <w:sz w:val="17"/>
                <w:szCs w:val="17"/>
                <w:color w:val="auto"/>
              </w:rPr>
            </w:pPr>
          </w:p>
        </w:tc>
        <w:tc>
          <w:tcPr>
            <w:tcW w:w="1220" w:type="dxa"/>
            <w:vAlign w:val="bottom"/>
            <w:tcBorders>
              <w:top w:val="single" w:sz="8" w:color="auto"/>
            </w:tcBorders>
            <w:shd w:val="clear" w:color="auto" w:fill="CCFFCC"/>
          </w:tcPr>
          <w:p>
            <w:pPr>
              <w:spacing w:after="0"/>
              <w:rPr>
                <w:sz w:val="17"/>
                <w:szCs w:val="17"/>
                <w:color w:val="auto"/>
              </w:rPr>
            </w:pPr>
          </w:p>
        </w:tc>
        <w:tc>
          <w:tcPr>
            <w:tcW w:w="28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2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83"/>
        </w:trPr>
        <w:tc>
          <w:tcPr>
            <w:tcW w:w="644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750,662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r>
      <w:tr>
        <w:trPr>
          <w:trHeight w:val="197"/>
        </w:trPr>
        <w:tc>
          <w:tcPr>
            <w:tcW w:w="6440" w:type="dxa"/>
            <w:vAlign w:val="bottom"/>
            <w:tcBorders>
              <w:top w:val="single" w:sz="8" w:color="CCFFCC"/>
            </w:tcBorders>
            <w:shd w:val="clear" w:color="auto" w:fill="CCFFCC"/>
          </w:tcPr>
          <w:p>
            <w:pPr>
              <w:spacing w:after="0"/>
              <w:rPr>
                <w:sz w:val="17"/>
                <w:szCs w:val="17"/>
                <w:color w:val="auto"/>
              </w:rPr>
            </w:pPr>
          </w:p>
        </w:tc>
        <w:tc>
          <w:tcPr>
            <w:tcW w:w="1220" w:type="dxa"/>
            <w:vAlign w:val="bottom"/>
            <w:tcBorders>
              <w:top w:val="single" w:sz="8" w:color="auto"/>
            </w:tcBorders>
            <w:shd w:val="clear" w:color="auto" w:fill="CCFFCC"/>
          </w:tcPr>
          <w:p>
            <w:pPr>
              <w:spacing w:after="0"/>
              <w:rPr>
                <w:sz w:val="17"/>
                <w:szCs w:val="17"/>
                <w:color w:val="auto"/>
              </w:rPr>
            </w:pPr>
          </w:p>
        </w:tc>
        <w:tc>
          <w:tcPr>
            <w:tcW w:w="28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2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Options exercisable at the end of the period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486,063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21"/>
                <w:szCs w:val="21"/>
                <w:color w:val="auto"/>
              </w:rPr>
            </w:pPr>
          </w:p>
        </w:tc>
      </w:tr>
      <w:tr>
        <w:trPr>
          <w:trHeight w:val="20"/>
        </w:trPr>
        <w:tc>
          <w:tcPr>
            <w:tcW w:w="64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The weighted average grant date fair value of options granted during the period ended June 30, 2013 was $5.8. As of June 30, 2013, the weighted-average remaining contractual term of the outstanding and exercisable options is 6.6 years; the aggregated intrinsic value of outstanding options and exercisable options is $3,285. As of June 30, 2013, the unrecognized compensation cost is $ 303 and $310 to be recognized in 2013 and 2014,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SHAREHOLDERS' EQUITY (DEFICIENCY) (Cont.)</w:t>
      </w:r>
    </w:p>
    <w:p>
      <w:pPr>
        <w:spacing w:after="0" w:line="229" w:lineRule="exact"/>
        <w:rPr>
          <w:sz w:val="20"/>
          <w:szCs w:val="20"/>
          <w:color w:val="auto"/>
        </w:rPr>
      </w:pPr>
    </w:p>
    <w:p>
      <w:pPr>
        <w:ind w:left="1520"/>
        <w:spacing w:after="0" w:line="277" w:lineRule="auto"/>
        <w:rPr>
          <w:sz w:val="20"/>
          <w:szCs w:val="20"/>
          <w:color w:val="auto"/>
        </w:rPr>
      </w:pPr>
      <w:r>
        <w:rPr>
          <w:rFonts w:ascii="Arial" w:cs="Arial" w:eastAsia="Arial" w:hAnsi="Arial"/>
          <w:sz w:val="18"/>
          <w:szCs w:val="18"/>
          <w:color w:val="auto"/>
        </w:rPr>
        <w:t>*) Including 22,388 options to purchase Ordinary shares according to the 2010 Plan granted in May 2013 to a director. The exercise price is $8. The vesting of the options is subject to certain performance conditions.</w:t>
      </w:r>
    </w:p>
    <w:p>
      <w:pPr>
        <w:spacing w:after="0" w:line="170" w:lineRule="exact"/>
        <w:rPr>
          <w:sz w:val="20"/>
          <w:szCs w:val="20"/>
          <w:color w:val="auto"/>
        </w:rPr>
      </w:pPr>
    </w:p>
    <w:p>
      <w:pPr>
        <w:ind w:left="1520" w:hanging="499"/>
        <w:spacing w:after="0"/>
        <w:tabs>
          <w:tab w:leader="none" w:pos="1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right="980"/>
        <w:spacing w:after="0" w:line="501"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The outstanding options granted to the Company's consultants are as follows:</w:t>
      </w:r>
    </w:p>
    <w:tbl>
      <w:tblPr>
        <w:tblLayout w:type="fixed"/>
        <w:tblInd w:w="15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ind w:left="680"/>
              <w:spacing w:after="0"/>
              <w:rPr>
                <w:sz w:val="20"/>
                <w:szCs w:val="20"/>
                <w:color w:val="auto"/>
              </w:rPr>
            </w:pPr>
            <w:r>
              <w:rPr>
                <w:rFonts w:ascii="Arial" w:cs="Arial" w:eastAsia="Arial" w:hAnsi="Arial"/>
                <w:sz w:val="18"/>
                <w:szCs w:val="18"/>
                <w:color w:val="auto"/>
              </w:rPr>
              <w:t>Number of</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left="490"/>
              <w:spacing w:after="0"/>
              <w:rPr>
                <w:sz w:val="20"/>
                <w:szCs w:val="20"/>
                <w:color w:val="auto"/>
              </w:rPr>
            </w:pPr>
            <w:r>
              <w:rPr>
                <w:rFonts w:ascii="Arial" w:cs="Arial" w:eastAsia="Arial" w:hAnsi="Arial"/>
                <w:sz w:val="18"/>
                <w:szCs w:val="18"/>
                <w:color w:val="auto"/>
                <w:w w:val="89"/>
              </w:rPr>
              <w:t>Exercise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420" w:type="dxa"/>
            <w:vAlign w:val="bottom"/>
            <w:gridSpan w:val="2"/>
          </w:tcPr>
          <w:p>
            <w:pPr>
              <w:ind w:left="740"/>
              <w:spacing w:after="0"/>
              <w:rPr>
                <w:sz w:val="20"/>
                <w:szCs w:val="20"/>
                <w:color w:val="auto"/>
              </w:rPr>
            </w:pPr>
            <w:r>
              <w:rPr>
                <w:rFonts w:ascii="Arial" w:cs="Arial" w:eastAsia="Arial" w:hAnsi="Arial"/>
                <w:sz w:val="18"/>
                <w:szCs w:val="18"/>
                <w:color w:val="auto"/>
              </w:rPr>
              <w:t>Grant date</w:t>
            </w:r>
          </w:p>
        </w:tc>
        <w:tc>
          <w:tcPr>
            <w:tcW w:w="1560" w:type="dxa"/>
            <w:vAlign w:val="bottom"/>
          </w:tcPr>
          <w:p>
            <w:pPr>
              <w:ind w:left="820"/>
              <w:spacing w:after="0"/>
              <w:rPr>
                <w:sz w:val="20"/>
                <w:szCs w:val="20"/>
                <w:color w:val="auto"/>
              </w:rPr>
            </w:pPr>
            <w:r>
              <w:rPr>
                <w:rFonts w:ascii="Arial" w:cs="Arial" w:eastAsia="Arial" w:hAnsi="Arial"/>
                <w:sz w:val="18"/>
                <w:szCs w:val="18"/>
                <w:color w:val="auto"/>
              </w:rPr>
              <w:t>options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92"/>
              </w:rPr>
              <w:t>price</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3"/>
              </w:rPr>
              <w:t>Expiration date</w:t>
            </w:r>
          </w:p>
        </w:tc>
      </w:tr>
      <w:tr>
        <w:trPr>
          <w:trHeight w:val="210"/>
        </w:trPr>
        <w:tc>
          <w:tcPr>
            <w:tcW w:w="2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r>
      <w:tr>
        <w:trPr>
          <w:trHeight w:val="216"/>
        </w:trPr>
        <w:tc>
          <w:tcPr>
            <w:tcW w:w="2420" w:type="dxa"/>
            <w:vAlign w:val="bottom"/>
            <w:gridSpan w:val="2"/>
            <w:shd w:val="clear" w:color="auto" w:fill="CCFFCC"/>
          </w:tcPr>
          <w:p>
            <w:pPr>
              <w:jc w:val="center"/>
              <w:ind w:right="140"/>
              <w:spacing w:after="0"/>
              <w:rPr>
                <w:sz w:val="20"/>
                <w:szCs w:val="20"/>
                <w:color w:val="auto"/>
              </w:rPr>
            </w:pPr>
            <w:r>
              <w:rPr>
                <w:rFonts w:ascii="Arial" w:cs="Arial" w:eastAsia="Arial" w:hAnsi="Arial"/>
                <w:sz w:val="18"/>
                <w:szCs w:val="18"/>
                <w:color w:val="auto"/>
                <w:w w:val="94"/>
              </w:rPr>
              <w:t>April 2, 2008</w:t>
            </w:r>
          </w:p>
        </w:tc>
        <w:tc>
          <w:tcPr>
            <w:tcW w:w="156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58,700*)</w:t>
            </w:r>
          </w:p>
        </w:tc>
        <w:tc>
          <w:tcPr>
            <w:tcW w:w="14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0.0005</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April 2, 2018</w:t>
            </w:r>
          </w:p>
        </w:tc>
      </w:tr>
      <w:tr>
        <w:trPr>
          <w:trHeight w:val="216"/>
        </w:trPr>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28, 2010</w:t>
            </w:r>
          </w:p>
        </w:tc>
        <w:tc>
          <w:tcPr>
            <w:tcW w:w="15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8,805*)</w:t>
            </w:r>
          </w:p>
        </w:tc>
        <w:tc>
          <w:tcPr>
            <w:tcW w:w="14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2.1840</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16"/>
        </w:trPr>
        <w:tc>
          <w:tcPr>
            <w:tcW w:w="2420" w:type="dxa"/>
            <w:vAlign w:val="bottom"/>
            <w:gridSpan w:val="2"/>
            <w:shd w:val="clear" w:color="auto" w:fill="CCFFCC"/>
          </w:tcPr>
          <w:p>
            <w:pPr>
              <w:jc w:val="center"/>
              <w:ind w:right="140"/>
              <w:spacing w:after="0"/>
              <w:rPr>
                <w:sz w:val="20"/>
                <w:szCs w:val="20"/>
                <w:color w:val="auto"/>
              </w:rPr>
            </w:pPr>
            <w:r>
              <w:rPr>
                <w:rFonts w:ascii="Arial" w:cs="Arial" w:eastAsia="Arial" w:hAnsi="Arial"/>
                <w:sz w:val="18"/>
                <w:szCs w:val="18"/>
                <w:color w:val="auto"/>
                <w:w w:val="89"/>
              </w:rPr>
              <w:t>February 13, 2011</w:t>
            </w:r>
          </w:p>
        </w:tc>
        <w:tc>
          <w:tcPr>
            <w:tcW w:w="156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1,174*)</w:t>
            </w:r>
          </w:p>
        </w:tc>
        <w:tc>
          <w:tcPr>
            <w:tcW w:w="14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0.0005</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February 13, 2021</w:t>
            </w:r>
          </w:p>
        </w:tc>
      </w:tr>
      <w:tr>
        <w:trPr>
          <w:trHeight w:val="230"/>
        </w:trPr>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17, 2011</w:t>
            </w:r>
          </w:p>
        </w:tc>
        <w:tc>
          <w:tcPr>
            <w:tcW w:w="156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3,804*)</w:t>
            </w:r>
          </w:p>
        </w:tc>
        <w:tc>
          <w:tcPr>
            <w:tcW w:w="14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0.0005</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February 17, 2021</w:t>
            </w:r>
          </w:p>
        </w:tc>
      </w:tr>
      <w:tr>
        <w:trPr>
          <w:trHeight w:val="210"/>
        </w:trPr>
        <w:tc>
          <w:tcPr>
            <w:tcW w:w="22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56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CCFFCC"/>
            </w:tcBorders>
            <w:shd w:val="clear" w:color="auto" w:fill="CCFFCC"/>
          </w:tcPr>
          <w:p>
            <w:pPr>
              <w:spacing w:after="0"/>
              <w:rPr>
                <w:sz w:val="18"/>
                <w:szCs w:val="18"/>
                <w:color w:val="auto"/>
              </w:rPr>
            </w:pPr>
          </w:p>
        </w:tc>
        <w:tc>
          <w:tcPr>
            <w:tcW w:w="6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180" w:type="dxa"/>
            <w:vAlign w:val="bottom"/>
            <w:tcBorders>
              <w:top w:val="single" w:sz="8" w:color="CCFFCC"/>
            </w:tcBorders>
            <w:shd w:val="clear" w:color="auto" w:fill="CCFFCC"/>
          </w:tcPr>
          <w:p>
            <w:pPr>
              <w:spacing w:after="0"/>
              <w:rPr>
                <w:sz w:val="18"/>
                <w:szCs w:val="18"/>
                <w:color w:val="auto"/>
              </w:rPr>
            </w:pPr>
          </w:p>
        </w:tc>
      </w:tr>
      <w:tr>
        <w:trPr>
          <w:trHeight w:val="243"/>
        </w:trPr>
        <w:tc>
          <w:tcPr>
            <w:tcW w:w="2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72,483</w:t>
            </w: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All options were fully vested on grant date.</w:t>
      </w:r>
    </w:p>
    <w:p>
      <w:pPr>
        <w:spacing w:after="0" w:line="225" w:lineRule="exact"/>
        <w:rPr>
          <w:sz w:val="20"/>
          <w:szCs w:val="20"/>
          <w:color w:val="auto"/>
        </w:rPr>
      </w:pPr>
    </w:p>
    <w:p>
      <w:pPr>
        <w:ind w:left="1520" w:hanging="499"/>
        <w:spacing w:after="0"/>
        <w:tabs>
          <w:tab w:leader="none" w:pos="1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Warrants granted to underwriters: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outstanding options granted to the Company's underwriters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Number of</w:t>
            </w:r>
          </w:p>
        </w:tc>
        <w:tc>
          <w:tcPr>
            <w:tcW w:w="236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Exercise</w:t>
            </w:r>
          </w:p>
        </w:tc>
        <w:tc>
          <w:tcPr>
            <w:tcW w:w="21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2460" w:type="dxa"/>
            <w:vAlign w:val="bottom"/>
            <w:gridSpan w:val="2"/>
          </w:tcPr>
          <w:p>
            <w:pPr>
              <w:ind w:left="720"/>
              <w:spacing w:after="0"/>
              <w:rPr>
                <w:sz w:val="20"/>
                <w:szCs w:val="20"/>
                <w:color w:val="auto"/>
              </w:rPr>
            </w:pPr>
            <w:r>
              <w:rPr>
                <w:rFonts w:ascii="Arial" w:cs="Arial" w:eastAsia="Arial" w:hAnsi="Arial"/>
                <w:sz w:val="18"/>
                <w:szCs w:val="18"/>
                <w:b w:val="1"/>
                <w:bCs w:val="1"/>
                <w:color w:val="auto"/>
              </w:rPr>
              <w:t>Grant date</w:t>
            </w:r>
          </w:p>
        </w:tc>
        <w:tc>
          <w:tcPr>
            <w:tcW w:w="2460" w:type="dxa"/>
            <w:vAlign w:val="bottom"/>
            <w:gridSpan w:val="2"/>
          </w:tcPr>
          <w:p>
            <w:pPr>
              <w:jc w:val="right"/>
              <w:ind w:right="1080"/>
              <w:spacing w:after="0"/>
              <w:rPr>
                <w:sz w:val="20"/>
                <w:szCs w:val="20"/>
                <w:color w:val="auto"/>
              </w:rPr>
            </w:pPr>
            <w:r>
              <w:rPr>
                <w:rFonts w:ascii="Arial" w:cs="Arial" w:eastAsia="Arial" w:hAnsi="Arial"/>
                <w:sz w:val="18"/>
                <w:szCs w:val="18"/>
                <w:b w:val="1"/>
                <w:bCs w:val="1"/>
                <w:color w:val="auto"/>
              </w:rPr>
              <w:t>options</w:t>
            </w:r>
          </w:p>
        </w:tc>
        <w:tc>
          <w:tcPr>
            <w:tcW w:w="236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price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420" w:type="dxa"/>
            <w:vAlign w:val="bottom"/>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May 28, 2013</w:t>
            </w:r>
          </w:p>
        </w:tc>
        <w:tc>
          <w:tcPr>
            <w:tcW w:w="24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52,083</w:t>
            </w:r>
          </w:p>
        </w:tc>
        <w:tc>
          <w:tcPr>
            <w:tcW w:w="2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May 28, 2015</w:t>
            </w: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May 28, 2013</w:t>
            </w:r>
          </w:p>
        </w:tc>
        <w:tc>
          <w:tcPr>
            <w:tcW w:w="2460" w:type="dxa"/>
            <w:vAlign w:val="bottom"/>
            <w:gridSpan w:val="2"/>
          </w:tcPr>
          <w:p>
            <w:pPr>
              <w:jc w:val="right"/>
              <w:ind w:right="280"/>
              <w:spacing w:after="0"/>
              <w:rPr>
                <w:sz w:val="20"/>
                <w:szCs w:val="20"/>
                <w:color w:val="auto"/>
              </w:rPr>
            </w:pPr>
            <w:r>
              <w:rPr>
                <w:rFonts w:ascii="Arial" w:cs="Arial" w:eastAsia="Arial" w:hAnsi="Arial"/>
                <w:sz w:val="18"/>
                <w:szCs w:val="18"/>
                <w:color w:val="auto"/>
              </w:rPr>
              <w:t>52,083</w:t>
            </w:r>
          </w:p>
        </w:tc>
        <w:tc>
          <w:tcPr>
            <w:tcW w:w="23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November 28, 2015</w:t>
            </w:r>
          </w:p>
        </w:tc>
        <w:tc>
          <w:tcPr>
            <w:tcW w:w="420" w:type="dxa"/>
            <w:vAlign w:val="bottom"/>
          </w:tcPr>
          <w:p>
            <w:pPr>
              <w:spacing w:after="0"/>
              <w:rPr>
                <w:sz w:val="18"/>
                <w:szCs w:val="18"/>
                <w:color w:val="auto"/>
              </w:rPr>
            </w:pPr>
          </w:p>
        </w:tc>
      </w:tr>
      <w:tr>
        <w:trPr>
          <w:trHeight w:val="230"/>
        </w:trPr>
        <w:tc>
          <w:tcPr>
            <w:tcW w:w="1540" w:type="dxa"/>
            <w:vAlign w:val="bottom"/>
          </w:tcPr>
          <w:p>
            <w:pPr>
              <w:spacing w:after="0"/>
              <w:rPr>
                <w:sz w:val="19"/>
                <w:szCs w:val="19"/>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May 28, 2013</w:t>
            </w:r>
          </w:p>
        </w:tc>
        <w:tc>
          <w:tcPr>
            <w:tcW w:w="24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52,084</w:t>
            </w:r>
          </w:p>
        </w:tc>
        <w:tc>
          <w:tcPr>
            <w:tcW w:w="2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May 28, 2016</w:t>
            </w:r>
          </w:p>
        </w:tc>
        <w:tc>
          <w:tcPr>
            <w:tcW w:w="420" w:type="dxa"/>
            <w:vAlign w:val="bottom"/>
          </w:tcPr>
          <w:p>
            <w:pPr>
              <w:spacing w:after="0"/>
              <w:rPr>
                <w:sz w:val="19"/>
                <w:szCs w:val="19"/>
                <w:color w:val="auto"/>
              </w:rPr>
            </w:pPr>
          </w:p>
        </w:tc>
      </w:tr>
      <w:tr>
        <w:trPr>
          <w:trHeight w:val="210"/>
        </w:trPr>
        <w:tc>
          <w:tcPr>
            <w:tcW w:w="1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43"/>
        </w:trPr>
        <w:tc>
          <w:tcPr>
            <w:tcW w:w="1540" w:type="dxa"/>
            <w:vAlign w:val="bottom"/>
          </w:tcPr>
          <w:p>
            <w:pPr>
              <w:spacing w:after="0"/>
              <w:rPr>
                <w:sz w:val="21"/>
                <w:szCs w:val="21"/>
                <w:color w:val="auto"/>
              </w:rPr>
            </w:pPr>
          </w:p>
        </w:tc>
        <w:tc>
          <w:tcPr>
            <w:tcW w:w="22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4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156,250</w:t>
            </w:r>
          </w:p>
        </w:tc>
        <w:tc>
          <w:tcPr>
            <w:tcW w:w="20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2180" w:type="dxa"/>
            <w:vAlign w:val="bottom"/>
            <w:shd w:val="clear" w:color="auto" w:fill="CCFFCC"/>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20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2180" w:type="dxa"/>
            <w:vAlign w:val="bottom"/>
            <w:tcBorders>
              <w:top w:val="single" w:sz="8" w:color="CCFFC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629"/>
        </w:trPr>
        <w:tc>
          <w:tcPr>
            <w:tcW w:w="1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F-36</w:t>
            </w:r>
          </w:p>
        </w:tc>
        <w:tc>
          <w:tcPr>
            <w:tcW w:w="2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 based expense recognized in the financial statements for services received from employees and non-employees is shown in the following table:</w:t>
      </w:r>
    </w:p>
    <w:p>
      <w:pPr>
        <w:sectPr>
          <w:pgSz w:w="11900" w:h="16838" w:orient="portrait"/>
          <w:cols w:equalWidth="0" w:num="1">
            <w:col w:w="11420"/>
          </w:cols>
          <w:pgMar w:left="240" w:top="9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Research and development,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6011545"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14605</wp:posOffset>
            </wp:positionV>
            <wp:extent cx="6011545"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540"/>
        <w:spacing w:after="0"/>
        <w:tabs>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Represents an amount lower than $ 1.</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RELATED PARTY BALANCES AND TRANSACTIONS</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Balances with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Convertible Notes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6011545"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11545" cy="163195"/>
                    </a:xfrm>
                    <a:prstGeom prst="rect">
                      <a:avLst/>
                    </a:prstGeom>
                    <a:noFill/>
                  </pic:spPr>
                </pic:pic>
              </a:graphicData>
            </a:graphic>
          </wp:anchor>
        </w:drawing>
      </w:r>
    </w:p>
    <w:p>
      <w:pPr>
        <w:spacing w:after="0" w:line="27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Other accounts payable (c)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6011545"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11545" cy="163195"/>
                    </a:xfrm>
                    <a:prstGeom prst="rect">
                      <a:avLst/>
                    </a:prstGeom>
                    <a:noFill/>
                  </pic:spPr>
                </pic:pic>
              </a:graphicData>
            </a:graphic>
          </wp:anchor>
        </w:drawing>
      </w:r>
    </w:p>
    <w:p>
      <w:pPr>
        <w:spacing w:after="0" w:line="27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Related parties' expenses: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February 7,</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2008 (date of</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inception) to</w:t>
            </w:r>
          </w:p>
        </w:tc>
      </w:tr>
      <w:tr>
        <w:trPr>
          <w:trHeight w:val="216"/>
        </w:trPr>
        <w:tc>
          <w:tcPr>
            <w:tcW w:w="2080" w:type="dxa"/>
            <w:vAlign w:val="bottom"/>
            <w:gridSpan w:val="4"/>
          </w:tcPr>
          <w:p>
            <w:pPr>
              <w:ind w:left="240"/>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2080" w:type="dxa"/>
            <w:vAlign w:val="bottom"/>
            <w:gridSpan w:val="4"/>
          </w:tcPr>
          <w:p>
            <w:pPr>
              <w:ind w:left="64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r>
      <w:tr>
        <w:trPr>
          <w:trHeight w:val="223"/>
        </w:trPr>
        <w:tc>
          <w:tcPr>
            <w:tcW w:w="8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Unaudited</w:t>
            </w: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2,303</w:t>
            </w:r>
          </w:p>
        </w:tc>
      </w:tr>
      <w:tr>
        <w:trPr>
          <w:trHeight w:val="453"/>
        </w:trPr>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2,964</w:t>
            </w: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53"/>
        </w:trPr>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080" w:space="720"/>
            <w:col w:w="3620"/>
          </w:cols>
          <w:pgMar w:left="240" w:top="905" w:right="239" w:bottom="1440" w:gutter="0" w:footer="0" w:header="0"/>
          <w:type w:val="continuous"/>
        </w:sectPr>
      </w:pPr>
    </w:p>
    <w:p>
      <w:pPr>
        <w:spacing w:after="0" w:line="2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4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6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620" w:type="dxa"/>
            <w:vAlign w:val="bottom"/>
            <w:tcBorders>
              <w:bottom w:val="single" w:sz="8" w:color="CCFFC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Unaudited</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r>
      <w:tr>
        <w:trPr>
          <w:trHeight w:val="210"/>
        </w:trPr>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Amounts charged to: *)</w:t>
            </w:r>
          </w:p>
        </w:tc>
        <w:tc>
          <w:tcPr>
            <w:tcW w:w="8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and administrative expense (a) (b) (c) (d)</w:t>
            </w:r>
          </w:p>
        </w:tc>
        <w:tc>
          <w:tcPr>
            <w:tcW w:w="6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774</w:t>
            </w:r>
          </w:p>
        </w:tc>
        <w:tc>
          <w:tcPr>
            <w:tcW w:w="88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FFCC"/>
          </w:tcPr>
          <w:p>
            <w:pPr>
              <w:spacing w:after="0"/>
              <w:rPr>
                <w:sz w:val="18"/>
                <w:szCs w:val="18"/>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Research and development expenses (d)</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224</w:t>
            </w:r>
          </w:p>
        </w:tc>
        <w:tc>
          <w:tcPr>
            <w:tcW w:w="8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r>
      <w:tr>
        <w:trPr>
          <w:trHeight w:val="210"/>
        </w:trPr>
        <w:tc>
          <w:tcPr>
            <w:tcW w:w="662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43"/>
        </w:trPr>
        <w:tc>
          <w:tcPr>
            <w:tcW w:w="75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998</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1"/>
                <w:szCs w:val="21"/>
                <w:color w:val="auto"/>
              </w:rPr>
            </w:pPr>
          </w:p>
        </w:tc>
      </w:tr>
      <w:tr>
        <w:trPr>
          <w:trHeight w:val="20"/>
        </w:trPr>
        <w:tc>
          <w:tcPr>
            <w:tcW w:w="6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60" w:type="dxa"/>
            <w:vAlign w:val="bottom"/>
          </w:tcPr>
          <w:p>
            <w:pPr>
              <w:ind w:left="180"/>
              <w:spacing w:after="0"/>
              <w:rPr>
                <w:sz w:val="20"/>
                <w:szCs w:val="20"/>
                <w:color w:val="auto"/>
              </w:rPr>
            </w:pPr>
            <w:r>
              <w:rPr>
                <w:rFonts w:ascii="Arial" w:cs="Arial" w:eastAsia="Arial" w:hAnsi="Arial"/>
                <w:sz w:val="18"/>
                <w:szCs w:val="18"/>
                <w:color w:val="auto"/>
                <w:w w:val="89"/>
              </w:rPr>
              <w:t>Including share based compensation expenses for the Six-months ended June 30, 2013 and for the year ended December 31, 2012</w:t>
            </w:r>
          </w:p>
        </w:tc>
      </w:tr>
      <w:tr>
        <w:trPr>
          <w:trHeight w:val="230"/>
        </w:trPr>
        <w:tc>
          <w:tcPr>
            <w:tcW w:w="1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Arial" w:cs="Arial" w:eastAsia="Arial" w:hAnsi="Arial"/>
                <w:sz w:val="18"/>
                <w:szCs w:val="18"/>
                <w:color w:val="auto"/>
              </w:rPr>
              <w:t>in the amounts of $711 and $26, respectively.</w:t>
            </w:r>
          </w:p>
        </w:tc>
      </w:tr>
      <w:tr>
        <w:trPr>
          <w:trHeight w:val="648"/>
        </w:trPr>
        <w:tc>
          <w:tcPr>
            <w:tcW w:w="186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ind w:left="3680"/>
              <w:spacing w:after="0"/>
              <w:rPr>
                <w:sz w:val="20"/>
                <w:szCs w:val="20"/>
                <w:color w:val="auto"/>
              </w:rPr>
            </w:pPr>
            <w:r>
              <w:rPr>
                <w:rFonts w:ascii="Arial" w:cs="Arial" w:eastAsia="Arial" w:hAnsi="Arial"/>
                <w:sz w:val="18"/>
                <w:szCs w:val="18"/>
                <w:color w:val="auto"/>
              </w:rPr>
              <w:t>F-37</w:t>
            </w:r>
          </w:p>
        </w:tc>
      </w:tr>
    </w:tbl>
    <w:p>
      <w:pPr>
        <w:sectPr>
          <w:pgSz w:w="11900" w:h="16838" w:orient="portrait"/>
          <w:cols w:equalWidth="0" w:num="1">
            <w:col w:w="11420"/>
          </w:cols>
          <w:pgMar w:left="240" w:top="905" w:right="239" w:bottom="1440" w:gutter="0" w:footer="0" w:header="0"/>
          <w:type w:val="continuous"/>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RELATED PARTY BALANCES AND TRANSACTIONS (Cont.)</w:t>
      </w:r>
    </w:p>
    <w:p>
      <w:pPr>
        <w:spacing w:after="0" w:line="229" w:lineRule="exact"/>
        <w:rPr>
          <w:sz w:val="20"/>
          <w:szCs w:val="20"/>
          <w:color w:val="auto"/>
        </w:rPr>
      </w:pPr>
    </w:p>
    <w:p>
      <w:pPr>
        <w:jc w:val="both"/>
        <w:ind w:left="1520" w:hanging="499"/>
        <w:spacing w:after="0" w:line="276" w:lineRule="auto"/>
        <w:tabs>
          <w:tab w:leader="none" w:pos="15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On March 1, 2008, the Company signed an agreement with a consultant, who is also one of the Company's shareholders and directors, as a contractor to render management, finance and operation services. The Company pays the consultant an amount of $ 7 per month. During March 2013, the Company increased the monthly fee for its consultant to an amount of $ 12. The amendment was effective upon consummation of the initial public offering on May 2013. Subsequent to the financial statements' date and in connection to the consummation of the IPO, the Company granted the consultant a bonus in the amount of $50.</w:t>
      </w:r>
    </w:p>
    <w:p>
      <w:pPr>
        <w:spacing w:after="0" w:line="172" w:lineRule="exact"/>
        <w:rPr>
          <w:rFonts w:ascii="Arial" w:cs="Arial" w:eastAsia="Arial" w:hAnsi="Arial"/>
          <w:sz w:val="17"/>
          <w:szCs w:val="17"/>
          <w:color w:val="auto"/>
        </w:rPr>
      </w:pPr>
    </w:p>
    <w:p>
      <w:pPr>
        <w:jc w:val="both"/>
        <w:ind w:left="1520" w:hanging="499"/>
        <w:spacing w:after="0" w:line="264" w:lineRule="auto"/>
        <w:tabs>
          <w:tab w:leader="none" w:pos="1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81" w:lineRule="exact"/>
        <w:rPr>
          <w:rFonts w:ascii="Arial" w:cs="Arial" w:eastAsia="Arial" w:hAnsi="Arial"/>
          <w:sz w:val="18"/>
          <w:szCs w:val="18"/>
          <w:color w:val="auto"/>
        </w:rPr>
      </w:pPr>
    </w:p>
    <w:p>
      <w:pPr>
        <w:jc w:val="both"/>
        <w:ind w:left="1520" w:hanging="499"/>
        <w:spacing w:after="0" w:line="259" w:lineRule="auto"/>
        <w:tabs>
          <w:tab w:leader="none" w:pos="1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agreement was signed on June 2, 2011 between the Company and one its shareholders, as a contractor to render services related to pre clinical, clinical, regulatory and intellectual property issues, for an amount of approximately $ 3 per month. During March 2013, the Company increased the monthly fee for its contractor to an amount of $5. The amendment was effective upon consummation of the initial public offering in May 2013.</w:t>
      </w:r>
    </w:p>
    <w:p>
      <w:pPr>
        <w:spacing w:after="0" w:line="186" w:lineRule="exact"/>
        <w:rPr>
          <w:rFonts w:ascii="Arial" w:cs="Arial" w:eastAsia="Arial" w:hAnsi="Arial"/>
          <w:sz w:val="18"/>
          <w:szCs w:val="18"/>
          <w:color w:val="auto"/>
        </w:rPr>
      </w:pPr>
    </w:p>
    <w:p>
      <w:pPr>
        <w:jc w:val="both"/>
        <w:ind w:left="1520" w:hanging="499"/>
        <w:spacing w:after="0" w:line="255" w:lineRule="auto"/>
        <w:tabs>
          <w:tab w:leader="none" w:pos="1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CEO telephone. During January 2013, the Company increased the monthly fee for its contractor to an amount of $ 15 which became effective upon the Company's IPO. On June 30, 2013, the Company granted the CEO a bonus in the amount of $75 in connection with the consummation of the IPO </w:t>
      </w:r>
      <w:r>
        <w:rPr>
          <w:rFonts w:ascii="Arial" w:cs="Arial" w:eastAsia="Arial" w:hAnsi="Arial"/>
          <w:sz w:val="18"/>
          <w:szCs w:val="18"/>
          <w:b w:val="1"/>
          <w:bCs w:val="1"/>
          <w:color w:val="auto"/>
        </w:rPr>
        <w:t>.</w:t>
      </w:r>
      <w:r>
        <w:rPr>
          <w:rFonts w:ascii="Arial" w:cs="Arial" w:eastAsia="Arial" w:hAnsi="Arial"/>
          <w:sz w:val="18"/>
          <w:szCs w:val="18"/>
          <w:color w:val="auto"/>
        </w:rPr>
        <w:t xml:space="preserve"> In addition, subsequent to the financial statements' date the Company increased the bonus amount in $125, to a total of $200.</w:t>
      </w:r>
    </w:p>
    <w:p>
      <w:pPr>
        <w:spacing w:after="0" w:line="189"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Two of the Company's shareholders invested as part of the Company's issuance of the Convertible Notes with terms as described in Note 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BASIC AND DILUTED NET LOSS PER SHARE</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of Ordinary share:</w:t>
      </w:r>
    </w:p>
    <w:p>
      <w:pPr>
        <w:spacing w:after="0" w:line="22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Ordinary shares as reported</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(1,716)</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(4,109)</w:t>
            </w:r>
          </w:p>
        </w:tc>
      </w:tr>
      <w:tr>
        <w:trPr>
          <w:trHeight w:val="20"/>
        </w:trPr>
        <w:tc>
          <w:tcPr>
            <w:tcW w:w="66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Shares used in computing net loss per share of Ordinary shares, basic and diluted</w:t>
            </w:r>
          </w:p>
        </w:tc>
        <w:tc>
          <w:tcPr>
            <w:tcW w:w="2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8,397,070</w:t>
            </w:r>
          </w:p>
        </w:tc>
        <w:tc>
          <w:tcPr>
            <w:tcW w:w="3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7,791,785</w:t>
            </w:r>
          </w:p>
        </w:tc>
      </w:tr>
      <w:tr>
        <w:trPr>
          <w:trHeight w:val="20"/>
        </w:trPr>
        <w:tc>
          <w:tcPr>
            <w:tcW w:w="66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(0.13)</w:t>
            </w:r>
          </w:p>
        </w:tc>
      </w:tr>
      <w:tr>
        <w:trPr>
          <w:trHeight w:val="20"/>
        </w:trPr>
        <w:tc>
          <w:tcPr>
            <w:tcW w:w="66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For the six months ended June 30, 2013, all outstanding options and warrants have been excluded from the calculation of the diluted net loss per share since their effect was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NOTE 9:-   FINANCIAL EXPENSES, NET</w:t>
            </w:r>
          </w:p>
        </w:tc>
        <w:tc>
          <w:tcPr>
            <w:tcW w:w="1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Period from</w:t>
            </w:r>
          </w:p>
        </w:tc>
        <w:tc>
          <w:tcPr>
            <w:tcW w:w="2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February 7,</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2008 (date of</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7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inception) to</w:t>
            </w:r>
          </w:p>
        </w:tc>
        <w:tc>
          <w:tcPr>
            <w:tcW w:w="280" w:type="dxa"/>
            <w:vAlign w:val="bottom"/>
          </w:tcPr>
          <w:p>
            <w:pPr>
              <w:spacing w:after="0"/>
              <w:rPr>
                <w:sz w:val="18"/>
                <w:szCs w:val="18"/>
                <w:color w:val="auto"/>
              </w:rPr>
            </w:pPr>
          </w:p>
        </w:tc>
      </w:tr>
      <w:tr>
        <w:trPr>
          <w:trHeight w:val="248"/>
        </w:trPr>
        <w:tc>
          <w:tcPr>
            <w:tcW w:w="6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21"/>
                <w:szCs w:val="21"/>
                <w:color w:val="auto"/>
              </w:rPr>
            </w:pPr>
          </w:p>
        </w:tc>
      </w:tr>
      <w:tr>
        <w:trPr>
          <w:trHeight w:val="223"/>
        </w:trPr>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expenses:</w:t>
            </w: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8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 rate</w:t>
            </w:r>
          </w:p>
        </w:tc>
        <w:tc>
          <w:tcPr>
            <w:tcW w:w="18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Convertible notes expenses</w:t>
            </w: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8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11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1370"/>
              <w:spacing w:after="0"/>
              <w:rPr>
                <w:sz w:val="20"/>
                <w:szCs w:val="20"/>
                <w:color w:val="auto"/>
              </w:rPr>
            </w:pPr>
            <w:r>
              <w:rPr>
                <w:rFonts w:ascii="Arial" w:cs="Arial" w:eastAsia="Arial" w:hAnsi="Arial"/>
                <w:sz w:val="18"/>
                <w:szCs w:val="18"/>
                <w:color w:val="auto"/>
              </w:rPr>
              <w:t>F-39</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left="1360" w:hanging="326"/>
        <w:spacing w:after="0" w:line="277" w:lineRule="auto"/>
        <w:tabs>
          <w:tab w:leader="none" w:pos="13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During July 2013, the Company's board of directors resolved to form a wholly-owned subsidiary in the State of Delaware (the “Subsidiary”), to be named Alcobra Inc.</w:t>
      </w:r>
    </w:p>
    <w:p>
      <w:pPr>
        <w:spacing w:after="0" w:line="170" w:lineRule="exact"/>
        <w:rPr>
          <w:rFonts w:ascii="Arial" w:cs="Arial" w:eastAsia="Arial" w:hAnsi="Arial"/>
          <w:sz w:val="18"/>
          <w:szCs w:val="18"/>
          <w:color w:val="auto"/>
        </w:rPr>
      </w:pPr>
    </w:p>
    <w:p>
      <w:pPr>
        <w:ind w:left="1360" w:right="20" w:hanging="326"/>
        <w:spacing w:after="0" w:line="277" w:lineRule="auto"/>
        <w:tabs>
          <w:tab w:leader="none" w:pos="13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During August 2013, the Company's board of directors resolved to increase the number of options available for grant under the option plan by 105,062 to a total of 112,071 options available.</w:t>
      </w:r>
    </w:p>
    <w:p>
      <w:pPr>
        <w:spacing w:after="0" w:line="170" w:lineRule="exact"/>
        <w:rPr>
          <w:rFonts w:ascii="Arial" w:cs="Arial" w:eastAsia="Arial" w:hAnsi="Arial"/>
          <w:sz w:val="18"/>
          <w:szCs w:val="18"/>
          <w:color w:val="auto"/>
        </w:rPr>
      </w:pPr>
    </w:p>
    <w:p>
      <w:pPr>
        <w:jc w:val="both"/>
        <w:ind w:left="1360" w:hanging="326"/>
        <w:spacing w:after="0" w:line="259" w:lineRule="auto"/>
        <w:tabs>
          <w:tab w:leader="none" w:pos="13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During August 2013, the Company's board of directors resolved to grant employees 56,431 options to purchase Ordinary shares, at an exercise price of $8 per share. The vesting schedule shall be according to the 2010 option plan. In addition, the Company's board of directors resolved to grant directors 24,000 options to purchase Ordinary shares, at an exercise price of $12.99 per share. The vesting schedule shall be three year period.</w:t>
      </w:r>
    </w:p>
    <w:p>
      <w:pPr>
        <w:spacing w:after="0" w:line="186" w:lineRule="exact"/>
        <w:rPr>
          <w:rFonts w:ascii="Arial" w:cs="Arial" w:eastAsia="Arial" w:hAnsi="Arial"/>
          <w:sz w:val="18"/>
          <w:szCs w:val="18"/>
          <w:color w:val="auto"/>
        </w:rPr>
      </w:pPr>
    </w:p>
    <w:p>
      <w:pPr>
        <w:jc w:val="both"/>
        <w:ind w:left="1360"/>
        <w:spacing w:after="0" w:line="293" w:lineRule="auto"/>
        <w:rPr>
          <w:rFonts w:ascii="Arial" w:cs="Arial" w:eastAsia="Arial" w:hAnsi="Arial"/>
          <w:sz w:val="18"/>
          <w:szCs w:val="18"/>
          <w:color w:val="auto"/>
        </w:rPr>
      </w:pPr>
      <w:r>
        <w:rPr>
          <w:rFonts w:ascii="Arial" w:cs="Arial" w:eastAsia="Arial" w:hAnsi="Arial"/>
          <w:sz w:val="16"/>
          <w:szCs w:val="16"/>
          <w:color w:val="auto"/>
        </w:rPr>
        <w:t>In addition, the Company granted an employee the following options: (i) 55,640 options to purchase Ordinary shares at an exercise price of $14.61 per share. The vesting schedule shall be according to the 2010 options plan; and (ii) options to purchase 0.75% of the Company's issued and outstanding Ordinary shares upon the performance of certain clinical trials. The options shall be granted in three trenches of 0.25% each. The options will vest ratably on a monthly basis over 3 years. ASC 718 requires the Company to recognize compensation cost relating to share-based payment commencing on the service inception date, and over the requisite service period, which is the period of time over which an employee must provide service in exchange for an award under a share-based payment arrangement.</w:t>
      </w:r>
    </w:p>
    <w:p>
      <w:pPr>
        <w:spacing w:after="0" w:line="164" w:lineRule="exact"/>
        <w:rPr>
          <w:rFonts w:ascii="Arial" w:cs="Arial" w:eastAsia="Arial" w:hAnsi="Arial"/>
          <w:sz w:val="18"/>
          <w:szCs w:val="18"/>
          <w:color w:val="auto"/>
        </w:rPr>
      </w:pPr>
    </w:p>
    <w:p>
      <w:pPr>
        <w:ind w:left="5100" w:hanging="98"/>
        <w:spacing w:after="0"/>
        <w:tabs>
          <w:tab w:leader="none" w:pos="51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2995930</wp:posOffset>
            </wp:positionH>
            <wp:positionV relativeFrom="page">
              <wp:posOffset>586105</wp:posOffset>
            </wp:positionV>
            <wp:extent cx="1620520" cy="514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620520" cy="5143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2,000,000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293370</wp:posOffset>
            </wp:positionV>
            <wp:extent cx="18097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24,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740" w:val="left"/>
        </w:tabs>
        <w:rPr>
          <w:sz w:val="20"/>
          <w:szCs w:val="20"/>
          <w:color w:val="auto"/>
        </w:rPr>
      </w:pPr>
      <w:r>
        <w:rPr>
          <w:rFonts w:ascii="Arial" w:cs="Arial" w:eastAsia="Arial" w:hAnsi="Arial"/>
          <w:sz w:val="29"/>
          <w:szCs w:val="29"/>
          <w:b w:val="1"/>
          <w:bCs w:val="1"/>
          <w:color w:val="auto"/>
        </w:rPr>
        <w:t>Stifel</w:t>
      </w:r>
      <w:r>
        <w:rPr>
          <w:sz w:val="20"/>
          <w:szCs w:val="20"/>
          <w:color w:val="auto"/>
        </w:rPr>
        <w:tab/>
      </w:r>
      <w:r>
        <w:rPr>
          <w:rFonts w:ascii="Arial" w:cs="Arial" w:eastAsia="Arial" w:hAnsi="Arial"/>
          <w:sz w:val="29"/>
          <w:szCs w:val="29"/>
          <w:b w:val="1"/>
          <w:bCs w:val="1"/>
          <w:color w:val="auto"/>
        </w:rPr>
        <w:t>Aegis Capital Corp</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decimal"/>
      <w:start w:val="1"/>
    </w:lvl>
  </w:abstractNum>
  <w:abstractNum w:abstractNumId="1">
    <w:nsid w:val="649BB77C"/>
    <w:multiLevelType w:val="hybridMultilevel"/>
    <w:lvl w:ilvl="0">
      <w:lvlJc w:val="left"/>
      <w:lvlText w:val="Ÿ"/>
      <w:numFmt w:val="bullet"/>
      <w:start w:val="1"/>
    </w:lvl>
  </w:abstractNum>
  <w:abstractNum w:abstractNumId="2">
    <w:nsid w:val="275AC794"/>
    <w:multiLevelType w:val="hybridMultilevel"/>
    <w:lvl w:ilvl="0">
      <w:lvlJc w:val="left"/>
      <w:lvlText w:val="Ÿ"/>
      <w:numFmt w:val="bullet"/>
      <w:start w:val="1"/>
    </w:lvl>
  </w:abstractNum>
  <w:abstractNum w:abstractNumId="3">
    <w:nsid w:val="39386575"/>
    <w:multiLevelType w:val="hybridMultilevel"/>
    <w:lvl w:ilvl="0">
      <w:lvlJc w:val="left"/>
      <w:lvlText w:val="Ÿ"/>
      <w:numFmt w:val="bullet"/>
      <w:start w:val="1"/>
    </w:lvl>
  </w:abstractNum>
  <w:abstractNum w:abstractNumId="4">
    <w:nsid w:val="1CF10FD8"/>
    <w:multiLevelType w:val="hybridMultilevel"/>
    <w:lvl w:ilvl="0">
      <w:lvlJc w:val="left"/>
      <w:lvlText w:val="Ÿ"/>
      <w:numFmt w:val="bullet"/>
      <w:start w:val="1"/>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1)"/>
      <w:numFmt w:val="decimal"/>
      <w:start w:val="1"/>
    </w:lvl>
  </w:abstractNum>
  <w:abstractNum w:abstractNumId="7">
    <w:nsid w:val="47398C89"/>
    <w:multiLevelType w:val="hybridMultilevel"/>
    <w:lvl w:ilvl="0">
      <w:lvlJc w:val="left"/>
      <w:lvlText w:val="Ÿ"/>
      <w:numFmt w:val="bullet"/>
      <w:start w:val="1"/>
    </w:lvl>
  </w:abstractNum>
  <w:abstractNum w:abstractNumId="8">
    <w:nsid w:val="354FE9F9"/>
    <w:multiLevelType w:val="hybridMultilevel"/>
    <w:lvl w:ilvl="0">
      <w:lvlJc w:val="left"/>
      <w:lvlText w:val="Ÿ"/>
      <w:numFmt w:val="bullet"/>
      <w:start w:val="1"/>
    </w:lvl>
  </w:abstractNum>
  <w:abstractNum w:abstractNumId="9">
    <w:nsid w:val="15B5AF5C"/>
    <w:multiLevelType w:val="hybridMultilevel"/>
    <w:lvl w:ilvl="0">
      <w:lvlJc w:val="left"/>
      <w:lvlText w:val="Ÿ"/>
      <w:numFmt w:val="bullet"/>
      <w:start w:val="1"/>
    </w:lvl>
  </w:abstractNum>
  <w:abstractNum w:abstractNumId="10">
    <w:nsid w:val="741226BB"/>
    <w:multiLevelType w:val="hybridMultilevel"/>
    <w:lvl w:ilvl="0">
      <w:lvlJc w:val="left"/>
      <w:lvlText w:val="Ÿ"/>
      <w:numFmt w:val="bullet"/>
      <w:start w:val="1"/>
    </w:lvl>
  </w:abstractNum>
  <w:abstractNum w:abstractNumId="11">
    <w:nsid w:val="D34B6A8"/>
    <w:multiLevelType w:val="hybridMultilevel"/>
    <w:lvl w:ilvl="0">
      <w:lvlJc w:val="left"/>
      <w:lvlText w:val="Ÿ"/>
      <w:numFmt w:val="bullet"/>
      <w:start w:val="1"/>
    </w:lvl>
  </w:abstractNum>
  <w:abstractNum w:abstractNumId="12">
    <w:nsid w:val="10233C99"/>
    <w:multiLevelType w:val="hybridMultilevel"/>
    <w:lvl w:ilvl="0">
      <w:lvlJc w:val="left"/>
      <w:lvlText w:val="Ÿ"/>
      <w:numFmt w:val="bullet"/>
      <w:start w:val="1"/>
    </w:lvl>
  </w:abstractNum>
  <w:abstractNum w:abstractNumId="13">
    <w:nsid w:val="3F6AB60F"/>
    <w:multiLevelType w:val="hybridMultilevel"/>
    <w:lvl w:ilvl="0">
      <w:lvlJc w:val="left"/>
      <w:lvlText w:val="Ÿ"/>
      <w:numFmt w:val="bullet"/>
      <w:start w:val="1"/>
    </w:lvl>
  </w:abstractNum>
  <w:abstractNum w:abstractNumId="14">
    <w:nsid w:val="61574095"/>
    <w:multiLevelType w:val="hybridMultilevel"/>
    <w:lvl w:ilvl="0">
      <w:lvlJc w:val="left"/>
      <w:lvlText w:val="Ÿ"/>
      <w:numFmt w:val="bullet"/>
      <w:start w:val="1"/>
    </w:lvl>
  </w:abstractNum>
  <w:abstractNum w:abstractNumId="15">
    <w:nsid w:val="7E0C57B1"/>
    <w:multiLevelType w:val="hybridMultilevel"/>
    <w:lvl w:ilvl="0">
      <w:lvlJc w:val="left"/>
      <w:lvlText w:val="Ÿ"/>
      <w:numFmt w:val="bullet"/>
      <w:start w:val="1"/>
    </w:lvl>
  </w:abstractNum>
  <w:abstractNum w:abstractNumId="16">
    <w:nsid w:val="77AE35EB"/>
    <w:multiLevelType w:val="hybridMultilevel"/>
    <w:lvl w:ilvl="0">
      <w:lvlJc w:val="left"/>
      <w:lvlText w:val="Ÿ"/>
      <w:numFmt w:val="bullet"/>
      <w:start w:val="1"/>
    </w:lvl>
  </w:abstractNum>
  <w:abstractNum w:abstractNumId="17">
    <w:nsid w:val="579BE4F1"/>
    <w:multiLevelType w:val="hybridMultilevel"/>
    <w:lvl w:ilvl="0">
      <w:lvlJc w:val="left"/>
      <w:lvlText w:val="Ÿ"/>
      <w:numFmt w:val="bullet"/>
      <w:start w:val="1"/>
    </w:lvl>
  </w:abstractNum>
  <w:abstractNum w:abstractNumId="18">
    <w:nsid w:val="310C50B3"/>
    <w:multiLevelType w:val="hybridMultilevel"/>
    <w:lvl w:ilvl="0">
      <w:lvlJc w:val="left"/>
      <w:lvlText w:val="Ÿ"/>
      <w:numFmt w:val="bullet"/>
      <w:start w:val="1"/>
    </w:lvl>
  </w:abstractNum>
  <w:abstractNum w:abstractNumId="19">
    <w:nsid w:val="5FF87E05"/>
    <w:multiLevelType w:val="hybridMultilevel"/>
    <w:lvl w:ilvl="0">
      <w:lvlJc w:val="left"/>
      <w:lvlText w:val="Ÿ"/>
      <w:numFmt w:val="bullet"/>
      <w:start w:val="1"/>
    </w:lvl>
  </w:abstractNum>
  <w:abstractNum w:abstractNumId="20">
    <w:nsid w:val="2F305DEF"/>
    <w:multiLevelType w:val="hybridMultilevel"/>
    <w:lvl w:ilvl="0">
      <w:lvlJc w:val="left"/>
      <w:lvlText w:val="Ÿ"/>
      <w:numFmt w:val="bullet"/>
      <w:start w:val="1"/>
    </w:lvl>
  </w:abstractNum>
  <w:abstractNum w:abstractNumId="21">
    <w:nsid w:val="25A70BF7"/>
    <w:multiLevelType w:val="hybridMultilevel"/>
    <w:lvl w:ilvl="0">
      <w:lvlJc w:val="left"/>
      <w:lvlText w:val="Ÿ"/>
      <w:numFmt w:val="bullet"/>
      <w:start w:val="1"/>
    </w:lvl>
  </w:abstractNum>
  <w:abstractNum w:abstractNumId="22">
    <w:nsid w:val="1DBABF00"/>
    <w:multiLevelType w:val="hybridMultilevel"/>
    <w:lvl w:ilvl="0">
      <w:lvlJc w:val="left"/>
      <w:lvlText w:val="Ÿ"/>
      <w:numFmt w:val="bullet"/>
      <w:start w:val="1"/>
    </w:lvl>
  </w:abstractNum>
  <w:abstractNum w:abstractNumId="23">
    <w:nsid w:val="4AD084E9"/>
    <w:multiLevelType w:val="hybridMultilevel"/>
    <w:lvl w:ilvl="0">
      <w:lvlJc w:val="left"/>
      <w:lvlText w:val="Ÿ"/>
      <w:numFmt w:val="bullet"/>
      <w:start w:val="1"/>
    </w:lvl>
  </w:abstractNum>
  <w:abstractNum w:abstractNumId="24">
    <w:nsid w:val="1F48EAA1"/>
    <w:multiLevelType w:val="hybridMultilevel"/>
    <w:lvl w:ilvl="0">
      <w:lvlJc w:val="left"/>
      <w:lvlText w:val="Ÿ"/>
      <w:numFmt w:val="bullet"/>
      <w:start w:val="1"/>
    </w:lvl>
  </w:abstractNum>
  <w:abstractNum w:abstractNumId="25">
    <w:nsid w:val="1381823A"/>
    <w:multiLevelType w:val="hybridMultilevel"/>
    <w:lvl w:ilvl="0">
      <w:lvlJc w:val="left"/>
      <w:lvlText w:val="Ÿ"/>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Ÿ"/>
      <w:numFmt w:val="bullet"/>
      <w:start w:val="1"/>
    </w:lvl>
  </w:abstractNum>
  <w:abstractNum w:abstractNumId="28">
    <w:nsid w:val="6590700B"/>
    <w:multiLevelType w:val="hybridMultilevel"/>
    <w:lvl w:ilvl="0">
      <w:lvlJc w:val="left"/>
      <w:lvlText w:val="Ÿ"/>
      <w:numFmt w:val="bullet"/>
      <w:start w:val="1"/>
    </w:lvl>
  </w:abstractNum>
  <w:abstractNum w:abstractNumId="29">
    <w:nsid w:val="15014ACB"/>
    <w:multiLevelType w:val="hybridMultilevel"/>
    <w:lvl w:ilvl="0">
      <w:lvlJc w:val="left"/>
      <w:lvlText w:val="Ÿ"/>
      <w:numFmt w:val="bullet"/>
      <w:start w:val="1"/>
    </w:lvl>
  </w:abstractNum>
  <w:abstractNum w:abstractNumId="30">
    <w:nsid w:val="5F5E7FD0"/>
    <w:multiLevelType w:val="hybridMultilevel"/>
    <w:lvl w:ilvl="0">
      <w:lvlJc w:val="left"/>
      <w:lvlText w:val="Ÿ"/>
      <w:numFmt w:val="bullet"/>
      <w:start w:val="1"/>
    </w:lvl>
  </w:abstractNum>
  <w:abstractNum w:abstractNumId="31">
    <w:nsid w:val="98A3148"/>
    <w:multiLevelType w:val="hybridMultilevel"/>
    <w:lvl w:ilvl="0">
      <w:lvlJc w:val="left"/>
      <w:lvlText w:val="Ÿ"/>
      <w:numFmt w:val="bullet"/>
      <w:start w:val="1"/>
    </w:lvl>
  </w:abstractNum>
  <w:abstractNum w:abstractNumId="32">
    <w:nsid w:val="799D0247"/>
    <w:multiLevelType w:val="hybridMultilevel"/>
    <w:lvl w:ilvl="0">
      <w:lvlJc w:val="left"/>
      <w:lvlText w:val="Ÿ"/>
      <w:numFmt w:val="bullet"/>
      <w:start w:val="1"/>
    </w:lvl>
  </w:abstractNum>
  <w:abstractNum w:abstractNumId="33">
    <w:nsid w:val="6B94764"/>
    <w:multiLevelType w:val="hybridMultilevel"/>
    <w:lvl w:ilvl="0">
      <w:lvlJc w:val="left"/>
      <w:lvlText w:val="Ÿ"/>
      <w:numFmt w:val="bullet"/>
      <w:start w:val="1"/>
    </w:lvl>
  </w:abstractNum>
  <w:abstractNum w:abstractNumId="34">
    <w:nsid w:val="42C296BD"/>
    <w:multiLevelType w:val="hybridMultilevel"/>
    <w:lvl w:ilvl="0">
      <w:lvlJc w:val="left"/>
      <w:lvlText w:val="Ÿ"/>
      <w:numFmt w:val="bullet"/>
      <w:start w:val="1"/>
    </w:lvl>
  </w:abstractNum>
  <w:abstractNum w:abstractNumId="35">
    <w:nsid w:val="168E121F"/>
    <w:multiLevelType w:val="hybridMultilevel"/>
    <w:lvl w:ilvl="0">
      <w:lvlJc w:val="left"/>
      <w:lvlText w:val="(%1)"/>
      <w:numFmt w:val="decimal"/>
      <w:start w:val="1"/>
    </w:lvl>
  </w:abstractNum>
  <w:abstractNum w:abstractNumId="36">
    <w:nsid w:val="1EBA5D23"/>
    <w:multiLevelType w:val="hybridMultilevel"/>
    <w:lvl w:ilvl="0">
      <w:lvlJc w:val="left"/>
      <w:lvlText w:val="Ÿ"/>
      <w:numFmt w:val="bullet"/>
      <w:start w:val="1"/>
    </w:lvl>
  </w:abstractNum>
  <w:abstractNum w:abstractNumId="37">
    <w:nsid w:val="661E3F1E"/>
    <w:multiLevelType w:val="hybridMultilevel"/>
    <w:lvl w:ilvl="0">
      <w:lvlJc w:val="left"/>
      <w:lvlText w:val="Ÿ"/>
      <w:numFmt w:val="bullet"/>
      <w:start w:val="1"/>
    </w:lvl>
    <w:lvl w:ilvl="1">
      <w:lvlJc w:val="left"/>
      <w:lvlText w:val="•"/>
      <w:numFmt w:val="bullet"/>
      <w:start w:val="1"/>
    </w:lvl>
  </w:abstractNum>
  <w:abstractNum w:abstractNumId="38">
    <w:nsid w:val="5DC79EA8"/>
    <w:multiLevelType w:val="hybridMultilevel"/>
    <w:lvl w:ilvl="0">
      <w:lvlJc w:val="left"/>
      <w:lvlText w:val="Ÿ"/>
      <w:numFmt w:val="bullet"/>
      <w:start w:val="1"/>
    </w:lvl>
  </w:abstractNum>
  <w:abstractNum w:abstractNumId="39">
    <w:nsid w:val="540A471C"/>
    <w:multiLevelType w:val="hybridMultilevel"/>
    <w:lvl w:ilvl="0">
      <w:lvlJc w:val="left"/>
      <w:lvlText w:val="Ÿ"/>
      <w:numFmt w:val="bullet"/>
      <w:start w:val="1"/>
    </w:lvl>
  </w:abstractNum>
  <w:abstractNum w:abstractNumId="40">
    <w:nsid w:val="7BD3EE7B"/>
    <w:multiLevelType w:val="hybridMultilevel"/>
    <w:lvl w:ilvl="0">
      <w:lvlJc w:val="left"/>
      <w:lvlText w:val="Ÿ"/>
      <w:numFmt w:val="bullet"/>
      <w:start w:val="1"/>
    </w:lvl>
  </w:abstractNum>
  <w:abstractNum w:abstractNumId="41">
    <w:nsid w:val="51D9C564"/>
    <w:multiLevelType w:val="hybridMultilevel"/>
    <w:lvl w:ilvl="0">
      <w:lvlJc w:val="left"/>
      <w:lvlText w:val="Ÿ"/>
      <w:numFmt w:val="bullet"/>
      <w:start w:val="1"/>
    </w:lvl>
  </w:abstractNum>
  <w:abstractNum w:abstractNumId="42">
    <w:nsid w:val="613EFDC5"/>
    <w:multiLevelType w:val="hybridMultilevel"/>
    <w:lvl w:ilvl="0">
      <w:lvlJc w:val="left"/>
      <w:lvlText w:val="Ÿ"/>
      <w:numFmt w:val="bullet"/>
      <w:start w:val="1"/>
    </w:lvl>
  </w:abstractNum>
  <w:abstractNum w:abstractNumId="43">
    <w:nsid w:val="BF72B14"/>
    <w:multiLevelType w:val="hybridMultilevel"/>
    <w:lvl w:ilvl="0">
      <w:lvlJc w:val="left"/>
      <w:lvlText w:val="Ÿ"/>
      <w:numFmt w:val="bullet"/>
      <w:start w:val="1"/>
    </w:lvl>
  </w:abstractNum>
  <w:abstractNum w:abstractNumId="44">
    <w:nsid w:val="11447B73"/>
    <w:multiLevelType w:val="hybridMultilevel"/>
    <w:lvl w:ilvl="0">
      <w:lvlJc w:val="left"/>
      <w:lvlText w:val="Ÿ"/>
      <w:numFmt w:val="bullet"/>
      <w:start w:val="1"/>
    </w:lvl>
  </w:abstractNum>
  <w:abstractNum w:abstractNumId="45">
    <w:nsid w:val="42963E5A"/>
    <w:multiLevelType w:val="hybridMultilevel"/>
    <w:lvl w:ilvl="0">
      <w:lvlJc w:val="left"/>
      <w:lvlText w:val="(%1)"/>
      <w:numFmt w:val="decimal"/>
      <w:start w:val="1"/>
    </w:lvl>
  </w:abstractNum>
  <w:abstractNum w:abstractNumId="46">
    <w:nsid w:val="A0382C5"/>
    <w:multiLevelType w:val="hybridMultilevel"/>
    <w:lvl w:ilvl="0">
      <w:lvlJc w:val="left"/>
      <w:lvlText w:val="Ÿ"/>
      <w:numFmt w:val="bullet"/>
      <w:start w:val="1"/>
    </w:lvl>
  </w:abstractNum>
  <w:abstractNum w:abstractNumId="47">
    <w:nsid w:val="8F2B15E"/>
    <w:multiLevelType w:val="hybridMultilevel"/>
    <w:lvl w:ilvl="0">
      <w:lvlJc w:val="left"/>
      <w:lvlText w:val="Ÿ"/>
      <w:numFmt w:val="bullet"/>
      <w:start w:val="1"/>
    </w:lvl>
  </w:abstractNum>
  <w:abstractNum w:abstractNumId="48">
    <w:nsid w:val="1A32234B"/>
    <w:multiLevelType w:val="hybridMultilevel"/>
    <w:lvl w:ilvl="0">
      <w:lvlJc w:val="left"/>
      <w:lvlText w:val="Ÿ"/>
      <w:numFmt w:val="bullet"/>
      <w:start w:val="1"/>
    </w:lvl>
  </w:abstractNum>
  <w:abstractNum w:abstractNumId="49">
    <w:nsid w:val="3B0FD379"/>
    <w:multiLevelType w:val="hybridMultilevel"/>
    <w:lvl w:ilvl="0">
      <w:lvlJc w:val="left"/>
      <w:lvlText w:val="(%1)"/>
      <w:numFmt w:val="lowerRoman"/>
      <w:start w:val="3"/>
    </w:lvl>
  </w:abstractNum>
  <w:abstractNum w:abstractNumId="50">
    <w:nsid w:val="68EB2F63"/>
    <w:multiLevelType w:val="hybridMultilevel"/>
    <w:lvl w:ilvl="0">
      <w:lvlJc w:val="left"/>
      <w:lvlText w:val="Ÿ"/>
      <w:numFmt w:val="bullet"/>
      <w:start w:val="1"/>
    </w:lvl>
  </w:abstractNum>
  <w:abstractNum w:abstractNumId="51">
    <w:nsid w:val="4962813B"/>
    <w:multiLevelType w:val="hybridMultilevel"/>
    <w:lvl w:ilvl="0">
      <w:lvlJc w:val="left"/>
      <w:lvlText w:val="Ÿ"/>
      <w:numFmt w:val="bullet"/>
      <w:start w:val="1"/>
    </w:lvl>
  </w:abstractNum>
  <w:abstractNum w:abstractNumId="52">
    <w:nsid w:val="60B6DF70"/>
    <w:multiLevelType w:val="hybridMultilevel"/>
    <w:lvl w:ilvl="0">
      <w:lvlJc w:val="left"/>
      <w:lvlText w:val="Ÿ"/>
      <w:numFmt w:val="bullet"/>
      <w:start w:val="1"/>
    </w:lvl>
  </w:abstractNum>
  <w:abstractNum w:abstractNumId="53">
    <w:nsid w:val="6A5EE64"/>
    <w:multiLevelType w:val="hybridMultilevel"/>
    <w:lvl w:ilvl="0">
      <w:lvlJc w:val="left"/>
      <w:lvlText w:val="Ÿ"/>
      <w:numFmt w:val="bullet"/>
      <w:start w:val="1"/>
    </w:lvl>
    <w:lvl w:ilvl="1">
      <w:lvlJc w:val="left"/>
      <w:lvlText w:val="(%2)"/>
      <w:numFmt w:val="lowerRoman"/>
      <w:start w:val="1"/>
    </w:lvl>
  </w:abstractNum>
  <w:abstractNum w:abstractNumId="54">
    <w:nsid w:val="14330624"/>
    <w:multiLevelType w:val="hybridMultilevel"/>
    <w:lvl w:ilvl="0">
      <w:lvlJc w:val="left"/>
      <w:lvlText w:val="Ÿ"/>
      <w:numFmt w:val="bullet"/>
      <w:start w:val="1"/>
    </w:lvl>
  </w:abstractNum>
  <w:abstractNum w:abstractNumId="55">
    <w:nsid w:val="7FFFCA11"/>
    <w:multiLevelType w:val="hybridMultilevel"/>
    <w:lvl w:ilvl="0">
      <w:lvlJc w:val="left"/>
      <w:lvlText w:val="Ÿ"/>
      <w:numFmt w:val="bullet"/>
      <w:start w:val="1"/>
    </w:lvl>
  </w:abstractNum>
  <w:abstractNum w:abstractNumId="56">
    <w:nsid w:val="1A27709E"/>
    <w:multiLevelType w:val="hybridMultilevel"/>
    <w:lvl w:ilvl="0">
      <w:lvlJc w:val="left"/>
      <w:lvlText w:val="Ÿ"/>
      <w:numFmt w:val="bullet"/>
      <w:start w:val="1"/>
    </w:lvl>
  </w:abstractNum>
  <w:abstractNum w:abstractNumId="57">
    <w:nsid w:val="71EA1109"/>
    <w:multiLevelType w:val="hybridMultilevel"/>
    <w:lvl w:ilvl="0">
      <w:lvlJc w:val="left"/>
      <w:lvlText w:val="Ÿ"/>
      <w:numFmt w:val="bullet"/>
      <w:start w:val="1"/>
    </w:lvl>
  </w:abstractNum>
  <w:abstractNum w:abstractNumId="58">
    <w:nsid w:val="100F59DC"/>
    <w:multiLevelType w:val="hybridMultilevel"/>
    <w:lvl w:ilvl="0">
      <w:lvlJc w:val="left"/>
      <w:lvlText w:val="Ÿ"/>
      <w:numFmt w:val="bullet"/>
      <w:start w:val="1"/>
    </w:lvl>
  </w:abstractNum>
  <w:abstractNum w:abstractNumId="59">
    <w:nsid w:val="7FB7E0AA"/>
    <w:multiLevelType w:val="hybridMultilevel"/>
    <w:lvl w:ilvl="0">
      <w:lvlJc w:val="left"/>
      <w:lvlText w:val="Ÿ"/>
      <w:numFmt w:val="bullet"/>
      <w:start w:val="1"/>
    </w:lvl>
  </w:abstractNum>
  <w:abstractNum w:abstractNumId="60">
    <w:nsid w:val="6EB5BD4"/>
    <w:multiLevelType w:val="hybridMultilevel"/>
    <w:lvl w:ilvl="0">
      <w:lvlJc w:val="left"/>
      <w:lvlText w:val="Ÿ"/>
      <w:numFmt w:val="bullet"/>
      <w:start w:val="1"/>
    </w:lvl>
  </w:abstractNum>
  <w:abstractNum w:abstractNumId="61">
    <w:nsid w:val="6F6DD9AC"/>
    <w:multiLevelType w:val="hybridMultilevel"/>
    <w:lvl w:ilvl="0">
      <w:lvlJc w:val="left"/>
      <w:lvlText w:val="Ÿ"/>
      <w:numFmt w:val="bullet"/>
      <w:start w:val="1"/>
    </w:lvl>
  </w:abstractNum>
  <w:abstractNum w:abstractNumId="62">
    <w:nsid w:val="94211F2"/>
    <w:multiLevelType w:val="hybridMultilevel"/>
    <w:lvl w:ilvl="0">
      <w:lvlJc w:val="left"/>
      <w:lvlText w:val="Ÿ"/>
      <w:numFmt w:val="bullet"/>
      <w:start w:val="1"/>
    </w:lvl>
  </w:abstractNum>
  <w:abstractNum w:abstractNumId="63">
    <w:nsid w:val="885E1B"/>
    <w:multiLevelType w:val="hybridMultilevel"/>
    <w:lvl w:ilvl="0">
      <w:lvlJc w:val="left"/>
      <w:lvlText w:val="(%1)"/>
      <w:numFmt w:val="decimal"/>
      <w:start w:val="1"/>
    </w:lvl>
  </w:abstractNum>
  <w:abstractNum w:abstractNumId="64">
    <w:nsid w:val="76272110"/>
    <w:multiLevelType w:val="hybridMultilevel"/>
    <w:lvl w:ilvl="0">
      <w:lvlJc w:val="left"/>
      <w:lvlText w:val="(%1)"/>
      <w:numFmt w:val="decimal"/>
      <w:start w:val="2"/>
    </w:lvl>
  </w:abstractNum>
  <w:abstractNum w:abstractNumId="65">
    <w:nsid w:val="4C04A8AF"/>
    <w:multiLevelType w:val="hybridMultilevel"/>
    <w:lvl w:ilvl="0">
      <w:lvlJc w:val="left"/>
      <w:lvlText w:val="Ÿ"/>
      <w:numFmt w:val="bullet"/>
      <w:start w:val="1"/>
    </w:lvl>
  </w:abstractNum>
  <w:abstractNum w:abstractNumId="66">
    <w:nsid w:val="1716703B"/>
    <w:multiLevelType w:val="hybridMultilevel"/>
    <w:lvl w:ilvl="0">
      <w:lvlJc w:val="left"/>
      <w:lvlText w:val="Ÿ"/>
      <w:numFmt w:val="bullet"/>
      <w:start w:val="1"/>
    </w:lvl>
  </w:abstractNum>
  <w:abstractNum w:abstractNumId="67">
    <w:nsid w:val="14E17E33"/>
    <w:multiLevelType w:val="hybridMultilevel"/>
    <w:lvl w:ilvl="0">
      <w:lvlJc w:val="left"/>
      <w:lvlText w:val="Ÿ"/>
      <w:numFmt w:val="bullet"/>
      <w:start w:val="1"/>
    </w:lvl>
  </w:abstractNum>
  <w:abstractNum w:abstractNumId="68">
    <w:nsid w:val="3222E7CD"/>
    <w:multiLevelType w:val="hybridMultilevel"/>
    <w:lvl w:ilvl="0">
      <w:lvlJc w:val="left"/>
      <w:lvlText w:val="Ÿ"/>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1)"/>
      <w:numFmt w:val="lowerLetter"/>
      <w:start w:val="1"/>
    </w:lvl>
  </w:abstractNum>
  <w:abstractNum w:abstractNumId="73">
    <w:nsid w:val="4A2AC315"/>
    <w:multiLevelType w:val="hybridMultilevel"/>
    <w:lvl w:ilvl="0">
      <w:lvlJc w:val="left"/>
      <w:lvlText w:val="(%1)"/>
      <w:numFmt w:val="decimal"/>
      <w:start w:val="1"/>
    </w:lvl>
  </w:abstractNum>
  <w:abstractNum w:abstractNumId="74">
    <w:nsid w:val="39EE015C"/>
    <w:multiLevelType w:val="hybridMultilevel"/>
    <w:lvl w:ilvl="0">
      <w:lvlJc w:val="left"/>
      <w:lvlText w:val="Ÿ"/>
      <w:numFmt w:val="bullet"/>
      <w:start w:val="1"/>
    </w:lvl>
  </w:abstractNum>
  <w:abstractNum w:abstractNumId="75">
    <w:nsid w:val="57FC4FBB"/>
    <w:multiLevelType w:val="hybridMultilevel"/>
    <w:lvl w:ilvl="0">
      <w:lvlJc w:val="left"/>
      <w:lvlText w:val="Ÿ"/>
      <w:numFmt w:val="bullet"/>
      <w:start w:val="1"/>
    </w:lvl>
  </w:abstractNum>
  <w:abstractNum w:abstractNumId="76">
    <w:nsid w:val="CC1016F"/>
    <w:multiLevelType w:val="hybridMultilevel"/>
    <w:lvl w:ilvl="0">
      <w:lvlJc w:val="left"/>
      <w:lvlText w:val="Ÿ"/>
      <w:numFmt w:val="bullet"/>
      <w:start w:val="1"/>
    </w:lvl>
  </w:abstractNum>
  <w:abstractNum w:abstractNumId="77">
    <w:nsid w:val="43F18422"/>
    <w:multiLevelType w:val="hybridMultilevel"/>
    <w:lvl w:ilvl="0">
      <w:lvlJc w:val="left"/>
      <w:lvlText w:val="%1."/>
      <w:numFmt w:val="lowerLetter"/>
      <w:start w:val="1"/>
    </w:lvl>
  </w:abstractNum>
  <w:abstractNum w:abstractNumId="78">
    <w:nsid w:val="60EF0119"/>
    <w:multiLevelType w:val="hybridMultilevel"/>
    <w:lvl w:ilvl="0">
      <w:lvlJc w:val="left"/>
      <w:lvlText w:val="%1."/>
      <w:numFmt w:val="lowerLetter"/>
      <w:start w:val="1"/>
    </w:lvl>
  </w:abstractNum>
  <w:abstractNum w:abstractNumId="79">
    <w:nsid w:val="26F324BA"/>
    <w:multiLevelType w:val="hybridMultilevel"/>
    <w:lvl w:ilvl="0">
      <w:lvlJc w:val="left"/>
      <w:lvlText w:val="%1."/>
      <w:numFmt w:val="lowerLetter"/>
      <w:start w:val="2"/>
    </w:lvl>
  </w:abstractNum>
  <w:abstractNum w:abstractNumId="80">
    <w:nsid w:val="7F01579B"/>
    <w:multiLevelType w:val="hybridMultilevel"/>
    <w:lvl w:ilvl="0">
      <w:lvlJc w:val="left"/>
      <w:lvlText w:val="%1."/>
      <w:numFmt w:val="lowerLetter"/>
      <w:start w:val="7"/>
    </w:lvl>
  </w:abstractNum>
  <w:abstractNum w:abstractNumId="81">
    <w:nsid w:val="49DA307D"/>
    <w:multiLevelType w:val="hybridMultilevel"/>
    <w:lvl w:ilvl="0">
      <w:lvlJc w:val="left"/>
      <w:lvlText w:val="%1."/>
      <w:numFmt w:val="lowerLetter"/>
      <w:start w:val="10"/>
    </w:lvl>
  </w:abstractNum>
  <w:abstractNum w:abstractNumId="82">
    <w:nsid w:val="7055A5F5"/>
    <w:multiLevelType w:val="hybridMultilevel"/>
    <w:lvl w:ilvl="0">
      <w:lvlJc w:val="left"/>
      <w:lvlText w:val="%1."/>
      <w:numFmt w:val="lowerLetter"/>
      <w:start w:val="13"/>
    </w:lvl>
  </w:abstractNum>
  <w:abstractNum w:abstractNumId="83">
    <w:nsid w:val="5FB8370B"/>
    <w:multiLevelType w:val="hybridMultilevel"/>
    <w:lvl w:ilvl="0">
      <w:lvlJc w:val="left"/>
      <w:lvlText w:val="%1."/>
      <w:numFmt w:val="lowerLetter"/>
      <w:start w:val="14"/>
    </w:lvl>
  </w:abstractNum>
  <w:abstractNum w:abstractNumId="84">
    <w:nsid w:val="50801EE1"/>
    <w:multiLevelType w:val="hybridMultilevel"/>
    <w:lvl w:ilvl="0">
      <w:lvlJc w:val="left"/>
      <w:lvlText w:val="%1."/>
      <w:numFmt w:val="lowerLetter"/>
      <w:start w:val="1"/>
    </w:lvl>
  </w:abstractNum>
  <w:abstractNum w:abstractNumId="85">
    <w:nsid w:val="488AC1A"/>
    <w:multiLevelType w:val="hybridMultilevel"/>
    <w:lvl w:ilvl="0">
      <w:lvlJc w:val="left"/>
      <w:lvlText w:val="%1."/>
      <w:numFmt w:val="lowerLetter"/>
      <w:start w:val="1"/>
    </w:lvl>
  </w:abstractNum>
  <w:abstractNum w:abstractNumId="86">
    <w:nsid w:val="5FB8011C"/>
    <w:multiLevelType w:val="hybridMultilevel"/>
    <w:lvl w:ilvl="0">
      <w:lvlJc w:val="left"/>
      <w:lvlText w:val="%1."/>
      <w:numFmt w:val="lowerLetter"/>
      <w:start w:val="4"/>
    </w:lvl>
  </w:abstractNum>
  <w:abstractNum w:abstractNumId="87">
    <w:nsid w:val="6AA78F7F"/>
    <w:multiLevelType w:val="hybridMultilevel"/>
    <w:lvl w:ilvl="0">
      <w:lvlJc w:val="left"/>
      <w:lvlText w:val="%1."/>
      <w:numFmt w:val="lowerLetter"/>
      <w:start w:val="1"/>
    </w:lvl>
  </w:abstractNum>
  <w:abstractNum w:abstractNumId="88">
    <w:nsid w:val="7672BD23"/>
    <w:multiLevelType w:val="hybridMultilevel"/>
    <w:lvl w:ilvl="0">
      <w:lvlJc w:val="left"/>
      <w:lvlText w:val="%1."/>
      <w:numFmt w:val="lowerLetter"/>
      <w:start w:val="3"/>
    </w:lvl>
  </w:abstractNum>
  <w:abstractNum w:abstractNumId="89">
    <w:nsid w:val="6FC75AF8"/>
    <w:multiLevelType w:val="hybridMultilevel"/>
    <w:lvl w:ilvl="0">
      <w:lvlJc w:val="left"/>
      <w:lvlText w:val="%1."/>
      <w:numFmt w:val="lowerLetter"/>
      <w:start w:val="1"/>
    </w:lvl>
  </w:abstractNum>
  <w:abstractNum w:abstractNumId="90">
    <w:nsid w:val="6A5F7029"/>
    <w:multiLevelType w:val="hybridMultilevel"/>
    <w:lvl w:ilvl="0">
      <w:lvlJc w:val="left"/>
      <w:lvlText w:val="%1."/>
      <w:numFmt w:val="lowerLetter"/>
      <w:start w:val="2"/>
    </w:lvl>
    <w:lvl w:ilvl="1">
      <w:lvlJc w:val="left"/>
      <w:lvlText w:val="%2."/>
      <w:numFmt w:val="decimal"/>
      <w:start w:val="1"/>
    </w:lvl>
  </w:abstractNum>
  <w:abstractNum w:abstractNumId="91">
    <w:nsid w:val="7D5E18F8"/>
    <w:multiLevelType w:val="hybridMultilevel"/>
    <w:lvl w:ilvl="0">
      <w:lvlJc w:val="left"/>
      <w:lvlText w:val="%1."/>
      <w:numFmt w:val="decimal"/>
      <w:start w:val="7"/>
    </w:lvl>
  </w:abstractNum>
  <w:abstractNum w:abstractNumId="92">
    <w:nsid w:val="5F3534A4"/>
    <w:multiLevelType w:val="hybridMultilevel"/>
    <w:lvl w:ilvl="0">
      <w:lvlJc w:val="left"/>
      <w:lvlText w:val="%1."/>
      <w:numFmt w:val="lowerLetter"/>
      <w:start w:val="4"/>
    </w:lvl>
  </w:abstractNum>
  <w:abstractNum w:abstractNumId="93">
    <w:nsid w:val="73A1821B"/>
    <w:multiLevelType w:val="hybridMultilevel"/>
    <w:lvl w:ilvl="0">
      <w:lvlJc w:val="left"/>
      <w:lvlText w:val="%1."/>
      <w:numFmt w:val="lowerLetter"/>
      <w:start w:val="5"/>
    </w:lvl>
  </w:abstractNum>
  <w:abstractNum w:abstractNumId="94">
    <w:nsid w:val="7DE67713"/>
    <w:multiLevelType w:val="hybridMultilevel"/>
    <w:lvl w:ilvl="0">
      <w:lvlJc w:val="left"/>
      <w:lvlText w:val="%1."/>
      <w:numFmt w:val="lowerLetter"/>
      <w:start w:val="6"/>
    </w:lvl>
  </w:abstractNum>
  <w:abstractNum w:abstractNumId="95">
    <w:nsid w:val="555C55B5"/>
    <w:multiLevelType w:val="hybridMultilevel"/>
    <w:lvl w:ilvl="0">
      <w:lvlJc w:val="left"/>
      <w:lvlText w:val="%1."/>
      <w:numFmt w:val="lowerLetter"/>
    </w:lvl>
    <w:lvl w:ilvl="1">
      <w:lvlJc w:val="left"/>
      <w:lvlText w:val="$"/>
      <w:numFmt w:val="bullet"/>
      <w:start w:val="1"/>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lowerLetter"/>
      <w:start w:val="2"/>
    </w:lvl>
    <w:lvl w:ilvl="1">
      <w:lvlJc w:val="left"/>
      <w:lvlText w:val="-"/>
      <w:numFmt w:val="bullet"/>
      <w:start w:val="1"/>
    </w:lvl>
  </w:abstractNum>
  <w:abstractNum w:abstractNumId="98">
    <w:nsid w:val="6A3DD3E8"/>
    <w:multiLevelType w:val="hybridMultilevel"/>
    <w:lvl w:ilvl="0">
      <w:lvlJc w:val="left"/>
      <w:lvlText w:val="%1."/>
      <w:numFmt w:val="lowerLetter"/>
      <w:start w:val="1"/>
    </w:lvl>
  </w:abstractNum>
  <w:abstractNum w:abstractNumId="99">
    <w:nsid w:val="71C91298"/>
    <w:multiLevelType w:val="hybridMultilevel"/>
    <w:lvl w:ilvl="0">
      <w:lvlJc w:val="left"/>
      <w:lvlText w:val="%1."/>
      <w:numFmt w:val="lowerLetter"/>
      <w:start w:val="1"/>
    </w:lvl>
  </w:abstractNum>
  <w:abstractNum w:abstractNumId="100">
    <w:nsid w:val="9DAF632"/>
    <w:multiLevelType w:val="hybridMultilevel"/>
    <w:lvl w:ilvl="0">
      <w:lvlJc w:val="left"/>
      <w:lvlText w:val="%1."/>
      <w:numFmt w:val="lowerLetter"/>
      <w:start w:val="1"/>
    </w:lvl>
  </w:abstractNum>
  <w:abstractNum w:abstractNumId="101">
    <w:nsid w:val="53299938"/>
    <w:multiLevelType w:val="hybridMultilevel"/>
    <w:lvl w:ilvl="0">
      <w:lvlJc w:val="left"/>
      <w:lvlText w:val="%1."/>
      <w:numFmt w:val="lowerLetter"/>
      <w:start w:val="1"/>
    </w:lvl>
  </w:abstractNum>
  <w:abstractNum w:abstractNumId="102">
    <w:nsid w:val="1FBFE8E0"/>
    <w:multiLevelType w:val="hybridMultilevel"/>
    <w:lvl w:ilvl="0">
      <w:lvlJc w:val="left"/>
      <w:lvlText w:val="%1."/>
      <w:numFmt w:val="lowerLetter"/>
      <w:start w:val="1"/>
    </w:lvl>
  </w:abstractNum>
  <w:abstractNum w:abstractNumId="103">
    <w:nsid w:val="5092CA79"/>
    <w:multiLevelType w:val="hybridMultilevel"/>
    <w:lvl w:ilvl="0">
      <w:lvlJc w:val="left"/>
      <w:lvlText w:val="%1."/>
      <w:numFmt w:val="lowerLetter"/>
      <w:start w:val="3"/>
    </w:lvl>
  </w:abstractNum>
  <w:abstractNum w:abstractNumId="104">
    <w:nsid w:val="1D545C4D"/>
    <w:multiLevelType w:val="hybridMultilevel"/>
    <w:lvl w:ilvl="0">
      <w:lvlJc w:val="left"/>
      <w:lvlText w:val="%1."/>
      <w:numFmt w:val="lowerLetter"/>
      <w:start w:val="5"/>
    </w:lvl>
  </w:abstractNum>
  <w:abstractNum w:abstractNumId="105">
    <w:nsid w:val="59ADEA3D"/>
    <w:multiLevelType w:val="hybridMultilevel"/>
    <w:lvl w:ilvl="0">
      <w:lvlJc w:val="left"/>
      <w:lvlText w:val="%1."/>
      <w:numFmt w:val="lowerLetter"/>
      <w:start w:val="6"/>
    </w:lvl>
  </w:abstractNum>
  <w:abstractNum w:abstractNumId="106">
    <w:nsid w:val="288F1A34"/>
    <w:multiLevelType w:val="hybridMultilevel"/>
    <w:lvl w:ilvl="0">
      <w:lvlJc w:val="left"/>
      <w:lvlText w:val="%1."/>
      <w:numFmt w:val="lowerLetter"/>
      <w:start w:val="7"/>
    </w:lvl>
  </w:abstractNum>
  <w:abstractNum w:abstractNumId="107">
    <w:nsid w:val="2A155DBC"/>
    <w:multiLevelType w:val="hybridMultilevel"/>
    <w:lvl w:ilvl="0">
      <w:lvlJc w:val="left"/>
      <w:lvlText w:val="%1."/>
      <w:numFmt w:val="lowerLetter"/>
      <w:start w:val="1"/>
    </w:lvl>
  </w:abstractNum>
  <w:abstractNum w:abstractNumId="108">
    <w:nsid w:val="1D9F6E5F"/>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2019-12-08T04:48:23Z</dcterms:created>
  <dcterms:modified xsi:type="dcterms:W3CDTF">2019-12-08T04:48:23Z</dcterms:modified>
</cp:coreProperties>
</file>