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MULROY DENNIS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Arcturus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ARCT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313" w:lineRule="auto"/>
        <w:rPr>
          <w:sz w:val="20"/>
          <w:szCs w:val="20"/>
          <w:color w:val="auto"/>
        </w:rPr>
      </w:pPr>
      <w:r>
        <w:rPr>
          <w:rFonts w:ascii="Times New Roman" w:cs="Times New Roman" w:eastAsia="Times New Roman" w:hAnsi="Times New Roman"/>
          <w:sz w:val="18"/>
          <w:szCs w:val="18"/>
          <w:color w:val="0000FF"/>
        </w:rPr>
        <w:t>C/O ARCTURUS THERAPEUTICS HOLDINGS INC.</w:t>
      </w:r>
    </w:p>
    <w:p>
      <w:pPr>
        <w:ind w:left="140"/>
        <w:spacing w:after="0"/>
        <w:rPr>
          <w:sz w:val="20"/>
          <w:szCs w:val="20"/>
          <w:color w:val="auto"/>
        </w:rPr>
      </w:pPr>
      <w:r>
        <w:rPr>
          <w:rFonts w:ascii="Times New Roman" w:cs="Times New Roman" w:eastAsia="Times New Roman" w:hAnsi="Times New Roman"/>
          <w:sz w:val="20"/>
          <w:szCs w:val="20"/>
          <w:color w:val="0000FF"/>
        </w:rPr>
        <w:t>10285 SCIENCE CENTER DRIVE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Grant Levine,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702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Dennis 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Mulroy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14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7147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 – DENNIS MULROY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Dennis Mulroy, the undersigned, understands that, from time to time, he is required to prepare, execute and file certain federal and state securities laws filings.</w:t>
      </w:r>
    </w:p>
    <w:p>
      <w:pPr>
        <w:spacing w:after="0" w:line="1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Jeffrey Baumel, Ilan Katz, Grant Levine, Zach Weiss, Madeline Hunter and Margaux Bouchet, each of Dentons US LLP, signing individually, and with full power of substitution, the undersigned’s true and lawful attorneys-in-fact to:</w:t>
      </w:r>
    </w:p>
    <w:p>
      <w:pPr>
        <w:spacing w:after="0" w:line="196" w:lineRule="exact"/>
        <w:rPr>
          <w:sz w:val="20"/>
          <w:szCs w:val="20"/>
          <w:color w:val="auto"/>
        </w:rPr>
      </w:pPr>
    </w:p>
    <w:p>
      <w:pPr>
        <w:ind w:firstLine="720"/>
        <w:spacing w:after="0" w:line="282"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execute in your name and on your behalf, the undersigned’s EDGAR account in their capacity as an authorized and appointed Account Administrator, as defined in Volume I of the EDGAR Filer Manual.</w:t>
      </w:r>
    </w:p>
    <w:p>
      <w:pPr>
        <w:spacing w:after="0" w:line="179" w:lineRule="exact"/>
        <w:rPr>
          <w:rFonts w:ascii="Times New Roman" w:cs="Times New Roman" w:eastAsia="Times New Roman" w:hAnsi="Times New Roman"/>
          <w:sz w:val="20"/>
          <w:szCs w:val="20"/>
          <w:color w:val="auto"/>
        </w:rPr>
      </w:pPr>
    </w:p>
    <w:p>
      <w:pPr>
        <w:jc w:val="both"/>
        <w:ind w:firstLine="720"/>
        <w:spacing w:after="0" w:line="261" w:lineRule="auto"/>
        <w:tabs>
          <w:tab w:leader="none" w:pos="10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your name and on your behalf, and submit to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if necessary, a Form ID, including amendments thereto, and any other documents necessary or appropriate to obtain codes and passwords on the SEC’s EDGAR filing system (the “</w:t>
      </w:r>
      <w:r>
        <w:rPr>
          <w:rFonts w:ascii="Times New Roman" w:cs="Times New Roman" w:eastAsia="Times New Roman" w:hAnsi="Times New Roman"/>
          <w:sz w:val="20"/>
          <w:szCs w:val="20"/>
          <w:u w:val="single" w:color="auto"/>
          <w:color w:val="auto"/>
        </w:rPr>
        <w:t>EDGAR System</w:t>
      </w:r>
      <w:r>
        <w:rPr>
          <w:rFonts w:ascii="Times New Roman" w:cs="Times New Roman" w:eastAsia="Times New Roman" w:hAnsi="Times New Roman"/>
          <w:sz w:val="20"/>
          <w:szCs w:val="20"/>
          <w:color w:val="auto"/>
        </w:rPr>
        <w:t>”), enabling the undersigned to make electronic filings with the SEC on your behalf (the “</w:t>
      </w:r>
      <w:r>
        <w:rPr>
          <w:rFonts w:ascii="Times New Roman" w:cs="Times New Roman" w:eastAsia="Times New Roman" w:hAnsi="Times New Roman"/>
          <w:sz w:val="20"/>
          <w:szCs w:val="20"/>
          <w:u w:val="single" w:color="auto"/>
          <w:color w:val="auto"/>
        </w:rPr>
        <w:t>Securities Filings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20" w:firstLine="720"/>
        <w:spacing w:after="0" w:line="282" w:lineRule="auto"/>
        <w:tabs>
          <w:tab w:leader="none" w:pos="101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your name and on your behalf, and submit to the SEC, the Securities Filings, as such Securities Filings shall be necessary to be filed with the SEC from time to time, subject to the limitations set forth in this Power of Attorney;</w:t>
      </w:r>
    </w:p>
    <w:p>
      <w:pPr>
        <w:spacing w:after="0" w:line="179" w:lineRule="exact"/>
        <w:rPr>
          <w:rFonts w:ascii="Times New Roman" w:cs="Times New Roman" w:eastAsia="Times New Roman" w:hAnsi="Times New Roman"/>
          <w:sz w:val="20"/>
          <w:szCs w:val="20"/>
          <w:color w:val="auto"/>
        </w:rPr>
      </w:pPr>
    </w:p>
    <w:p>
      <w:pPr>
        <w:ind w:left="1000" w:hanging="280"/>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your name and on your behalf, and submit to the SEC:</w:t>
      </w:r>
    </w:p>
    <w:p>
      <w:pPr>
        <w:spacing w:after="0" w:line="250" w:lineRule="exact"/>
        <w:rPr>
          <w:rFonts w:ascii="Times New Roman" w:cs="Times New Roman" w:eastAsia="Times New Roman" w:hAnsi="Times New Roman"/>
          <w:sz w:val="20"/>
          <w:szCs w:val="20"/>
          <w:color w:val="auto"/>
        </w:rPr>
      </w:pPr>
    </w:p>
    <w:p>
      <w:pPr>
        <w:ind w:left="1680" w:hanging="239"/>
        <w:spacing w:after="0"/>
        <w:tabs>
          <w:tab w:leader="none" w:pos="16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or Update Passphrase Confirmation to be filed with the SEC;</w:t>
      </w:r>
    </w:p>
    <w:p>
      <w:pPr>
        <w:spacing w:after="0" w:line="250" w:lineRule="exact"/>
        <w:rPr>
          <w:rFonts w:ascii="Times New Roman" w:cs="Times New Roman" w:eastAsia="Times New Roman" w:hAnsi="Times New Roman"/>
          <w:sz w:val="20"/>
          <w:szCs w:val="20"/>
          <w:color w:val="auto"/>
        </w:rPr>
      </w:pPr>
    </w:p>
    <w:p>
      <w:pPr>
        <w:ind w:left="1740" w:hanging="299"/>
        <w:spacing w:after="0"/>
        <w:tabs>
          <w:tab w:leader="none" w:pos="17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800" w:hanging="359"/>
        <w:spacing w:after="0"/>
        <w:tabs>
          <w:tab w:leader="none" w:pos="18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780" w:hanging="339"/>
        <w:spacing w:after="0"/>
        <w:tabs>
          <w:tab w:leader="none" w:pos="17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720" w:hanging="279"/>
        <w:spacing w:after="0"/>
        <w:tabs>
          <w:tab w:leader="none" w:pos="17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w:t>
      </w:r>
    </w:p>
    <w:p>
      <w:pPr>
        <w:spacing w:after="0" w:line="250" w:lineRule="exact"/>
        <w:rPr>
          <w:rFonts w:ascii="Times New Roman" w:cs="Times New Roman" w:eastAsia="Times New Roman" w:hAnsi="Times New Roman"/>
          <w:sz w:val="20"/>
          <w:szCs w:val="20"/>
          <w:color w:val="auto"/>
        </w:rPr>
      </w:pPr>
    </w:p>
    <w:p>
      <w:pPr>
        <w:ind w:left="720" w:firstLine="721"/>
        <w:spacing w:after="0" w:line="282" w:lineRule="auto"/>
        <w:tabs>
          <w:tab w:leader="none" w:pos="183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forms or reports the undersigned may be required to file in connection with the undersigned's ownership, acquisition or disposition of securities, including Schedules 13G and 13D;</w:t>
      </w:r>
    </w:p>
    <w:p>
      <w:pPr>
        <w:spacing w:after="0" w:line="179" w:lineRule="exact"/>
        <w:rPr>
          <w:rFonts w:ascii="Times New Roman" w:cs="Times New Roman" w:eastAsia="Times New Roman" w:hAnsi="Times New Roman"/>
          <w:sz w:val="20"/>
          <w:szCs w:val="20"/>
          <w:color w:val="auto"/>
        </w:rPr>
      </w:pPr>
    </w:p>
    <w:p>
      <w:pPr>
        <w:ind w:left="1840" w:hanging="399"/>
        <w:spacing w:after="0"/>
        <w:tabs>
          <w:tab w:leader="none" w:pos="18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permissible, any other reports or filings to be made by and on behalf of a company, and</w:t>
      </w:r>
    </w:p>
    <w:p>
      <w:pPr>
        <w:spacing w:after="0" w:line="250" w:lineRule="exact"/>
        <w:rPr>
          <w:rFonts w:ascii="Times New Roman" w:cs="Times New Roman" w:eastAsia="Times New Roman" w:hAnsi="Times New Roman"/>
          <w:sz w:val="20"/>
          <w:szCs w:val="20"/>
          <w:color w:val="auto"/>
        </w:rPr>
      </w:pPr>
    </w:p>
    <w:p>
      <w:pPr>
        <w:ind w:left="1900" w:hanging="459"/>
        <w:spacing w:after="0"/>
        <w:tabs>
          <w:tab w:leader="none" w:pos="19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 and</w:t>
      </w:r>
    </w:p>
    <w:p>
      <w:pPr>
        <w:spacing w:after="0" w:line="250" w:lineRule="exact"/>
        <w:rPr>
          <w:rFonts w:ascii="Times New Roman" w:cs="Times New Roman" w:eastAsia="Times New Roman" w:hAnsi="Times New Roman"/>
          <w:sz w:val="20"/>
          <w:szCs w:val="20"/>
          <w:color w:val="auto"/>
        </w:rPr>
      </w:pPr>
    </w:p>
    <w:p>
      <w:pPr>
        <w:jc w:val="both"/>
        <w:ind w:firstLine="720"/>
        <w:spacing w:after="0" w:line="261" w:lineRule="auto"/>
        <w:tabs>
          <w:tab w:leader="none" w:pos="10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whether the same needs to be executed, taken or done by him in his capacity as a current or former member, partner, shareholder, director or officer of any company, partnership, corporation, organization, firm, branch or other entity connected with, related to or affiliated with the undersigned.</w:t>
      </w:r>
    </w:p>
    <w:p>
      <w:pPr>
        <w:spacing w:after="0" w:line="21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any of the undersigned’s responsibilities to comply with federal and state securities laws.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further acknowledges that:</w:t>
      </w:r>
    </w:p>
    <w:p>
      <w:pPr>
        <w:spacing w:after="0" w:line="250" w:lineRule="exact"/>
        <w:rPr>
          <w:sz w:val="20"/>
          <w:szCs w:val="20"/>
          <w:color w:val="auto"/>
        </w:rPr>
      </w:pPr>
    </w:p>
    <w:p>
      <w:pPr>
        <w:ind w:left="900" w:right="20" w:hanging="540"/>
        <w:spacing w:after="0" w:line="261"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attorney-in-fact does not assume (1)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(2) any liability of the undersigned for any failure to comply with such requirements or (3) any obligation or liability of the undersigned for profit disgorgement under Section 16(b) of the Exchange Act; and</w:t>
      </w:r>
    </w:p>
    <w:p>
      <w:pPr>
        <w:spacing w:after="0" w:line="200" w:lineRule="exact"/>
        <w:rPr>
          <w:rFonts w:ascii="Times New Roman" w:cs="Times New Roman" w:eastAsia="Times New Roman" w:hAnsi="Times New Roman"/>
          <w:sz w:val="20"/>
          <w:szCs w:val="20"/>
          <w:color w:val="auto"/>
        </w:rPr>
      </w:pPr>
    </w:p>
    <w:p>
      <w:pPr>
        <w:ind w:left="900" w:right="240" w:hanging="540"/>
        <w:spacing w:after="0" w:line="261"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revoked by the undersigned in a signed writing delivered to such attorneys-in-fact.</w:t>
      </w:r>
    </w:p>
    <w:p>
      <w:pPr>
        <w:spacing w:after="0" w:line="20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This Power of Attorney and all authority conferred hereby shall not be terminated by operation of law, whether by the death or incapacity of the undersigned or by occurrence of any other event. Actions taken by an attorney-in-fact pursuant to this Power of Attorney shall be as valid as if any event described in the preceding sentence had not occurred, whether or not the attorney-in-fact shall have received notice of such event. Notwithstanding the foregoing, (i) in the event that an attorney-in-fact is no longer employed by Dentons US LLP or its affiliates, this Power of Attorney and all authority conferred hereby shall be immediately terminated with respect to such Attorney, and (ii) the undersigned may terminate or revoke this Power of Attorney at any time.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8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6</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May, 2026.</w:t>
      </w:r>
    </w:p>
    <w:p>
      <w:pPr>
        <w:spacing w:after="0" w:line="1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DENNIS MULROY</w:t>
      </w:r>
    </w:p>
    <w:p>
      <w:pPr>
        <w:spacing w:after="0" w:line="254" w:lineRule="exact"/>
        <w:rPr>
          <w:sz w:val="20"/>
          <w:szCs w:val="20"/>
          <w:color w:val="auto"/>
        </w:rPr>
      </w:pPr>
    </w:p>
    <w:p>
      <w:pPr>
        <w:ind w:left="5420"/>
        <w:spacing w:after="0"/>
        <w:tabs>
          <w:tab w:leader="none" w:pos="5880" w:val="left"/>
        </w:tabs>
        <w:rPr>
          <w:sz w:val="20"/>
          <w:szCs w:val="20"/>
          <w:color w:val="auto"/>
        </w:rPr>
      </w:pPr>
      <w:r>
        <w:rPr>
          <w:rFonts w:ascii="Times New Roman" w:cs="Times New Roman" w:eastAsia="Times New Roman" w:hAnsi="Times New Roman"/>
          <w:sz w:val="20"/>
          <w:szCs w:val="20"/>
          <w:color w:val="auto"/>
        </w:rPr>
        <w:t>By:</w:t>
        <w:tab/>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19050</wp:posOffset>
            </wp:positionV>
            <wp:extent cx="27444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44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w:t>
      </w:r>
      <w:r>
        <w:rPr>
          <w:rFonts w:ascii="Times New Roman" w:cs="Times New Roman" w:eastAsia="Times New Roman" w:hAnsi="Times New Roman"/>
          <w:sz w:val="20"/>
          <w:szCs w:val="20"/>
          <w:color w:val="auto"/>
        </w:rPr>
        <w:t>]</w:t>
      </w:r>
    </w:p>
    <w:sectPr>
      <w:pgSz w:w="11900" w:h="16838" w:orient="portrait"/>
      <w:cols w:equalWidth="0" w:num="1">
        <w:col w:w="10060"/>
      </w:cols>
      <w:pgMar w:left="1200" w:top="87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Roman"/>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276840" TargetMode="External"/><Relationship Id="rId11"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2026-05-07T15:35:45Z</dcterms:created>
  <dcterms:modified xsi:type="dcterms:W3CDTF">2026-05-07T15:35:45Z</dcterms:modified>
</cp:coreProperties>
</file>