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Alcobra Ltd.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4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7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10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(Primary Standard Industrial</w:t>
            </w:r>
          </w:p>
        </w:tc>
        <w:tc>
          <w:tcPr>
            <w:tcW w:w="2720" w:type="dxa"/>
            <w:vAlign w:val="bottom"/>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1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Classification Code Number)</w:t>
            </w:r>
          </w:p>
        </w:tc>
        <w:tc>
          <w:tcPr>
            <w:tcW w:w="2720" w:type="dxa"/>
            <w:vAlign w:val="bottom"/>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bl>
    <w:p>
      <w:pPr>
        <w:spacing w:after="0" w:line="194" w:lineRule="exact"/>
        <w:rPr>
          <w:sz w:val="24"/>
          <w:szCs w:val="24"/>
          <w:color w:val="auto"/>
        </w:rPr>
      </w:pPr>
    </w:p>
    <w:p>
      <w:pPr>
        <w:sectPr>
          <w:pgSz w:w="11900" w:h="16838" w:orient="portrait"/>
          <w:cols w:equalWidth="0" w:num="1">
            <w:col w:w="11420"/>
          </w:cols>
          <w:pgMar w:left="240" w:top="468" w:right="239" w:bottom="1440" w:gutter="0" w:footer="0" w:header="0"/>
        </w:sect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Dr. Yaron Daniely</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35 Ehad Ha-Am Street</w:t>
      </w:r>
    </w:p>
    <w:p>
      <w:pPr>
        <w:jc w:val="center"/>
        <w:ind w:right="340"/>
        <w:spacing w:after="0" w:line="186"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Tel-Aviv, Israel 65202</w:t>
      </w:r>
    </w:p>
    <w:p>
      <w:pPr>
        <w:spacing w:after="0" w:line="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Tel: +972.72.220.4661</w:t>
      </w:r>
    </w:p>
    <w:p>
      <w:pPr>
        <w:spacing w:after="0" w:line="9" w:lineRule="exact"/>
        <w:rPr>
          <w:sz w:val="24"/>
          <w:szCs w:val="24"/>
          <w:color w:val="auto"/>
        </w:rPr>
      </w:pPr>
    </w:p>
    <w:p>
      <w:pPr>
        <w:ind w:left="940" w:right="600" w:firstLine="48"/>
        <w:spacing w:after="0" w:line="290" w:lineRule="auto"/>
        <w:rPr>
          <w:sz w:val="20"/>
          <w:szCs w:val="20"/>
          <w:color w:val="auto"/>
        </w:rPr>
      </w:pPr>
      <w:r>
        <w:rPr>
          <w:rFonts w:ascii="Times New Roman" w:cs="Times New Roman" w:eastAsia="Times New Roman" w:hAnsi="Times New Roman"/>
          <w:sz w:val="17"/>
          <w:szCs w:val="17"/>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8890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Zysman, Aharoni, Gayer &amp;</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Sullivan &amp; Worcester LLP</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1633 Broadway</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Tel: 212.660.3000</w:t>
      </w:r>
    </w:p>
    <w:p>
      <w:pPr>
        <w:spacing w:after="0" w:line="9" w:lineRule="exact"/>
        <w:rPr>
          <w:sz w:val="24"/>
          <w:szCs w:val="24"/>
          <w:color w:val="auto"/>
        </w:rPr>
      </w:pPr>
    </w:p>
    <w:p>
      <w:pPr>
        <w:ind w:left="340" w:right="720" w:hanging="343"/>
        <w:spacing w:after="0" w:line="290" w:lineRule="auto"/>
        <w:rPr>
          <w:sz w:val="20"/>
          <w:szCs w:val="20"/>
          <w:color w:val="auto"/>
        </w:rPr>
      </w:pPr>
      <w:r>
        <w:rPr>
          <w:rFonts w:ascii="Times New Roman" w:cs="Times New Roman" w:eastAsia="Times New Roman" w:hAnsi="Times New Roman"/>
          <w:sz w:val="17"/>
          <w:szCs w:val="17"/>
          <w:i w:val="1"/>
          <w:iCs w:val="1"/>
          <w:color w:val="auto"/>
        </w:rPr>
        <w:t>(Name, address, including zip code, and telephone number, including area code, of agent for service)</w:t>
      </w:r>
    </w:p>
    <w:p>
      <w:pPr>
        <w:spacing w:after="0" w:line="456" w:lineRule="exact"/>
        <w:rPr>
          <w:sz w:val="24"/>
          <w:szCs w:val="24"/>
          <w:color w:val="auto"/>
        </w:rPr>
      </w:pPr>
    </w:p>
    <w:p>
      <w:pPr>
        <w:sectPr>
          <w:pgSz w:w="11900" w:h="16838" w:orient="portrait"/>
          <w:cols w:equalWidth="0" w:num="2">
            <w:col w:w="6040" w:space="720"/>
            <w:col w:w="4660"/>
          </w:cols>
          <w:pgMar w:left="240" w:top="468" w:right="239" w:bottom="1440" w:gutter="0" w:footer="0" w:header="0"/>
          <w:type w:val="continuous"/>
        </w:sectPr>
      </w:pPr>
    </w:p>
    <w:p>
      <w:pPr>
        <w:spacing w:after="0" w:line="89"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350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24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Edwin L. Miller Jr.</w:t>
            </w:r>
          </w:p>
        </w:tc>
        <w:tc>
          <w:tcPr>
            <w:tcW w:w="3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Eran Ben-Dor</w:t>
            </w:r>
          </w:p>
        </w:tc>
        <w:tc>
          <w:tcPr>
            <w:tcW w:w="2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Henry I. Rothman</w:t>
            </w:r>
          </w:p>
        </w:tc>
        <w:tc>
          <w:tcPr>
            <w:tcW w:w="21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Barry Levenfeld</w:t>
            </w:r>
          </w:p>
        </w:tc>
      </w:tr>
      <w:tr>
        <w:trPr>
          <w:trHeight w:val="216"/>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Oded Har-Even</w:t>
            </w:r>
          </w:p>
        </w:tc>
        <w:tc>
          <w:tcPr>
            <w:tcW w:w="3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Zysman, Aharoni, Gayer &amp; Co.</w:t>
            </w:r>
          </w:p>
        </w:tc>
        <w:tc>
          <w:tcPr>
            <w:tcW w:w="2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Joseph Walsh</w:t>
            </w:r>
          </w:p>
        </w:tc>
        <w:tc>
          <w:tcPr>
            <w:tcW w:w="21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Eric Spindel</w:t>
            </w:r>
          </w:p>
        </w:tc>
      </w:tr>
      <w:tr>
        <w:trPr>
          <w:trHeight w:val="216"/>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Shy S. Baranov</w:t>
            </w:r>
          </w:p>
        </w:tc>
        <w:tc>
          <w:tcPr>
            <w:tcW w:w="3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41-45 Rothschild Blvd.</w:t>
            </w:r>
          </w:p>
        </w:tc>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Troutman Sanders LLP</w:t>
            </w:r>
          </w:p>
        </w:tc>
        <w:tc>
          <w:tcPr>
            <w:tcW w:w="21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Yigal Arnon &amp; Co.</w:t>
            </w:r>
          </w:p>
        </w:tc>
      </w:tr>
      <w:tr>
        <w:trPr>
          <w:trHeight w:val="216"/>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ZAG/S&amp;W LLP</w:t>
            </w:r>
          </w:p>
        </w:tc>
        <w:tc>
          <w:tcPr>
            <w:tcW w:w="3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Beit Zion</w:t>
            </w:r>
          </w:p>
        </w:tc>
        <w:tc>
          <w:tcPr>
            <w:tcW w:w="2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The Chrysler Building</w:t>
            </w:r>
          </w:p>
        </w:tc>
        <w:tc>
          <w:tcPr>
            <w:tcW w:w="21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1 Azrieli Center</w:t>
            </w:r>
          </w:p>
        </w:tc>
      </w:tr>
      <w:tr>
        <w:trPr>
          <w:trHeight w:val="216"/>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1633 Broadway</w:t>
            </w:r>
          </w:p>
        </w:tc>
        <w:tc>
          <w:tcPr>
            <w:tcW w:w="3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Tel-Aviv, Israel 65784</w:t>
            </w:r>
          </w:p>
        </w:tc>
        <w:tc>
          <w:tcPr>
            <w:tcW w:w="2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405 Lexington Avenue</w:t>
            </w:r>
          </w:p>
        </w:tc>
        <w:tc>
          <w:tcPr>
            <w:tcW w:w="21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6"/>
              </w:rPr>
              <w:t>Tel-Aviv, Israel</w:t>
            </w:r>
          </w:p>
        </w:tc>
      </w:tr>
      <w:tr>
        <w:trPr>
          <w:trHeight w:val="216"/>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3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Tel: +972.3.795.5555</w:t>
            </w:r>
          </w:p>
        </w:tc>
        <w:tc>
          <w:tcPr>
            <w:tcW w:w="2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New York, NY 10174</w:t>
            </w:r>
          </w:p>
        </w:tc>
        <w:tc>
          <w:tcPr>
            <w:tcW w:w="21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Tel: +972.3.608.7868</w:t>
            </w:r>
          </w:p>
        </w:tc>
      </w:tr>
      <w:tr>
        <w:trPr>
          <w:trHeight w:val="238"/>
        </w:trPr>
        <w:tc>
          <w:tcPr>
            <w:tcW w:w="2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Tel: 212.660.3000</w:t>
            </w:r>
          </w:p>
        </w:tc>
        <w:tc>
          <w:tcPr>
            <w:tcW w:w="3500" w:type="dxa"/>
            <w:vAlign w:val="bottom"/>
          </w:tcPr>
          <w:p>
            <w:pPr>
              <w:spacing w:after="0"/>
              <w:rPr>
                <w:sz w:val="20"/>
                <w:szCs w:val="20"/>
                <w:color w:val="auto"/>
              </w:rPr>
            </w:pPr>
          </w:p>
        </w:tc>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Tel: 212.704.6000</w:t>
            </w:r>
          </w:p>
        </w:tc>
        <w:tc>
          <w:tcPr>
            <w:tcW w:w="2140" w:type="dxa"/>
            <w:vAlign w:val="bottom"/>
          </w:tcPr>
          <w:p>
            <w:pPr>
              <w:spacing w:after="0"/>
              <w:rPr>
                <w:sz w:val="20"/>
                <w:szCs w:val="20"/>
                <w:color w:val="auto"/>
              </w:rPr>
            </w:pP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hereof.</w:t>
      </w:r>
    </w:p>
    <w:p>
      <w:pPr>
        <w:spacing w:after="0" w:line="22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check the following box. o</w:t>
      </w:r>
    </w:p>
    <w:p>
      <w:pPr>
        <w:spacing w:after="0" w:line="250"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shall file a further amendment which specifically states that this registration statement shall thereafter become effective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8(a) of the Securities Act of 1933 or until the Registration Statement shall become effective on such date as the Commission, acting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said Section 8(a), may determine.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tabs>
          <w:tab w:leader="none" w:pos="3880" w:val="left"/>
          <w:tab w:leader="none" w:pos="7640" w:val="left"/>
        </w:tabs>
        <w:rPr>
          <w:sz w:val="20"/>
          <w:szCs w:val="20"/>
          <w:color w:val="auto"/>
        </w:rPr>
      </w:pPr>
      <w:r>
        <w:rPr>
          <w:rFonts w:ascii="Times New Roman" w:cs="Times New Roman" w:eastAsia="Times New Roman" w:hAnsi="Times New Roman"/>
          <w:sz w:val="18"/>
          <w:szCs w:val="18"/>
          <w:b w:val="1"/>
          <w:bCs w:val="1"/>
          <w:color w:val="C00000"/>
        </w:rPr>
        <w:t>PRELIMINARY PROSPECTUS</w:t>
      </w:r>
      <w:r>
        <w:rPr>
          <w:sz w:val="20"/>
          <w:szCs w:val="20"/>
          <w:color w:val="auto"/>
        </w:rPr>
        <w:tab/>
      </w:r>
      <w:r>
        <w:rPr>
          <w:rFonts w:ascii="Times New Roman" w:cs="Times New Roman" w:eastAsia="Times New Roman" w:hAnsi="Times New Roman"/>
          <w:sz w:val="18"/>
          <w:szCs w:val="18"/>
          <w:b w:val="1"/>
          <w:bCs w:val="1"/>
          <w:color w:val="C00000"/>
        </w:rPr>
        <w:t>SUBJECT TO COMPLETION</w:t>
      </w:r>
      <w:r>
        <w:rPr>
          <w:sz w:val="20"/>
          <w:szCs w:val="20"/>
          <w:color w:val="auto"/>
        </w:rPr>
        <w:tab/>
      </w:r>
      <w:r>
        <w:rPr>
          <w:rFonts w:ascii="Times New Roman" w:cs="Times New Roman" w:eastAsia="Times New Roman" w:hAnsi="Times New Roman"/>
          <w:sz w:val="17"/>
          <w:szCs w:val="17"/>
          <w:b w:val="1"/>
          <w:bCs w:val="1"/>
          <w:color w:val="C00000"/>
        </w:rPr>
        <w:t>DATED APRIL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1,365,000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255905</wp:posOffset>
            </wp:positionV>
            <wp:extent cx="145796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Alcobra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Alcobra Ltd. is offering its ordinary shares in an initial public offering. No public market currently exists for our ordinary shares. The estimated initial public offering price is between $10 and $12 per share.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applied to list our ordinary shares on The NASDAQ Capital Market under the symbol “ADHD”.</w:t>
      </w:r>
    </w:p>
    <w:p>
      <w:pPr>
        <w:spacing w:after="0" w:line="22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will be subject to reduced public company reporting requirements.</w:t>
      </w:r>
    </w:p>
    <w:p>
      <w:pPr>
        <w:spacing w:after="0" w:line="15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55"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880" w:type="dxa"/>
            <w:vAlign w:val="bottom"/>
          </w:tcPr>
          <w:p>
            <w:pPr>
              <w:spacing w:after="0"/>
              <w:rPr>
                <w:sz w:val="18"/>
                <w:szCs w:val="18"/>
                <w:color w:val="auto"/>
              </w:rPr>
            </w:pPr>
          </w:p>
        </w:tc>
        <w:tc>
          <w:tcPr>
            <w:tcW w:w="1440" w:type="dxa"/>
            <w:vAlign w:val="bottom"/>
            <w:tcBorders>
              <w:top w:val="single" w:sz="8" w:color="auto"/>
            </w:tcBorders>
          </w:tcPr>
          <w:p>
            <w:pPr>
              <w:jc w:val="right"/>
              <w:ind w:right="127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3320" w:type="dxa"/>
            <w:vAlign w:val="bottom"/>
            <w:gridSpan w:val="2"/>
            <w:shd w:val="clear" w:color="auto" w:fill="CCFFCC"/>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FFC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320" w:type="dxa"/>
            <w:vAlign w:val="bottom"/>
            <w:gridSpan w:val="2"/>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underwriters will receive compensation in addition to the underwriting discounts and commissions. See “Underwriting” for a description of compensation payable to the underwriters.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granted a 45-day option to the underwriters to purchase up to 204,750 additional ordinary shares solely to cover over-allotments, if any.</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to purchasers in the offering on or about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2013.</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Aegis Capital Corp</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90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 2013.</w:t>
            </w:r>
          </w:p>
        </w:tc>
      </w:tr>
      <w:tr>
        <w:trPr>
          <w:trHeight w:val="109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263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26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82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414"/>
        </w:trPr>
        <w:tc>
          <w:tcPr>
            <w:tcW w:w="8820" w:type="dxa"/>
            <w:vAlign w:val="bottom"/>
          </w:tcPr>
          <w:p>
            <w:pPr>
              <w:spacing w:after="0"/>
              <w:rPr>
                <w:sz w:val="24"/>
                <w:szCs w:val="24"/>
                <w:color w:val="auto"/>
              </w:rPr>
            </w:pPr>
          </w:p>
        </w:tc>
        <w:tc>
          <w:tcPr>
            <w:tcW w:w="2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Selected Financial Data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Principal Shareholders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Shares Eligible for Future Sale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of Civil Liabilities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Additional Information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Index of Financial Statements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342900</wp:posOffset>
            </wp:positionV>
            <wp:extent cx="2701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Until and including _________, 25 days after the date of this prospectus, all dealers that buy, sell or trade our ordinary shares, whether or not</w:t>
      </w:r>
    </w:p>
    <w:p>
      <w:pPr>
        <w:spacing w:after="0" w:line="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0" w:lineRule="exact"/>
        <w:rPr>
          <w:sz w:val="20"/>
          <w:szCs w:val="20"/>
          <w:color w:val="auto"/>
        </w:rPr>
      </w:pPr>
    </w:p>
    <w:p>
      <w:pPr>
        <w:ind w:right="220" w:firstLine="401"/>
        <w:spacing w:after="0" w:line="266" w:lineRule="auto"/>
        <w:rPr>
          <w:sz w:val="20"/>
          <w:szCs w:val="20"/>
          <w:color w:val="auto"/>
        </w:rPr>
      </w:pPr>
      <w:r>
        <w:rPr>
          <w:rFonts w:ascii="Times New Roman" w:cs="Times New Roman" w:eastAsia="Times New Roman" w:hAnsi="Times New Roman"/>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191770</wp:posOffset>
            </wp:positionV>
            <wp:extent cx="2701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this prospectus, “we,” “us,” “our,” the “Company” and “Alcobra” refer to Alcobra Ltd.</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reporting currency and functional currency is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 w:right="100" w:firstLine="396"/>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20" w:firstLine="389"/>
        <w:spacing w:after="0" w:line="254" w:lineRule="auto"/>
        <w:rPr>
          <w:sz w:val="20"/>
          <w:szCs w:val="20"/>
          <w:color w:val="auto"/>
        </w:rPr>
      </w:pPr>
      <w:r>
        <w:rPr>
          <w:rFonts w:ascii="Times New Roman" w:cs="Times New Roman" w:eastAsia="Times New Roman" w:hAnsi="Times New Roman"/>
          <w:sz w:val="18"/>
          <w:szCs w:val="18"/>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9" w:lineRule="exact"/>
        <w:rPr>
          <w:sz w:val="20"/>
          <w:szCs w:val="20"/>
          <w:color w:val="auto"/>
        </w:rPr>
      </w:pPr>
    </w:p>
    <w:p>
      <w:pPr>
        <w:ind w:left="20" w:firstLine="389"/>
        <w:spacing w:after="0" w:line="254" w:lineRule="auto"/>
        <w:rPr>
          <w:sz w:val="20"/>
          <w:szCs w:val="20"/>
          <w:color w:val="auto"/>
        </w:rPr>
      </w:pPr>
      <w:r>
        <w:rPr>
          <w:rFonts w:ascii="Times New Roman" w:cs="Times New Roman" w:eastAsia="Times New Roman" w:hAnsi="Times New Roman"/>
          <w:sz w:val="18"/>
          <w:szCs w:val="18"/>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89" w:lineRule="exact"/>
        <w:rPr>
          <w:sz w:val="20"/>
          <w:szCs w:val="20"/>
          <w:color w:val="auto"/>
        </w:rPr>
      </w:pPr>
    </w:p>
    <w:p>
      <w:pPr>
        <w:ind w:left="20" w:right="300" w:firstLine="389"/>
        <w:spacing w:after="0" w:line="261" w:lineRule="auto"/>
        <w:rPr>
          <w:sz w:val="20"/>
          <w:szCs w:val="20"/>
          <w:color w:val="auto"/>
        </w:rPr>
      </w:pPr>
      <w:r>
        <w:rPr>
          <w:rFonts w:ascii="Times New Roman" w:cs="Times New Roman" w:eastAsia="Times New Roman" w:hAnsi="Times New Roman"/>
          <w:sz w:val="18"/>
          <w:szCs w:val="18"/>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80" w:lineRule="exact"/>
        <w:rPr>
          <w:sz w:val="20"/>
          <w:szCs w:val="20"/>
          <w:color w:val="auto"/>
        </w:rPr>
      </w:pPr>
    </w:p>
    <w:p>
      <w:pPr>
        <w:ind w:left="20" w:right="60" w:firstLine="389"/>
        <w:spacing w:after="0" w:line="253" w:lineRule="auto"/>
        <w:rPr>
          <w:sz w:val="20"/>
          <w:szCs w:val="20"/>
          <w:color w:val="auto"/>
        </w:rPr>
      </w:pPr>
      <w:r>
        <w:rPr>
          <w:rFonts w:ascii="Times New Roman" w:cs="Times New Roman" w:eastAsia="Times New Roman" w:hAnsi="Times New Roman"/>
          <w:sz w:val="18"/>
          <w:szCs w:val="18"/>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91" w:lineRule="exact"/>
        <w:rPr>
          <w:sz w:val="20"/>
          <w:szCs w:val="20"/>
          <w:color w:val="auto"/>
        </w:rPr>
      </w:pPr>
    </w:p>
    <w:p>
      <w:pPr>
        <w:ind w:left="20" w:right="20" w:firstLine="389"/>
        <w:spacing w:after="0" w:line="256" w:lineRule="auto"/>
        <w:rPr>
          <w:sz w:val="20"/>
          <w:szCs w:val="20"/>
          <w:color w:val="auto"/>
        </w:rPr>
      </w:pPr>
      <w:r>
        <w:rPr>
          <w:rFonts w:ascii="Times New Roman" w:cs="Times New Roman" w:eastAsia="Times New Roman" w:hAnsi="Times New Roman"/>
          <w:sz w:val="18"/>
          <w:szCs w:val="18"/>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20" w:right="20" w:firstLine="376"/>
        <w:spacing w:after="0" w:line="256" w:lineRule="auto"/>
        <w:rPr>
          <w:sz w:val="20"/>
          <w:szCs w:val="20"/>
          <w:color w:val="auto"/>
        </w:rPr>
      </w:pPr>
      <w:r>
        <w:rPr>
          <w:rFonts w:ascii="Times New Roman" w:cs="Times New Roman" w:eastAsia="Times New Roman" w:hAnsi="Times New Roman"/>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900" w:right="239" w:bottom="1440" w:gutter="0" w:footer="0" w:header="0"/>
        </w:sectPr>
      </w:pPr>
    </w:p>
    <w:bookmarkStart w:id="5" w:name="page6"/>
    <w:bookmarkEnd w:id="5"/>
    <w:p>
      <w:pPr>
        <w:ind w:left="380"/>
        <w:spacing w:after="0"/>
        <w:rPr>
          <w:sz w:val="20"/>
          <w:szCs w:val="20"/>
          <w:color w:val="auto"/>
        </w:rPr>
      </w:pPr>
      <w:r>
        <w:rPr>
          <w:rFonts w:ascii="Times New Roman" w:cs="Times New Roman" w:eastAsia="Times New Roman" w:hAnsi="Times New Roman"/>
          <w:sz w:val="18"/>
          <w:szCs w:val="18"/>
          <w:color w:val="auto"/>
        </w:rPr>
        <w:t>To achieve these objectives, we plan to:</w:t>
      </w:r>
    </w:p>
    <w:p>
      <w:pPr>
        <w:spacing w:after="0" w:line="225" w:lineRule="exact"/>
        <w:rPr>
          <w:sz w:val="20"/>
          <w:szCs w:val="20"/>
          <w:color w:val="auto"/>
        </w:rPr>
      </w:pPr>
    </w:p>
    <w:p>
      <w:pPr>
        <w:ind w:left="660" w:right="280" w:hanging="328"/>
        <w:spacing w:after="0" w:line="282" w:lineRule="auto"/>
        <w:tabs>
          <w:tab w:leader="none" w:pos="660" w:val="left"/>
        </w:tabs>
        <w:numPr>
          <w:ilvl w:val="0"/>
          <w:numId w:val="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61" w:lineRule="exact"/>
        <w:rPr>
          <w:rFonts w:ascii="Times New Roman" w:cs="Times New Roman" w:eastAsia="Times New Roman" w:hAnsi="Times New Roman"/>
          <w:sz w:val="18"/>
          <w:szCs w:val="18"/>
          <w:color w:val="A6A6A6"/>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61" w:lineRule="exact"/>
        <w:rPr>
          <w:rFonts w:ascii="Times New Roman" w:cs="Times New Roman" w:eastAsia="Times New Roman" w:hAnsi="Times New Roman"/>
          <w:sz w:val="18"/>
          <w:szCs w:val="18"/>
          <w:color w:val="A6A6A6"/>
        </w:rPr>
      </w:pPr>
    </w:p>
    <w:p>
      <w:pPr>
        <w:ind w:left="660" w:right="440" w:hanging="328"/>
        <w:spacing w:after="0" w:line="282" w:lineRule="auto"/>
        <w:tabs>
          <w:tab w:leader="none" w:pos="660" w:val="left"/>
        </w:tabs>
        <w:numPr>
          <w:ilvl w:val="0"/>
          <w:numId w:val="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Subject to receiving the necessary regulatory approvals, initiate and complete clinical trials in Japan for both adult and pediatric ADHD, and, if successful, file for marketing approval of such uses in that country.</w:t>
      </w:r>
    </w:p>
    <w:p>
      <w:pPr>
        <w:spacing w:after="0" w:line="161" w:lineRule="exact"/>
        <w:rPr>
          <w:rFonts w:ascii="Times New Roman" w:cs="Times New Roman" w:eastAsia="Times New Roman" w:hAnsi="Times New Roman"/>
          <w:sz w:val="18"/>
          <w:szCs w:val="18"/>
          <w:color w:val="A6A6A6"/>
        </w:rPr>
      </w:pPr>
    </w:p>
    <w:p>
      <w:pPr>
        <w:ind w:left="660" w:right="620" w:hanging="328"/>
        <w:spacing w:after="0" w:line="282" w:lineRule="auto"/>
        <w:tabs>
          <w:tab w:leader="none" w:pos="660" w:val="left"/>
        </w:tabs>
        <w:numPr>
          <w:ilvl w:val="0"/>
          <w:numId w:val="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After receipt of marketing approval, prepare to commercialize MG01CI for the treatment of patients with ADHD by establishing distribution capabilities primarily in conjunction with large pharmaceutical companies.</w:t>
      </w:r>
    </w:p>
    <w:p>
      <w:pPr>
        <w:spacing w:after="0" w:line="161" w:lineRule="exact"/>
        <w:rPr>
          <w:rFonts w:ascii="Times New Roman" w:cs="Times New Roman" w:eastAsia="Times New Roman" w:hAnsi="Times New Roman"/>
          <w:sz w:val="18"/>
          <w:szCs w:val="18"/>
          <w:color w:val="A6A6A6"/>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Conduct clinical investigations into the possible use of MG01CI to treat other cognitive disorders and impairments such as mood disorders, memory impairment, autism and shift work/jet lag.</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Conduct development of additional new molecules in our pipeline that are protected by patents, or in-license products in similar therapeutic areas.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We are an Israeli corporation based in Tel Aviv and were incorporated in 2008. Our principal executive offices are located at 65 Rothschild Blvd., Tel 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5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business is subject to numerous risks, as more fully described in the section entitled “Risk Factors” immediately following this prospectus summary.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these risks before you invest in our ordinary shares. In particular, our risks include, but are not limited to, the following:</w:t>
      </w:r>
    </w:p>
    <w:p>
      <w:pPr>
        <w:spacing w:after="0" w:line="207" w:lineRule="exact"/>
        <w:rPr>
          <w:sz w:val="20"/>
          <w:szCs w:val="20"/>
          <w:color w:val="auto"/>
        </w:rPr>
      </w:pPr>
    </w:p>
    <w:p>
      <w:pPr>
        <w:ind w:left="660" w:right="240" w:hanging="328"/>
        <w:spacing w:after="0" w:line="256" w:lineRule="auto"/>
        <w:tabs>
          <w:tab w:leader="none" w:pos="660" w:val="left"/>
        </w:tabs>
        <w:numPr>
          <w:ilvl w:val="0"/>
          <w:numId w:val="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87" w:lineRule="exact"/>
        <w:rPr>
          <w:rFonts w:ascii="Times New Roman" w:cs="Times New Roman" w:eastAsia="Times New Roman" w:hAnsi="Times New Roman"/>
          <w:sz w:val="18"/>
          <w:szCs w:val="18"/>
          <w:color w:val="A6A6A6"/>
        </w:rPr>
      </w:pPr>
    </w:p>
    <w:p>
      <w:pPr>
        <w:ind w:left="660" w:right="260" w:hanging="328"/>
        <w:spacing w:after="0" w:line="282" w:lineRule="auto"/>
        <w:tabs>
          <w:tab w:leader="none" w:pos="660" w:val="left"/>
        </w:tabs>
        <w:numPr>
          <w:ilvl w:val="0"/>
          <w:numId w:val="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data from future clinical trials may not satisfy the FDA, or the FDA may require additional time or studies to assess the safety and efficacy of MG01CI.</w:t>
      </w:r>
    </w:p>
    <w:p>
      <w:pPr>
        <w:spacing w:after="0" w:line="161" w:lineRule="exact"/>
        <w:rPr>
          <w:rFonts w:ascii="Times New Roman" w:cs="Times New Roman" w:eastAsia="Times New Roman" w:hAnsi="Times New Roman"/>
          <w:sz w:val="18"/>
          <w:szCs w:val="18"/>
          <w:color w:val="A6A6A6"/>
        </w:rPr>
      </w:pPr>
    </w:p>
    <w:p>
      <w:pPr>
        <w:ind w:left="660" w:right="40" w:hanging="328"/>
        <w:spacing w:after="0" w:line="261" w:lineRule="auto"/>
        <w:tabs>
          <w:tab w:leader="none" w:pos="660" w:val="left"/>
        </w:tabs>
        <w:numPr>
          <w:ilvl w:val="0"/>
          <w:numId w:val="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80" w:lineRule="exact"/>
        <w:rPr>
          <w:rFonts w:ascii="Times New Roman" w:cs="Times New Roman" w:eastAsia="Times New Roman" w:hAnsi="Times New Roman"/>
          <w:sz w:val="18"/>
          <w:szCs w:val="18"/>
          <w:color w:val="A6A6A6"/>
        </w:rPr>
      </w:pPr>
    </w:p>
    <w:p>
      <w:pPr>
        <w:ind w:left="660" w:right="40" w:hanging="328"/>
        <w:spacing w:after="0" w:line="282" w:lineRule="auto"/>
        <w:tabs>
          <w:tab w:leader="none" w:pos="660" w:val="left"/>
        </w:tabs>
        <w:numPr>
          <w:ilvl w:val="0"/>
          <w:numId w:val="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have no sources of revenue and will need to raise substantial additional capital to successfully commercialize MG01CI, and such capital may not be available to us or available only on unfavorable terms.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do not have any issued patents relating to our MG01CI technology.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0" w:lineRule="exact"/>
        <w:rPr>
          <w:rFonts w:ascii="Times New Roman" w:cs="Times New Roman" w:eastAsia="Times New Roman" w:hAnsi="Times New Roman"/>
          <w:sz w:val="18"/>
          <w:szCs w:val="18"/>
          <w:color w:val="A6A6A6"/>
        </w:rPr>
      </w:pPr>
    </w:p>
    <w:p>
      <w:pPr>
        <w:ind w:left="660" w:right="240" w:hanging="328"/>
        <w:spacing w:after="0" w:line="282" w:lineRule="auto"/>
        <w:tabs>
          <w:tab w:leader="none" w:pos="660" w:val="left"/>
        </w:tabs>
        <w:numPr>
          <w:ilvl w:val="0"/>
          <w:numId w:val="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As a public company following the conclusion of this offering, we will need to comply with extensive additional governmental regulations, which will be expensive and which will require significant management attention.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offered by us</w:t>
            </w: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1,365,000 shares</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to be outstanding after this offering</w:t>
            </w: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9,248,300 shares</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option</w:t>
            </w: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underwriters have an option for a period of 45 days to purchase up to 204,750 additional</w:t>
            </w:r>
          </w:p>
        </w:tc>
      </w:tr>
      <w:tr>
        <w:trPr>
          <w:trHeight w:val="234"/>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ordinary shares to cover over-allotments, if any.</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We expect to receive approximately $13 million in net proceeds from the sale of 1,365,000</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ordinary shares offered by us in this offering (approximately $15.1 million if the underwriters</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exercise their over-allotment option in full), after deducting estimated underwriting discounts and</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assuming the shares are offered at</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$11.00 per share, the midpoint of the estimated price range set forth on the cover page of this</w:t>
            </w:r>
          </w:p>
        </w:tc>
      </w:tr>
      <w:tr>
        <w:trPr>
          <w:trHeight w:val="234"/>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prospectus. We currently expect to use the net proceeds from this offering for:</w:t>
            </w:r>
          </w:p>
        </w:tc>
      </w:tr>
      <w:tr>
        <w:trPr>
          <w:trHeight w:val="414"/>
        </w:trPr>
        <w:tc>
          <w:tcPr>
            <w:tcW w:w="404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6A6A6"/>
              </w:rPr>
              <w:t>·</w:t>
            </w: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completing at least one advanced clinical trial of MG01CI for adult ADHD, estimated at</w:t>
            </w:r>
          </w:p>
        </w:tc>
      </w:tr>
      <w:tr>
        <w:trPr>
          <w:trHeight w:val="234"/>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$6,000,000;</w:t>
            </w:r>
          </w:p>
        </w:tc>
      </w:tr>
      <w:tr>
        <w:trPr>
          <w:trHeight w:val="414"/>
        </w:trPr>
        <w:tc>
          <w:tcPr>
            <w:tcW w:w="404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6A6A6"/>
              </w:rPr>
              <w:t>·</w:t>
            </w: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preparing for our proposed registration studies in adults and Phase I/II clinical studies in</w:t>
            </w:r>
          </w:p>
        </w:tc>
      </w:tr>
      <w:tr>
        <w:trPr>
          <w:trHeight w:val="216"/>
        </w:trPr>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children for MG01CI, including engaging the FDA in discussions related to protocols for</w:t>
            </w:r>
          </w:p>
        </w:tc>
      </w:tr>
      <w:tr>
        <w:trPr>
          <w:trHeight w:val="234"/>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trials, estimated at $1,000,000 to $3,000,000;</w:t>
            </w:r>
          </w:p>
        </w:tc>
      </w:tr>
      <w:tr>
        <w:trPr>
          <w:trHeight w:val="414"/>
        </w:trPr>
        <w:tc>
          <w:tcPr>
            <w:tcW w:w="404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8"/>
                <w:szCs w:val="18"/>
                <w:color w:val="A6A6A6"/>
              </w:rPr>
              <w:t>·</w:t>
            </w: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evaluating MG01CI in Phase II clinical trials of additional disorders of cognitive</w:t>
            </w:r>
          </w:p>
        </w:tc>
      </w:tr>
      <w:tr>
        <w:trPr>
          <w:trHeight w:val="234"/>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function estimated at $1,000,000 to $2,000,000; and</w:t>
            </w:r>
          </w:p>
        </w:tc>
      </w:tr>
      <w:tr>
        <w:trPr>
          <w:trHeight w:val="432"/>
        </w:trPr>
        <w:tc>
          <w:tcPr>
            <w:tcW w:w="404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6A6A6"/>
              </w:rPr>
              <w:t>·</w:t>
            </w: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remainder for working capital and general corporate purposes.</w:t>
            </w:r>
          </w:p>
        </w:tc>
      </w:tr>
      <w:tr>
        <w:trPr>
          <w:trHeight w:val="6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You should read the “Risk Factors” section starting on page 7 of this prospectus for a discussion</w:t>
            </w:r>
          </w:p>
        </w:tc>
      </w:tr>
      <w:tr>
        <w:trPr>
          <w:trHeight w:val="234"/>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factors to consider carefully before deciding to invest in ordinary shares.</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Capital Market Symbol</w:t>
            </w:r>
          </w:p>
        </w:tc>
        <w:tc>
          <w:tcPr>
            <w:tcW w:w="7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“ADHD"</w:t>
            </w:r>
          </w:p>
        </w:tc>
      </w:tr>
    </w:tbl>
    <w:p>
      <w:pPr>
        <w:spacing w:after="0" w:line="198" w:lineRule="exact"/>
        <w:rPr>
          <w:sz w:val="20"/>
          <w:szCs w:val="20"/>
          <w:color w:val="auto"/>
        </w:rPr>
      </w:pPr>
    </w:p>
    <w:p>
      <w:pPr>
        <w:jc w:val="both"/>
        <w:ind w:right="380" w:firstLine="401"/>
        <w:spacing w:after="0" w:line="266" w:lineRule="auto"/>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 7,794,256 ordinary shares outstanding as of April1, 2013 (giving prospective effect to the issuance of bonus shares equivalent to a stock split described below) and includes 89,044 shares resulting from the mandatory conversion of our outstanding convertible notes upon closing of this offering. This number excludes:</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764,444 shares issuable upon the exercise of share options outstanding as of April 1, 2013 under our equity incentive plan;</w:t>
      </w:r>
    </w:p>
    <w:p>
      <w:pPr>
        <w:spacing w:after="0" w:line="225" w:lineRule="exact"/>
        <w:rPr>
          <w:rFonts w:ascii="Times New Roman" w:cs="Times New Roman" w:eastAsia="Times New Roman" w:hAnsi="Times New Roman"/>
          <w:sz w:val="18"/>
          <w:szCs w:val="18"/>
          <w:color w:val="A6A6A6"/>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58,700 shares issuable upon the exercise of warrants outstanding as of April 1, 2013 with a nominal exercise price, which warrants are expected to remain outstanding upon completion of this offering;</w:t>
      </w:r>
    </w:p>
    <w:p>
      <w:pPr>
        <w:spacing w:after="0" w:line="161" w:lineRule="exact"/>
        <w:rPr>
          <w:rFonts w:ascii="Times New Roman" w:cs="Times New Roman" w:eastAsia="Times New Roman" w:hAnsi="Times New Roman"/>
          <w:sz w:val="18"/>
          <w:szCs w:val="18"/>
          <w:color w:val="A6A6A6"/>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129,257 shares issuable upon the exercise of warrants outstanding as of April 1, 2013 having a weighted average exercise price of $2.73 per share, which shall expire immediately prior to completion of this offering; and</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7,009 shares reserved as of April 1, 2013 for future grants under our equity incentive plan.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assumes or gives effect to:</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filing of our amended and restated articles of association, which will occur immediately prior to the completion of this offering;</w:t>
      </w:r>
    </w:p>
    <w:p>
      <w:pPr>
        <w:spacing w:after="0" w:line="225" w:lineRule="exact"/>
        <w:rPr>
          <w:rFonts w:ascii="Times New Roman" w:cs="Times New Roman" w:eastAsia="Times New Roman" w:hAnsi="Times New Roman"/>
          <w:sz w:val="18"/>
          <w:szCs w:val="18"/>
          <w:color w:val="A6A6A6"/>
        </w:rPr>
      </w:pPr>
    </w:p>
    <w:p>
      <w:pPr>
        <w:ind w:left="660" w:right="60" w:hanging="328"/>
        <w:spacing w:after="0" w:line="266" w:lineRule="auto"/>
        <w:tabs>
          <w:tab w:leader="none" w:pos="660" w:val="left"/>
        </w:tabs>
        <w:numPr>
          <w:ilvl w:val="0"/>
          <w:numId w:val="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issuance of bonus shares under Israeli law to all of our shareholders on a basis of 4.87 bonus shares for each ordinary share outstanding (equivalent to a 5.87-for-1 stock split) immediately prior to the completion of this offering and the customary adjustments to our outstanding options and warrants; and</w:t>
      </w:r>
    </w:p>
    <w:p>
      <w:pPr>
        <w:spacing w:after="0" w:line="176"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no exercise of the underwriters’ over-allotment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57"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right="60" w:firstLine="396"/>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amounts)</w:t>
            </w:r>
          </w:p>
        </w:tc>
        <w:tc>
          <w:tcPr>
            <w:tcW w:w="240" w:type="dxa"/>
            <w:vAlign w:val="bottom"/>
          </w:tcPr>
          <w:p>
            <w:pPr>
              <w:spacing w:after="0"/>
              <w:rPr>
                <w:sz w:val="20"/>
                <w:szCs w:val="20"/>
                <w:color w:val="auto"/>
              </w:rPr>
            </w:pPr>
          </w:p>
        </w:tc>
        <w:tc>
          <w:tcPr>
            <w:tcW w:w="27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818</w:t>
            </w:r>
          </w:p>
        </w:tc>
        <w:tc>
          <w:tcPr>
            <w:tcW w:w="44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683</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expense, net</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Loss attributable to holders of ordinary shares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1,579</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computing basic and diluted net loss per share (1)</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7,791,932</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7,843,388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w:t>
            </w:r>
          </w:p>
        </w:tc>
        <w:tc>
          <w:tcPr>
            <w:tcW w:w="360" w:type="dxa"/>
            <w:vAlign w:val="bottom"/>
          </w:tcPr>
          <w:p>
            <w:pPr>
              <w:spacing w:after="0"/>
              <w:rPr>
                <w:sz w:val="21"/>
                <w:szCs w:val="21"/>
                <w:color w:val="auto"/>
              </w:rPr>
            </w:pPr>
          </w:p>
        </w:tc>
        <w:tc>
          <w:tcPr>
            <w:tcW w:w="34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As 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8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360" w:type="dxa"/>
            <w:vAlign w:val="bottom"/>
            <w:shd w:val="clear" w:color="auto" w:fill="CCFFC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 (deficiency)</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72"/>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as adjusted column in the balance sheet data above gives effect to the sale of 1,365,000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416"/>
        <w:spacing w:after="0" w:line="259" w:lineRule="auto"/>
        <w:rPr>
          <w:sz w:val="20"/>
          <w:szCs w:val="20"/>
          <w:color w:val="auto"/>
        </w:rPr>
      </w:pPr>
      <w:r>
        <w:rPr>
          <w:rFonts w:ascii="Times New Roman" w:cs="Times New Roman" w:eastAsia="Times New Roman" w:hAnsi="Times New Roman"/>
          <w:sz w:val="18"/>
          <w:szCs w:val="18"/>
          <w:i w:val="1"/>
          <w:iCs w:val="1"/>
          <w:color w:val="auto"/>
        </w:rPr>
        <w:t>An investment in our ordinary shares involves a high degree of risk. We operate in a dynamic and rapidly changing industry that involves numerous risks and uncertainties. You should consider carefully the risks and uncertanties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59"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0" w:lineRule="exact"/>
        <w:rPr>
          <w:sz w:val="20"/>
          <w:szCs w:val="20"/>
          <w:color w:val="auto"/>
        </w:rPr>
      </w:pPr>
    </w:p>
    <w:p>
      <w:pPr>
        <w:ind w:right="120" w:firstLine="416"/>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89"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9"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commencement and completion of clinical trials can be delayed or prevented for a number of reasons.</w:t>
      </w:r>
    </w:p>
    <w:p>
      <w:pPr>
        <w:spacing w:after="0" w:line="229"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76" w:lineRule="exact"/>
        <w:rPr>
          <w:sz w:val="20"/>
          <w:szCs w:val="20"/>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spacing w:after="0" w:line="161" w:lineRule="exact"/>
        <w:rPr>
          <w:rFonts w:ascii="Times New Roman" w:cs="Times New Roman" w:eastAsia="Times New Roman" w:hAnsi="Times New Roman"/>
          <w:sz w:val="18"/>
          <w:szCs w:val="18"/>
          <w:color w:val="A6A6A6"/>
        </w:rPr>
      </w:pPr>
    </w:p>
    <w:p>
      <w:pPr>
        <w:ind w:left="660" w:right="260" w:hanging="328"/>
        <w:spacing w:after="0" w:line="282" w:lineRule="auto"/>
        <w:tabs>
          <w:tab w:leader="none" w:pos="660" w:val="left"/>
        </w:tabs>
        <w:numPr>
          <w:ilvl w:val="0"/>
          <w:numId w:val="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ind w:left="660" w:hanging="328"/>
        <w:spacing w:after="0"/>
        <w:tabs>
          <w:tab w:leader="none" w:pos="660" w:val="left"/>
        </w:tabs>
        <w:numPr>
          <w:ilvl w:val="0"/>
          <w:numId w:val="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insufficient or inadequate supply or quality of a product candidate or other materials necessary to conduct our clinical trials;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difficulties obtaining institutional review board, or IRB, approval to conduct a clinical trial at a prospective site; and</w:t>
      </w:r>
    </w:p>
    <w:p>
      <w:pPr>
        <w:spacing w:after="0" w:line="225" w:lineRule="exact"/>
        <w:rPr>
          <w:rFonts w:ascii="Times New Roman" w:cs="Times New Roman" w:eastAsia="Times New Roman" w:hAnsi="Times New Roman"/>
          <w:sz w:val="18"/>
          <w:szCs w:val="18"/>
          <w:color w:val="A6A6A6"/>
        </w:rPr>
      </w:pPr>
    </w:p>
    <w:p>
      <w:pPr>
        <w:ind w:left="660" w:right="160" w:hanging="328"/>
        <w:spacing w:after="0" w:line="266" w:lineRule="auto"/>
        <w:tabs>
          <w:tab w:leader="none" w:pos="660" w:val="left"/>
        </w:tabs>
        <w:numPr>
          <w:ilvl w:val="0"/>
          <w:numId w:val="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76" w:lineRule="exact"/>
        <w:rPr>
          <w:sz w:val="20"/>
          <w:szCs w:val="20"/>
          <w:color w:val="auto"/>
        </w:rPr>
      </w:pPr>
    </w:p>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inspection of the clinical trial operations or trial sites by the FDA or other regulatory authorities;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unforeseen safety issues or lack of effectiveness;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lack of adequate funding to continue the clinical trial.</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5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approval of an NDA even after clinical trials that are believed to be successful is an uncertain process.</w:t>
      </w:r>
    </w:p>
    <w:p>
      <w:pPr>
        <w:spacing w:after="0" w:line="229" w:lineRule="exact"/>
        <w:rPr>
          <w:sz w:val="20"/>
          <w:szCs w:val="20"/>
          <w:color w:val="auto"/>
        </w:rPr>
      </w:pPr>
    </w:p>
    <w:p>
      <w:pPr>
        <w:ind w:right="200" w:firstLine="415"/>
        <w:spacing w:after="0" w:line="266" w:lineRule="auto"/>
        <w:rPr>
          <w:sz w:val="20"/>
          <w:szCs w:val="20"/>
          <w:color w:val="auto"/>
        </w:rPr>
      </w:pPr>
      <w:r>
        <w:rPr>
          <w:rFonts w:ascii="Times New Roman" w:cs="Times New Roman" w:eastAsia="Times New Roman" w:hAnsi="Times New Roman"/>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may not be able to demonstrate to the satisfaction of the FDA that MG01CI is safe and effective for any indication;</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for approval;</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disagree with the number, design, size, conduct or implementation of our clinical trials;</w:t>
      </w:r>
    </w:p>
    <w:p>
      <w:pPr>
        <w:spacing w:after="0" w:line="225" w:lineRule="exact"/>
        <w:rPr>
          <w:rFonts w:ascii="Times New Roman" w:cs="Times New Roman" w:eastAsia="Times New Roman" w:hAnsi="Times New Roman"/>
          <w:sz w:val="18"/>
          <w:szCs w:val="18"/>
          <w:color w:val="A6A6A6"/>
        </w:rPr>
      </w:pPr>
    </w:p>
    <w:p>
      <w:pPr>
        <w:ind w:left="660" w:right="680" w:hanging="328"/>
        <w:spacing w:after="0" w:line="282" w:lineRule="auto"/>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not find the data from preclinical studies and clinical trials sufficient to demonstrate that MG01CI’s clinical and other benefits outweigh its safety risks;</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not accept data generated at our clinical trial sites;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data collected from preclinical studies and clinical trials of MG01CI may not be sufficient to support the submission of an NDA;</w:t>
      </w:r>
    </w:p>
    <w:p>
      <w:pPr>
        <w:spacing w:after="0" w:line="225" w:lineRule="exact"/>
        <w:rPr>
          <w:rFonts w:ascii="Times New Roman" w:cs="Times New Roman" w:eastAsia="Times New Roman" w:hAnsi="Times New Roman"/>
          <w:sz w:val="18"/>
          <w:szCs w:val="18"/>
          <w:color w:val="A6A6A6"/>
        </w:rPr>
      </w:pPr>
    </w:p>
    <w:p>
      <w:pPr>
        <w:ind w:left="660" w:right="320" w:hanging="328"/>
        <w:spacing w:after="0" w:line="266" w:lineRule="auto"/>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76"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require development of a risk evaluation and mitigation strategy as a condition of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identify deficiencies in the manufacturing processes or facilities of third party manufacturers with which we enter into agreements for clinical and commercial supplies;</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change its approval policies or adopt new regulations; and</w:t>
      </w:r>
    </w:p>
    <w:p>
      <w:pPr>
        <w:spacing w:after="0" w:line="225" w:lineRule="exact"/>
        <w:rPr>
          <w:rFonts w:ascii="Times New Roman" w:cs="Times New Roman" w:eastAsia="Times New Roman" w:hAnsi="Times New Roman"/>
          <w:sz w:val="18"/>
          <w:szCs w:val="18"/>
          <w:color w:val="A6A6A6"/>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FDA may require simultaneous approval for both adults and children delaying needed approvals, or we may have successful clinical trial results for adults but not children, or vice versa.</w:t>
      </w:r>
    </w:p>
    <w:p>
      <w:pPr>
        <w:spacing w:after="0" w:line="162" w:lineRule="exact"/>
        <w:rPr>
          <w:sz w:val="20"/>
          <w:szCs w:val="20"/>
          <w:color w:val="auto"/>
        </w:rPr>
      </w:pPr>
    </w:p>
    <w:p>
      <w:pPr>
        <w:ind w:right="80" w:firstLine="288"/>
        <w:spacing w:after="0" w:line="255" w:lineRule="auto"/>
        <w:rPr>
          <w:sz w:val="20"/>
          <w:szCs w:val="20"/>
          <w:color w:val="auto"/>
        </w:rPr>
      </w:pPr>
      <w:r>
        <w:rPr>
          <w:rFonts w:ascii="Times New Roman" w:cs="Times New Roman" w:eastAsia="Times New Roman" w:hAnsi="Times New Roman"/>
          <w:sz w:val="18"/>
          <w:szCs w:val="18"/>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85" w:lineRule="exact"/>
        <w:rPr>
          <w:sz w:val="20"/>
          <w:szCs w:val="20"/>
          <w:color w:val="auto"/>
        </w:rPr>
      </w:pPr>
    </w:p>
    <w:p>
      <w:pPr>
        <w:jc w:val="both"/>
        <w:ind w:right="120" w:firstLine="416"/>
        <w:spacing w:after="0" w:line="266" w:lineRule="auto"/>
        <w:rPr>
          <w:sz w:val="20"/>
          <w:szCs w:val="20"/>
          <w:color w:val="auto"/>
        </w:rPr>
      </w:pPr>
      <w:r>
        <w:rPr>
          <w:rFonts w:ascii="Times New Roman" w:cs="Times New Roman" w:eastAsia="Times New Roman" w:hAnsi="Times New Roman"/>
          <w:sz w:val="18"/>
          <w:szCs w:val="18"/>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MG01CI may produce undesirable side effects after approval of an NDA.</w:t>
      </w:r>
    </w:p>
    <w:p>
      <w:pPr>
        <w:spacing w:after="0" w:line="229"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regulatory authorities may suspend or withdraw their approval of the product;</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regulatory authorities may require the addition of labeling statements, such as warnings or contraindications or distribution and use restrictions;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regulatory authorities may require us to issue specific communications to healthcare professionals, such as “Dear Doctor” letters;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regulatory authorities may issue negative publicity regarding the affected product, including safety communications;</w:t>
      </w:r>
    </w:p>
    <w:p>
      <w:pPr>
        <w:spacing w:after="0" w:line="225" w:lineRule="exact"/>
        <w:rPr>
          <w:rFonts w:ascii="Times New Roman" w:cs="Times New Roman" w:eastAsia="Times New Roman" w:hAnsi="Times New Roman"/>
          <w:sz w:val="18"/>
          <w:szCs w:val="18"/>
          <w:color w:val="A6A6A6"/>
        </w:rPr>
      </w:pPr>
    </w:p>
    <w:p>
      <w:pPr>
        <w:ind w:left="660" w:right="120" w:hanging="328"/>
        <w:spacing w:after="0" w:line="282" w:lineRule="auto"/>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may be required to change the way the product is administered, conduct additional preclinical studies or clinical trials or restrict the distribution or use of the product;</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300" w:firstLine="35"/>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59"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59" w:lineRule="exact"/>
        <w:rPr>
          <w:sz w:val="20"/>
          <w:szCs w:val="20"/>
          <w:color w:val="auto"/>
        </w:rPr>
      </w:pPr>
    </w:p>
    <w:p>
      <w:pPr>
        <w:ind w:firstLine="416"/>
        <w:spacing w:after="0" w:line="289" w:lineRule="auto"/>
        <w:rPr>
          <w:sz w:val="20"/>
          <w:szCs w:val="20"/>
          <w:color w:val="auto"/>
        </w:rPr>
      </w:pPr>
      <w:r>
        <w:rPr>
          <w:rFonts w:ascii="Times New Roman" w:cs="Times New Roman" w:eastAsia="Times New Roman" w:hAnsi="Times New Roman"/>
          <w:sz w:val="17"/>
          <w:szCs w:val="17"/>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5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75"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468" w:gutter="0" w:footer="0" w:header="0"/>
        </w:sectPr>
      </w:pPr>
    </w:p>
    <w:bookmarkStart w:id="11" w:name="page12"/>
    <w:bookmarkEnd w:id="11"/>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59"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76"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4"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85"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5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93"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If we, our drug products or the manufacturing facilities for our drug products fail to comply with applicable regulatory requirements, a regulatory agency may: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2" w:name="page13"/>
    <w:bookmarkEnd w:id="12"/>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issue warning letters or untitled letters;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suspend or withdraw marketing approval;</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refuse to approve pending applications or supplements to applications;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suspend or impose restrictions on operations, including costly new manufacturing requirements;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seize or detain products, refuse to permit the import or export of products or request that we initiate a product recall; or</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1" w:lineRule="exact"/>
        <w:rPr>
          <w:sz w:val="20"/>
          <w:szCs w:val="20"/>
          <w:color w:val="auto"/>
        </w:rPr>
      </w:pPr>
    </w:p>
    <w:p>
      <w:pPr>
        <w:ind w:right="1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59" w:lineRule="exact"/>
        <w:rPr>
          <w:sz w:val="20"/>
          <w:szCs w:val="20"/>
          <w:color w:val="auto"/>
        </w:rPr>
      </w:pPr>
    </w:p>
    <w:p>
      <w:pPr>
        <w:jc w:val="both"/>
        <w:ind w:right="380" w:firstLine="441"/>
        <w:spacing w:after="0" w:line="266" w:lineRule="auto"/>
        <w:rPr>
          <w:sz w:val="20"/>
          <w:szCs w:val="20"/>
          <w:color w:val="auto"/>
        </w:rPr>
      </w:pPr>
      <w:r>
        <w:rPr>
          <w:rFonts w:ascii="Times New Roman" w:cs="Times New Roman" w:eastAsia="Times New Roman" w:hAnsi="Times New Roman"/>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different regulatory requirements for drug approvals in foreign countries;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differing United States and foreign drug import and export rules;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reduced protection for intellectual property rights in foreign countries;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different reimbursement systems;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6A6A6"/>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receive marketing approval for MG01CI, sales will be limited unless the product achieves broad market acceptance.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right="320" w:firstLine="415"/>
        <w:spacing w:after="0" w:line="266" w:lineRule="auto"/>
        <w:rPr>
          <w:sz w:val="20"/>
          <w:szCs w:val="20"/>
          <w:color w:val="auto"/>
        </w:rPr>
      </w:pPr>
      <w:r>
        <w:rPr>
          <w:rFonts w:ascii="Times New Roman" w:cs="Times New Roman" w:eastAsia="Times New Roman" w:hAnsi="Times New Roman"/>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demonstration of clinical safety and efficacy compared to other products;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prevalence and severity of any adverse side effects;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limitations or warnings contained in the product’s approved labeling;</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distribution and use restrictions imposed by the FDA or agreed to by us as part of a mandatory or voluntary risk management plan;</w:t>
      </w:r>
    </w:p>
    <w:p>
      <w:pPr>
        <w:spacing w:after="0" w:line="225" w:lineRule="exact"/>
        <w:rPr>
          <w:rFonts w:ascii="Times New Roman" w:cs="Times New Roman" w:eastAsia="Times New Roman" w:hAnsi="Times New Roman"/>
          <w:sz w:val="18"/>
          <w:szCs w:val="18"/>
          <w:color w:val="A6A6A6"/>
        </w:rPr>
      </w:pPr>
    </w:p>
    <w:p>
      <w:pPr>
        <w:ind w:left="660" w:right="400" w:hanging="328"/>
        <w:spacing w:after="0" w:line="282" w:lineRule="auto"/>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availability of alternative treatments, including, in the case of MG01CI, a number of competitive products already approved for the treatment of ADHD or expected to be commercially launched in the near future;</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pricing and cost effectiveness;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effectiveness of our or any future collaborators’ sales and marketing strategies;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ability to obtain sufficient third-party coverage or reimbursement;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willingness of patients to pay for drugs out of pocket in the absence of third-party coverage.</w:t>
      </w:r>
    </w:p>
    <w:p>
      <w:pPr>
        <w:spacing w:after="0" w:line="225"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will be difficult for us to profitably sell MG01CI if reimbursement for the product is limited.</w:t>
      </w:r>
    </w:p>
    <w:p>
      <w:pPr>
        <w:spacing w:after="0" w:line="22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85"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6A6A6"/>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6A6A6"/>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6A6A6"/>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cost effective; and</w:t>
      </w:r>
    </w:p>
    <w:p>
      <w:pPr>
        <w:spacing w:after="0" w:line="225" w:lineRule="exact"/>
        <w:rPr>
          <w:rFonts w:ascii="Times New Roman" w:cs="Times New Roman" w:eastAsia="Times New Roman" w:hAnsi="Times New Roman"/>
          <w:sz w:val="18"/>
          <w:szCs w:val="18"/>
          <w:color w:val="A6A6A6"/>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7" w:gutter="0" w:footer="0" w:header="0"/>
        </w:sectPr>
      </w:pPr>
    </w:p>
    <w:bookmarkStart w:id="14" w:name="page15"/>
    <w:bookmarkEnd w:id="14"/>
    <w:p>
      <w:pPr>
        <w:ind w:firstLine="441"/>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manufacturers fail to comply with manufacturing regulations, our financial results and financial condition will be adversely affected.</w:t>
      </w:r>
    </w:p>
    <w:p>
      <w:pPr>
        <w:spacing w:after="0" w:line="229"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4"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primarily on third parties to market and sell MG01CI.</w:t>
      </w:r>
    </w:p>
    <w:p>
      <w:pPr>
        <w:spacing w:after="0" w:line="229"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5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8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jc w:val="both"/>
        <w:ind w:right="20" w:firstLine="415"/>
        <w:spacing w:after="0" w:line="266" w:lineRule="auto"/>
        <w:rPr>
          <w:sz w:val="20"/>
          <w:szCs w:val="20"/>
          <w:color w:val="auto"/>
        </w:rPr>
      </w:pPr>
      <w:r>
        <w:rPr>
          <w:rFonts w:ascii="Times New Roman" w:cs="Times New Roman" w:eastAsia="Times New Roman" w:hAnsi="Times New Roman"/>
          <w:sz w:val="18"/>
          <w:szCs w:val="18"/>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decreased demand for MG01CI or any other product candidate for which we obtain marketing approval;</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impairment of our business reputation and exposure to adverse publicity;</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increased warnings on product labels;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inability to successfully commercialize MG01CI or any other product candidate for which we obtain marketing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successfully brought against us, our insurance may be inadequate.</w:t>
      </w:r>
    </w:p>
    <w:p>
      <w:pPr>
        <w:spacing w:after="0" w:line="229"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5" w:lineRule="exact"/>
        <w:rPr>
          <w:sz w:val="20"/>
          <w:szCs w:val="20"/>
          <w:color w:val="auto"/>
        </w:rPr>
      </w:pPr>
    </w:p>
    <w:p>
      <w:pPr>
        <w:ind w:right="440" w:firstLine="416"/>
        <w:spacing w:after="0" w:line="261" w:lineRule="auto"/>
        <w:rPr>
          <w:sz w:val="20"/>
          <w:szCs w:val="20"/>
          <w:color w:val="auto"/>
        </w:rPr>
      </w:pPr>
      <w:r>
        <w:rPr>
          <w:rFonts w:ascii="Times New Roman" w:cs="Times New Roman" w:eastAsia="Times New Roman" w:hAnsi="Times New Roman"/>
          <w:sz w:val="18"/>
          <w:szCs w:val="18"/>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5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16" w:name="page17"/>
    <w:bookmarkEnd w:id="16"/>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MG01CI or any other product candidate and may never be profitable.</w:t>
      </w:r>
    </w:p>
    <w:p>
      <w:pPr>
        <w:spacing w:after="0" w:line="229" w:lineRule="exact"/>
        <w:rPr>
          <w:sz w:val="20"/>
          <w:szCs w:val="20"/>
          <w:color w:val="auto"/>
        </w:rPr>
      </w:pPr>
    </w:p>
    <w:p>
      <w:pPr>
        <w:jc w:val="both"/>
        <w:ind w:right="20" w:firstLine="416"/>
        <w:spacing w:after="0" w:line="289" w:lineRule="auto"/>
        <w:rPr>
          <w:sz w:val="20"/>
          <w:szCs w:val="20"/>
          <w:color w:val="auto"/>
        </w:rPr>
      </w:pPr>
      <w:r>
        <w:rPr>
          <w:rFonts w:ascii="Times New Roman" w:cs="Times New Roman" w:eastAsia="Times New Roman" w:hAnsi="Times New Roman"/>
          <w:sz w:val="17"/>
          <w:szCs w:val="17"/>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5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obtain favorable results from and progress the clinical development of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develop and obtain regulatory approval for registration studies protocols for MG01CI;</w:t>
      </w:r>
    </w:p>
    <w:p>
      <w:pPr>
        <w:spacing w:after="0" w:line="225" w:lineRule="exact"/>
        <w:rPr>
          <w:rFonts w:ascii="Times New Roman" w:cs="Times New Roman" w:eastAsia="Times New Roman" w:hAnsi="Times New Roman"/>
          <w:sz w:val="18"/>
          <w:szCs w:val="18"/>
          <w:color w:val="A6A6A6"/>
        </w:rPr>
      </w:pPr>
    </w:p>
    <w:p>
      <w:pPr>
        <w:ind w:left="660" w:right="420" w:hanging="328"/>
        <w:spacing w:after="0" w:line="282" w:lineRule="auto"/>
        <w:tabs>
          <w:tab w:leader="none" w:pos="660" w:val="left"/>
        </w:tabs>
        <w:numPr>
          <w:ilvl w:val="0"/>
          <w:numId w:val="1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subject to successful completion of registration, clinical trials and perhaps additional clinical trials of MG01CI, apply for and obtain marketing approval;</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contract for the manufacture of commercial quantities of MG01CI at acceptable cost levels if marketing approval is received;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6A6A6"/>
        </w:rPr>
      </w:pPr>
      <w:r>
        <w:rPr>
          <w:rFonts w:ascii="Times New Roman" w:cs="Times New Roman" w:eastAsia="Times New Roman" w:hAnsi="Times New Roman"/>
          <w:sz w:val="17"/>
          <w:szCs w:val="17"/>
          <w:color w:val="auto"/>
        </w:rPr>
        <w:t>establish sales and marketing capabilities, both internal and external, to effectively market and sell MG01CI in the United States and other countries.</w:t>
      </w:r>
    </w:p>
    <w:p>
      <w:pPr>
        <w:spacing w:after="0" w:line="237" w:lineRule="exact"/>
        <w:rPr>
          <w:sz w:val="20"/>
          <w:szCs w:val="20"/>
          <w:color w:val="auto"/>
        </w:rPr>
      </w:pPr>
    </w:p>
    <w:p>
      <w:pPr>
        <w:ind w:firstLine="416"/>
        <w:spacing w:after="0" w:line="289" w:lineRule="auto"/>
        <w:rPr>
          <w:sz w:val="20"/>
          <w:szCs w:val="20"/>
          <w:color w:val="auto"/>
        </w:rPr>
      </w:pPr>
      <w:r>
        <w:rPr>
          <w:rFonts w:ascii="Times New Roman" w:cs="Times New Roman" w:eastAsia="Times New Roman" w:hAnsi="Times New Roman"/>
          <w:sz w:val="17"/>
          <w:szCs w:val="17"/>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capital in the future. If additional capital is not available, we will have to delay, reduce or cease operations.</w:t>
      </w:r>
    </w:p>
    <w:p>
      <w:pPr>
        <w:spacing w:after="0" w:line="229"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our clinical trial results;</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the cost, timing and outcomes of seeking marketing approval of MG01CI;</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the cost of filing and prosecuting patent applications and the cost of defending our patents;</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the cost of prosecuting infringement actions against third parties;</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exploration and possible label expansion of MG01CI for the treatment of other conditions;</w:t>
      </w:r>
    </w:p>
    <w:p>
      <w:pPr>
        <w:spacing w:after="0" w:line="225" w:lineRule="exact"/>
        <w:rPr>
          <w:rFonts w:ascii="Times New Roman" w:cs="Times New Roman" w:eastAsia="Times New Roman" w:hAnsi="Times New Roman"/>
          <w:sz w:val="18"/>
          <w:szCs w:val="18"/>
          <w:color w:val="BFBFBF"/>
        </w:rPr>
      </w:pPr>
    </w:p>
    <w:p>
      <w:pPr>
        <w:ind w:left="660" w:right="560" w:hanging="328"/>
        <w:spacing w:after="0" w:line="282" w:lineRule="auto"/>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the costs associated with commercializing MG01CI if we receive marketing approval, including the cost and timing of establishing sales and marketing capabilities to market and sell MG01CI;</w:t>
      </w:r>
    </w:p>
    <w:p>
      <w:pPr>
        <w:spacing w:after="0" w:line="161"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subject to receipt of marketing approval, revenue received from sales of approved products, if any, in the future;</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any product liability or other lawsuits related to our products;</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the expenses needed to attract and retain skilled personnel; and</w:t>
      </w:r>
    </w:p>
    <w:p>
      <w:pPr>
        <w:spacing w:after="0" w:line="225" w:lineRule="exact"/>
        <w:rPr>
          <w:rFonts w:ascii="Times New Roman" w:cs="Times New Roman" w:eastAsia="Times New Roman" w:hAnsi="Times New Roman"/>
          <w:sz w:val="18"/>
          <w:szCs w:val="18"/>
          <w:color w:val="BFBFBF"/>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color w:val="auto"/>
        </w:rPr>
        <w:t>the costs associated with being a public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7" w:name="page18"/>
    <w:bookmarkEnd w:id="17"/>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2014. We believe these funds will enable us to complete any preparatory clinical and non-clinical work, as well as one of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8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terminate or delay clinical trials or other development activities for MG01CI; or</w:t>
      </w:r>
    </w:p>
    <w:p>
      <w:pPr>
        <w:spacing w:after="0" w:line="225" w:lineRule="exact"/>
        <w:rPr>
          <w:rFonts w:ascii="Times New Roman" w:cs="Times New Roman" w:eastAsia="Times New Roman" w:hAnsi="Times New Roman"/>
          <w:sz w:val="18"/>
          <w:szCs w:val="18"/>
          <w:color w:val="A6A6A6"/>
        </w:rPr>
      </w:pPr>
    </w:p>
    <w:p>
      <w:pPr>
        <w:ind w:left="660" w:righ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delay our establishment of sales and marketing capabilities or other activities that may be necessary to commercialize MG01CI, if we obtain marketing approval.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would cause dilution to our existing shareholders, and may restrict our operations or require us to relinquish rights.</w:t>
      </w:r>
    </w:p>
    <w:p>
      <w:pPr>
        <w:spacing w:after="0" w:line="229"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operating losses have raised substantial doubt regarding our ability to continue as a going concern.</w:t>
      </w:r>
    </w:p>
    <w:p>
      <w:pPr>
        <w:spacing w:after="0" w:line="22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March 31, 2013. The perception of our ability to continue as a going concern may make it more difficult for us to obtain financing for the continuation of our operations and could result in the loss of confidence by investors, suppliers and employees.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manufacturing capacity and anticipate reliance on third-party manufacturers for our products.</w:t>
      </w:r>
    </w:p>
    <w:p>
      <w:pPr>
        <w:spacing w:after="0" w:line="22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80" w:lineRule="exact"/>
        <w:rPr>
          <w:sz w:val="20"/>
          <w:szCs w:val="20"/>
          <w:color w:val="auto"/>
        </w:rPr>
      </w:pPr>
    </w:p>
    <w:p>
      <w:pPr>
        <w:jc w:val="both"/>
        <w:ind w:right="20" w:firstLine="416"/>
        <w:spacing w:after="0" w:line="266" w:lineRule="auto"/>
        <w:rPr>
          <w:sz w:val="20"/>
          <w:szCs w:val="20"/>
          <w:color w:val="auto"/>
        </w:rPr>
      </w:pPr>
      <w:r>
        <w:rPr>
          <w:rFonts w:ascii="Times New Roman" w:cs="Times New Roman" w:eastAsia="Times New Roman" w:hAnsi="Times New Roman"/>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76" w:lineRule="exact"/>
        <w:rPr>
          <w:sz w:val="20"/>
          <w:szCs w:val="20"/>
          <w:color w:val="auto"/>
        </w:rPr>
      </w:pPr>
    </w:p>
    <w:p>
      <w:pPr>
        <w:ind w:right="760" w:firstLine="416"/>
        <w:spacing w:after="0" w:line="266" w:lineRule="auto"/>
        <w:rPr>
          <w:sz w:val="20"/>
          <w:szCs w:val="20"/>
          <w:color w:val="auto"/>
        </w:rPr>
      </w:pPr>
      <w:r>
        <w:rPr>
          <w:rFonts w:ascii="Times New Roman" w:cs="Times New Roman" w:eastAsia="Times New Roman" w:hAnsi="Times New Roman"/>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5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89"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84"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76"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76"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depend on third parties to conduct our clinical trials.</w:t>
      </w:r>
    </w:p>
    <w:p>
      <w:pPr>
        <w:spacing w:after="0" w:line="229"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filed multiple patent applications but have no issued patents, and there can be no assurance that any of our patent applications will result in issued patents. As a result, we may not be able to protect our proprietary technology in the marketplace.</w:t>
      </w:r>
    </w:p>
    <w:p>
      <w:pPr>
        <w:spacing w:after="0" w:line="159"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59"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Any patents that may issue to use will not ensure the protection of our intellectual property for a number of reasons, including without limitation the following:</w:t>
      </w:r>
    </w:p>
    <w:p>
      <w:pPr>
        <w:spacing w:after="0" w:line="162" w:lineRule="exact"/>
        <w:rPr>
          <w:sz w:val="20"/>
          <w:szCs w:val="20"/>
          <w:color w:val="auto"/>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any issued patents may not be broad or strong enough to prevent competition from other products including identical or similar products;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if we are not issued patents or if issued patents expire, there would be no protections against competitors making generic equivalents;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there may be prior art of which we are not aware that may affect the validity or enforceability of a patent claim;</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there may be other patents existing in the patent landscape for MG01CI that will affect our freedom to operate;</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if our patents are challenged, a court could determine that they are not valid or enforceable;</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court could determine that a competitor’s technology or product does not infringe our patents;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patents could irretrievably lapse due to failure to pay fees or otherwise comply with regulations, or could be subject to compulsory licensing;</w:t>
      </w:r>
    </w:p>
    <w:p>
      <w:pPr>
        <w:spacing w:after="0" w:line="27" w:lineRule="exact"/>
        <w:rPr>
          <w:rFonts w:ascii="Times New Roman" w:cs="Times New Roman" w:eastAsia="Times New Roman" w:hAnsi="Times New Roman"/>
          <w:sz w:val="18"/>
          <w:szCs w:val="18"/>
          <w:color w:val="A6A6A6"/>
        </w:rPr>
      </w:pPr>
    </w:p>
    <w:p>
      <w:pPr>
        <w:ind w:left="420"/>
        <w:spacing w:after="0"/>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6A6A6"/>
        </w:rPr>
      </w:pPr>
    </w:p>
    <w:p>
      <w:pPr>
        <w:ind w:left="420" w:right="160" w:hanging="7"/>
        <w:spacing w:after="0" w:line="282" w:lineRule="auto"/>
        <w:tabs>
          <w:tab w:leader="none" w:pos="735" w:val="left"/>
        </w:tabs>
        <w:numPr>
          <w:ilvl w:val="0"/>
          <w:numId w:val="2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if we encounter delays in our development or clinical trials, the period of time during which we could market our products under patent protection would be reduced.</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59"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80"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4"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59"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89"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8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66" w:lineRule="exact"/>
        <w:rPr>
          <w:sz w:val="20"/>
          <w:szCs w:val="20"/>
          <w:color w:val="auto"/>
        </w:rPr>
      </w:pPr>
    </w:p>
    <w:p>
      <w:pPr>
        <w:ind w:right="100" w:firstLine="389"/>
        <w:spacing w:after="0" w:line="232" w:lineRule="auto"/>
        <w:rPr>
          <w:sz w:val="20"/>
          <w:szCs w:val="20"/>
          <w:color w:val="auto"/>
        </w:rPr>
      </w:pPr>
      <w:r>
        <w:rPr>
          <w:rFonts w:ascii="Times New Roman" w:cs="Times New Roman" w:eastAsia="Times New Roman" w:hAnsi="Times New Roman"/>
          <w:sz w:val="22"/>
          <w:szCs w:val="22"/>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lawsuits relating to infringement of intellectual property rights necessary to defend ourselves or enforce our rights will be costly and time consuming.</w:t>
      </w:r>
    </w:p>
    <w:p>
      <w:pPr>
        <w:spacing w:after="0" w:line="22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80"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w:t>
      </w:r>
    </w:p>
    <w:p>
      <w:pPr>
        <w:sectPr>
          <w:pgSz w:w="11900" w:h="16838" w:orient="portrait"/>
          <w:cols w:equalWidth="0" w:num="1">
            <w:col w:w="11420"/>
          </w:cols>
          <w:pgMar w:left="240" w:top="900" w:right="239" w:bottom="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t>decisions by the U.S. Congress, the federal courts, and the U.S. Patent and Trademark Office, or U.S. PTO, the laws and regulations governing patents could change in unpredictable ways that would weaken our ability to obtain new patents or to enforce our existing patents and patents that we might obtain in the future.</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2" w:name="page23"/>
    <w:bookmarkEnd w:id="22"/>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manage our business through a small number of employees and key consultants. We depend on them even more than similarly-situated companies.</w:t>
      </w:r>
    </w:p>
    <w:p>
      <w:pPr>
        <w:spacing w:after="0" w:line="22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89"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9" w:lineRule="exact"/>
        <w:rPr>
          <w:sz w:val="20"/>
          <w:szCs w:val="20"/>
          <w:color w:val="auto"/>
        </w:rPr>
      </w:pPr>
    </w:p>
    <w:p>
      <w:pPr>
        <w:ind w:right="60" w:firstLine="415"/>
        <w:spacing w:after="0" w:line="253" w:lineRule="auto"/>
        <w:rPr>
          <w:sz w:val="20"/>
          <w:szCs w:val="20"/>
          <w:color w:val="auto"/>
        </w:rPr>
      </w:pPr>
      <w:r>
        <w:rPr>
          <w:rFonts w:ascii="Times New Roman" w:cs="Times New Roman" w:eastAsia="Times New Roman" w:hAnsi="Times New Roman"/>
          <w:sz w:val="18"/>
          <w:szCs w:val="18"/>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9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To build our finance infrastructure, we will need to hire additional accounting personnel and improve our accounting systems, disclosure policies, procedures and controls. We are currently in the process of:</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initiating our plans to upgrade our computer systems, including hardware and software;</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establishing written policies and procedures;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enhancing internal controls and our financial statement review process.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significantly increase the size of our organization, and we may experience difficulties in managing growth.</w:t>
      </w:r>
    </w:p>
    <w:p>
      <w:pPr>
        <w:spacing w:after="0" w:line="229" w:lineRule="exact"/>
        <w:rPr>
          <w:sz w:val="20"/>
          <w:szCs w:val="20"/>
          <w:color w:val="auto"/>
        </w:rPr>
      </w:pPr>
    </w:p>
    <w:p>
      <w:pPr>
        <w:ind w:right="480" w:firstLine="416"/>
        <w:spacing w:after="0" w:line="289" w:lineRule="auto"/>
        <w:rPr>
          <w:sz w:val="20"/>
          <w:szCs w:val="20"/>
          <w:color w:val="auto"/>
        </w:rPr>
      </w:pPr>
      <w:r>
        <w:rPr>
          <w:rFonts w:ascii="Times New Roman" w:cs="Times New Roman" w:eastAsia="Times New Roman" w:hAnsi="Times New Roman"/>
          <w:sz w:val="17"/>
          <w:szCs w:val="17"/>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5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manage our clinical trials and the regulatory process effectively;</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develop our administrative, accounting and management information systems and controls;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hire and train additional qualified personnel;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integrate current and additional management, administrative, financial and sales and marketing personnel.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macroeconomic conditions.</w:t>
      </w:r>
    </w:p>
    <w:p>
      <w:pPr>
        <w:spacing w:after="0" w:line="229"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76"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highly volatile, and you may not be able to resell your shares at or above the initial public offering price.</w:t>
      </w:r>
    </w:p>
    <w:p>
      <w:pPr>
        <w:spacing w:after="0" w:line="229" w:lineRule="exact"/>
        <w:rPr>
          <w:sz w:val="20"/>
          <w:szCs w:val="20"/>
          <w:color w:val="auto"/>
        </w:rPr>
      </w:pPr>
    </w:p>
    <w:p>
      <w:pPr>
        <w:ind w:right="320" w:firstLine="415"/>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76" w:lineRule="exact"/>
        <w:rPr>
          <w:sz w:val="20"/>
          <w:szCs w:val="20"/>
          <w:color w:val="auto"/>
        </w:rPr>
      </w:pPr>
    </w:p>
    <w:p>
      <w:pPr>
        <w:ind w:right="380" w:firstLine="415"/>
        <w:spacing w:after="0" w:line="282" w:lineRule="auto"/>
        <w:rPr>
          <w:sz w:val="20"/>
          <w:szCs w:val="20"/>
          <w:color w:val="auto"/>
        </w:rPr>
      </w:pPr>
      <w:r>
        <w:rPr>
          <w:rFonts w:ascii="Times New Roman" w:cs="Times New Roman" w:eastAsia="Times New Roman" w:hAnsi="Times New Roman"/>
          <w:sz w:val="18"/>
          <w:szCs w:val="18"/>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inability to obtain the approvals necessary to commence further clinical trials;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unsatisfactory results of clinical trials;</w:t>
      </w:r>
    </w:p>
    <w:p>
      <w:pPr>
        <w:spacing w:after="0" w:line="225" w:lineRule="exact"/>
        <w:rPr>
          <w:rFonts w:ascii="Times New Roman" w:cs="Times New Roman" w:eastAsia="Times New Roman" w:hAnsi="Times New Roman"/>
          <w:sz w:val="18"/>
          <w:szCs w:val="18"/>
          <w:color w:val="A6A6A6"/>
        </w:rPr>
      </w:pPr>
    </w:p>
    <w:p>
      <w:pPr>
        <w:ind w:left="660" w:right="180" w:hanging="328"/>
        <w:spacing w:after="0" w:line="282" w:lineRule="auto"/>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announcements of regulatory approval or the failure to obtain it, or specific label indications or patient populations for its use, or changes or delays in the regulatory review process;</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adverse actions taken by regulatory agencies with respect to our clinical trials, manufacturing supply chain or sales and marketing activities;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changes or developments in laws or regulations applicable to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any adverse changes to our relationship with manufacturers or suppliers;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660" w:hanging="328"/>
        <w:spacing w:after="0"/>
        <w:tabs>
          <w:tab w:leader="none" w:pos="660" w:val="left"/>
        </w:tabs>
        <w:numPr>
          <w:ilvl w:val="0"/>
          <w:numId w:val="2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achievement of expected product sales and profitability or our failure to meet expectations;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commencement of, or involvement in, litigation;</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any major changes in our board of directors or management;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chief executive officer and directors currently own over 80% of our outstanding ordinary shares and will own over 70% of our ordinary shares upon the closing of this offering. They will therefore be able to exert significant control over matters submitted to our shareholders for approval.</w:t>
      </w:r>
    </w:p>
    <w:p>
      <w:pPr>
        <w:spacing w:after="0" w:line="175"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After this offering, our chief executive officer and directors, and shareholders who own more than 5% of our outstanding ordinary shares before this offering will, in the aggregate, beneficially own approximately 70.83%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ordinary shares in this offering, you will incur immediate and substantial dilution in the book value of your shares.</w:t>
      </w:r>
    </w:p>
    <w:p>
      <w:pPr>
        <w:spacing w:after="0" w:line="229"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$9.58 per share, based on an assumed initial public offering price of $11.00 per share, and our pro forma net tangible book value as of December 31, 2012. In addition, as of that date, options and warrants to purchase 952,402 of our ordinary shares at a weighted average exercise price of $2.845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ordinary shares in the public market by our existing shareholders could cause our share price to fall.</w:t>
      </w:r>
    </w:p>
    <w:p>
      <w:pPr>
        <w:spacing w:after="0" w:line="229"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5" w:name="page26"/>
    <w:bookmarkEnd w:id="2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59"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59"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5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associated with being a public company will require significant company resources and management attention.</w:t>
      </w:r>
    </w:p>
    <w:p>
      <w:pPr>
        <w:spacing w:after="0" w:line="22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8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75" w:lineRule="exact"/>
        <w:rPr>
          <w:sz w:val="20"/>
          <w:szCs w:val="20"/>
          <w:color w:val="auto"/>
        </w:rPr>
      </w:pPr>
    </w:p>
    <w:p>
      <w:pPr>
        <w:ind w:right="120" w:firstLine="415"/>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62" w:lineRule="exact"/>
        <w:rPr>
          <w:sz w:val="20"/>
          <w:szCs w:val="20"/>
          <w:color w:val="auto"/>
        </w:rPr>
      </w:pPr>
    </w:p>
    <w:p>
      <w:pPr>
        <w:ind w:left="660" w:right="520" w:hanging="328"/>
        <w:spacing w:after="0" w:line="282" w:lineRule="auto"/>
        <w:tabs>
          <w:tab w:leader="none" w:pos="660" w:val="left"/>
        </w:tabs>
        <w:numPr>
          <w:ilvl w:val="0"/>
          <w:numId w:val="2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26" w:name="page27"/>
    <w:bookmarkEnd w:id="26"/>
    <w:p>
      <w:pPr>
        <w:ind w:left="660" w:right="40" w:hanging="328"/>
        <w:spacing w:after="0" w:line="261" w:lineRule="auto"/>
        <w:tabs>
          <w:tab w:leader="none" w:pos="660" w:val="left"/>
        </w:tabs>
        <w:numPr>
          <w:ilvl w:val="0"/>
          <w:numId w:val="2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0" w:lineRule="exact"/>
        <w:rPr>
          <w:rFonts w:ascii="Times New Roman" w:cs="Times New Roman" w:eastAsia="Times New Roman" w:hAnsi="Times New Roman"/>
          <w:sz w:val="18"/>
          <w:szCs w:val="18"/>
          <w:color w:val="A6A6A6"/>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ability not to comply with new accounting principles that do not apply to public companies until such accounting principles become applicable to private companies;</w:t>
      </w:r>
    </w:p>
    <w:p>
      <w:pPr>
        <w:spacing w:after="0" w:line="161" w:lineRule="exact"/>
        <w:rPr>
          <w:rFonts w:ascii="Times New Roman" w:cs="Times New Roman" w:eastAsia="Times New Roman" w:hAnsi="Times New Roman"/>
          <w:sz w:val="18"/>
          <w:szCs w:val="18"/>
          <w:color w:val="A6A6A6"/>
        </w:rPr>
      </w:pPr>
    </w:p>
    <w:p>
      <w:pPr>
        <w:ind w:left="660" w:right="220" w:hanging="328"/>
        <w:spacing w:after="0" w:line="282" w:lineRule="auto"/>
        <w:tabs>
          <w:tab w:leader="none" w:pos="660" w:val="left"/>
        </w:tabs>
        <w:numPr>
          <w:ilvl w:val="0"/>
          <w:numId w:val="2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any rules that may be adopted by the Public Company Accounting Oversight Board requiring mandatory audit firm rotation or a supplement to the auditor’s report on the financial statements; and</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ability to furnish two rather than three years of income statements and statements of cash flows in various required filings.</w:t>
      </w:r>
    </w:p>
    <w:p>
      <w:pPr>
        <w:spacing w:after="0" w:line="225"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w:t>
      </w:r>
    </w:p>
    <w:p>
      <w:pPr>
        <w:spacing w:after="0" w:line="2" w:lineRule="exact"/>
        <w:rPr>
          <w:sz w:val="20"/>
          <w:szCs w:val="20"/>
          <w:color w:val="auto"/>
        </w:rPr>
      </w:pPr>
    </w:p>
    <w:p>
      <w:pPr>
        <w:ind w:right="100"/>
        <w:spacing w:after="0" w:line="205" w:lineRule="auto"/>
        <w:rPr>
          <w:sz w:val="20"/>
          <w:szCs w:val="20"/>
          <w:color w:val="auto"/>
        </w:rPr>
      </w:pPr>
      <w:r>
        <w:rPr>
          <w:rFonts w:ascii="Times New Roman" w:cs="Times New Roman" w:eastAsia="Times New Roman" w:hAnsi="Times New Roman"/>
          <w:sz w:val="18"/>
          <w:szCs w:val="18"/>
          <w:color w:val="auto"/>
        </w:rPr>
        <w:t>held by non-affiliates exceeds $700 million as of the prior June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and (2) the date on which we have issued more than $1.0 billion in non-convertible debt during the prior three-year period.</w:t>
      </w:r>
    </w:p>
    <w:p>
      <w:pPr>
        <w:spacing w:after="0" w:line="199" w:lineRule="exact"/>
        <w:rPr>
          <w:sz w:val="20"/>
          <w:szCs w:val="20"/>
          <w:color w:val="auto"/>
        </w:rPr>
      </w:pPr>
    </w:p>
    <w:p>
      <w:pPr>
        <w:jc w:val="both"/>
        <w:ind w:right="140" w:firstLine="324"/>
        <w:spacing w:after="0" w:line="313" w:lineRule="auto"/>
        <w:rPr>
          <w:sz w:val="20"/>
          <w:szCs w:val="20"/>
          <w:color w:val="auto"/>
        </w:rPr>
      </w:pPr>
      <w:r>
        <w:rPr>
          <w:rFonts w:ascii="Times New Roman" w:cs="Times New Roman" w:eastAsia="Times New Roman" w:hAnsi="Times New Roman"/>
          <w:sz w:val="17"/>
          <w:szCs w:val="17"/>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76"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36" w:lineRule="exact"/>
        <w:rPr>
          <w:sz w:val="20"/>
          <w:szCs w:val="20"/>
          <w:color w:val="auto"/>
        </w:rPr>
      </w:pPr>
    </w:p>
    <w:p>
      <w:pPr>
        <w:ind w:right="160" w:firstLine="389"/>
        <w:spacing w:after="0" w:line="254" w:lineRule="auto"/>
        <w:rPr>
          <w:sz w:val="20"/>
          <w:szCs w:val="20"/>
          <w:color w:val="auto"/>
        </w:rPr>
      </w:pPr>
      <w:r>
        <w:rPr>
          <w:rFonts w:ascii="Times New Roman" w:cs="Times New Roman" w:eastAsia="Times New Roman" w:hAnsi="Times New Roman"/>
          <w:sz w:val="18"/>
          <w:szCs w:val="18"/>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9" w:lineRule="exact"/>
        <w:rPr>
          <w:sz w:val="20"/>
          <w:szCs w:val="20"/>
          <w:color w:val="auto"/>
        </w:rPr>
      </w:pPr>
    </w:p>
    <w:p>
      <w:pPr>
        <w:ind w:right="60" w:firstLine="389"/>
        <w:spacing w:after="0" w:line="25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Israeli Law and Our Operations in Israel</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5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9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ectPr>
          <w:pgSz w:w="11900" w:h="16838" w:orient="portrait"/>
          <w:cols w:equalWidth="0" w:num="1">
            <w:col w:w="11420"/>
          </w:cols>
          <w:pgMar w:left="240" w:top="904" w:right="239" w:bottom="0" w:gutter="0" w:footer="0" w:header="0"/>
        </w:sectPr>
      </w:pPr>
    </w:p>
    <w:bookmarkStart w:id="27" w:name="page28"/>
    <w:bookmarkEnd w:id="27"/>
    <w:p>
      <w:pPr>
        <w:ind w:firstLine="405"/>
        <w:spacing w:after="0" w:line="26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as a result of the obligation of management or key personnel or consultants to perform military service.</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New Israeli Shekel currencies may negatively affect our earnings.</w:t>
      </w:r>
    </w:p>
    <w:p>
      <w:pPr>
        <w:spacing w:after="0" w:line="22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2, 2013 was $1.00 = NIS 3.62. We cannot predict any future trends in the rate of inflation in Israel or the rate of devaluation (if any) of the NIS against the U.S. dollar.</w:t>
      </w:r>
    </w:p>
    <w:p>
      <w:pPr>
        <w:spacing w:after="0" w:line="18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9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8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5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36" w:gutter="0" w:footer="0" w:header="0"/>
        </w:sectPr>
      </w:pPr>
    </w:p>
    <w:bookmarkStart w:id="29" w:name="page30"/>
    <w:bookmarkEnd w:id="29"/>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6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76"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 and</w:t>
      </w:r>
    </w:p>
    <w:p>
      <w:pPr>
        <w:spacing w:after="0" w:line="225" w:lineRule="exact"/>
        <w:rPr>
          <w:rFonts w:ascii="Times New Roman" w:cs="Times New Roman" w:eastAsia="Times New Roman" w:hAnsi="Times New Roman"/>
          <w:sz w:val="18"/>
          <w:szCs w:val="18"/>
          <w:color w:val="A6A6A6"/>
        </w:rPr>
      </w:pPr>
    </w:p>
    <w:p>
      <w:pPr>
        <w:ind w:left="1300" w:right="400" w:hanging="320"/>
        <w:spacing w:after="0" w:line="282" w:lineRule="auto"/>
        <w:tabs>
          <w:tab w:leader="none" w:pos="1300" w:val="left"/>
        </w:tabs>
        <w:numPr>
          <w:ilvl w:val="0"/>
          <w:numId w:val="2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5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61" w:lineRule="auto"/>
        <w:rPr>
          <w:sz w:val="20"/>
          <w:szCs w:val="20"/>
          <w:color w:val="auto"/>
        </w:rPr>
      </w:pPr>
      <w:r>
        <w:rPr>
          <w:rFonts w:ascii="Times New Roman" w:cs="Times New Roman" w:eastAsia="Times New Roman" w:hAnsi="Times New Roman"/>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FDA approval of, or other regulatory action with respect to,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commercial launch and future sales of MG01CI or any other future products or product candidates;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ability to achieve favorable pricing for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expectations regarding the commercial supply of our ADHD products;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third-party payor reimbursement for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estimates regarding anticipated capital requirements and our needs for additional financing;</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ADHD patient market size and market adoption of MG01CI by physicians and patients;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timing, cost or other aspects of the commercial launch of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timing and cost of Phase III trials for MG01CI or whether such trials will be conducted at all;</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completion and receiving favorable results of Phase III trials for MG01CI;</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development and approval of the use of MG01CI for additional indications or in combination therapy;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expectations regarding licensing, acquisitions and strategic operations.</w:t>
      </w:r>
    </w:p>
    <w:p>
      <w:pPr>
        <w:spacing w:after="0" w:line="22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0"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1" w:name="page32"/>
    <w:bookmarkEnd w:id="3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We expect to receive approximately $13,007,025 in net proceeds from the sale of 1,365,000 ordinary shares offered by us in this offering (approximately $15,102,000 if the underwriters exercise their over-allotment option in full), after deducting the underwriting discounts and commissions and estimated offering expenses payable by us.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currently expect to use the net proceeds from this offering for:</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completing at least one advanced clinical trial of MG01CI for adult ADHD, estimated at $6,000,000;</w:t>
      </w:r>
    </w:p>
    <w:p>
      <w:pPr>
        <w:spacing w:after="0" w:line="225" w:lineRule="exact"/>
        <w:rPr>
          <w:rFonts w:ascii="Times New Roman" w:cs="Times New Roman" w:eastAsia="Times New Roman" w:hAnsi="Times New Roman"/>
          <w:sz w:val="18"/>
          <w:szCs w:val="18"/>
          <w:color w:val="A6A6A6"/>
        </w:rPr>
      </w:pPr>
    </w:p>
    <w:p>
      <w:pPr>
        <w:ind w:left="660" w:right="420" w:hanging="328"/>
        <w:spacing w:after="0" w:line="282" w:lineRule="auto"/>
        <w:tabs>
          <w:tab w:leader="none" w:pos="660" w:val="left"/>
        </w:tabs>
        <w:numPr>
          <w:ilvl w:val="0"/>
          <w:numId w:val="3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preparing for our proposed registration studies in adults and Phase I/II clinical studies in children for MG01CI, including engaging the FDA in discussions related to protocols for the trials, estimated at $1,000,000 to $3,000,000;</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evaluating MG01CI in Phase II trials for additional disorders of cognitive function, estimated at $1,000,000 to $2,000,000; and</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remainder for working capital and general corporate purposes.</w:t>
      </w:r>
    </w:p>
    <w:p>
      <w:pPr>
        <w:spacing w:after="0" w:line="225" w:lineRule="exact"/>
        <w:rPr>
          <w:sz w:val="20"/>
          <w:szCs w:val="20"/>
          <w:color w:val="auto"/>
        </w:rPr>
      </w:pPr>
    </w:p>
    <w:p>
      <w:pPr>
        <w:ind w:right="440" w:firstLine="416"/>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have no current understandings, commitments or agreements with respect to any material acquisition of or investment in any technologies, products or companies.</w:t>
      </w:r>
    </w:p>
    <w:p>
      <w:pPr>
        <w:spacing w:after="0" w:line="162"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We expect to conduct two Phase III clinical trials. We do not expect that these funds will be adequate to complete the second of these Phase III clinical trials, which will require us to raise additional funds for this purpose.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Israeli Companies Law imposes further restrictions on our ability to declare and pay dividends. See “Description of Share Capital—Dividend and Liquidation Rights” for additional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Payment of dividends may be subject to Israeli withholding taxes. See “Taxation—Israeli Tax Considerations”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0"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2012:</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on a pro forma basis to give effect to the mandatory conversion of our Convertible Notes at the closing of this offering; and</w:t>
      </w:r>
    </w:p>
    <w:p>
      <w:pPr>
        <w:spacing w:after="0" w:line="225" w:lineRule="exact"/>
        <w:rPr>
          <w:rFonts w:ascii="Times New Roman" w:cs="Times New Roman" w:eastAsia="Times New Roman" w:hAnsi="Times New Roman"/>
          <w:sz w:val="18"/>
          <w:szCs w:val="18"/>
          <w:color w:val="A6A6A6"/>
        </w:rPr>
      </w:pPr>
    </w:p>
    <w:p>
      <w:pPr>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on a pro forma, as adjusted, basis to also give effect to the sale of 1,365,000 ordinary shares in this offering at an assumed initial public offering price of $11.00 per share (the midpoint of the range set forth on the cover page of this prospectus), after deducting underwriting discounts and commissions and estimated offering expenses payable by us, and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w:t>
      </w:r>
    </w:p>
    <w:p>
      <w:pPr>
        <w:spacing w:after="0" w:line="188" w:lineRule="exact"/>
        <w:rPr>
          <w:sz w:val="20"/>
          <w:szCs w:val="20"/>
          <w:color w:val="auto"/>
        </w:rPr>
      </w:pPr>
    </w:p>
    <w:p>
      <w:pPr>
        <w:ind w:right="240" w:firstLine="416"/>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16"/>
                <w:szCs w:val="16"/>
                <w:color w:val="auto"/>
              </w:rPr>
            </w:pPr>
          </w:p>
        </w:tc>
      </w:tr>
      <w:tr>
        <w:trPr>
          <w:trHeight w:val="216"/>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2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adjusted</w:t>
            </w:r>
          </w:p>
        </w:tc>
      </w:t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3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6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10,000,000 shares authorized at December 31, 2012 and 2011; 8,098,581 and 8,096,109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shares at December 31, 2012 and 2011, respectively; 7,794,256 and 8,096,109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at December 31, 2012 and 2011,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7,615</w:t>
            </w:r>
          </w:p>
        </w:tc>
        <w:tc>
          <w:tcPr>
            <w:tcW w:w="340" w:type="dxa"/>
            <w:vAlign w:val="bottom"/>
            <w:shd w:val="clear" w:color="auto" w:fill="CCFFCC"/>
          </w:tcPr>
          <w:p>
            <w:pPr>
              <w:spacing w:after="0"/>
              <w:rPr>
                <w:sz w:val="18"/>
                <w:szCs w:val="18"/>
                <w:color w:val="auto"/>
              </w:rPr>
            </w:pPr>
          </w:p>
        </w:tc>
        <w:tc>
          <w:tcPr>
            <w:tcW w:w="132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13,803</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21,418</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3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8,324</w:t>
            </w:r>
          </w:p>
        </w:tc>
      </w:tr>
      <w:tr>
        <w:trPr>
          <w:trHeight w:val="216"/>
        </w:trPr>
        <w:tc>
          <w:tcPr>
            <w:tcW w:w="6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shareholders’ equity (deficiency)</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shd w:val="clear" w:color="auto" w:fill="CCFFCC"/>
          </w:tcPr>
          <w:p>
            <w:pPr>
              <w:spacing w:after="0"/>
              <w:rPr>
                <w:sz w:val="18"/>
                <w:szCs w:val="18"/>
                <w:color w:val="auto"/>
              </w:rPr>
            </w:pPr>
          </w:p>
        </w:tc>
        <w:tc>
          <w:tcPr>
            <w:tcW w:w="132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13,669</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13,102</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13,102</w:t>
            </w:r>
          </w:p>
        </w:tc>
      </w:tr>
    </w:tbl>
    <w:p>
      <w:pPr>
        <w:spacing w:after="0" w:line="179" w:lineRule="exact"/>
        <w:rPr>
          <w:sz w:val="20"/>
          <w:szCs w:val="20"/>
          <w:color w:val="auto"/>
        </w:rPr>
      </w:pPr>
    </w:p>
    <w:p>
      <w:pPr>
        <w:ind w:right="340" w:firstLine="401"/>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 7,794,256 ordinary shares outstanding as of April 1, 2013 (giving prospective effect to the issuance of bonus shares equivalent to a stock split described below). This number excludes:</w:t>
      </w:r>
    </w:p>
    <w:p>
      <w:pPr>
        <w:spacing w:after="0" w:line="162" w:lineRule="exact"/>
        <w:rPr>
          <w:sz w:val="20"/>
          <w:szCs w:val="20"/>
          <w:color w:val="auto"/>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764,444 shares issuable upon the exercise of share options outstanding as of April 1, 2013 under our equity incentive plan;</w:t>
      </w:r>
    </w:p>
    <w:p>
      <w:pPr>
        <w:spacing w:after="0" w:line="225" w:lineRule="exact"/>
        <w:rPr>
          <w:rFonts w:ascii="Times New Roman" w:cs="Times New Roman" w:eastAsia="Times New Roman" w:hAnsi="Times New Roman"/>
          <w:sz w:val="18"/>
          <w:szCs w:val="18"/>
          <w:color w:val="A6A6A6"/>
        </w:rPr>
      </w:pPr>
    </w:p>
    <w:p>
      <w:pPr>
        <w:ind w:left="740" w:right="120" w:hanging="327"/>
        <w:spacing w:after="0" w:line="282" w:lineRule="auto"/>
        <w:tabs>
          <w:tab w:leader="none" w:pos="740" w:val="left"/>
        </w:tabs>
        <w:numPr>
          <w:ilvl w:val="0"/>
          <w:numId w:val="3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58,700 shares issuable upon the exercise of warrants outstanding as of April 1, 2013 with a nominal exercise price, which warrants are expected to remain outstanding upon completion of this offering;</w:t>
      </w:r>
    </w:p>
    <w:p>
      <w:pPr>
        <w:spacing w:after="0" w:line="161" w:lineRule="exact"/>
        <w:rPr>
          <w:rFonts w:ascii="Times New Roman" w:cs="Times New Roman" w:eastAsia="Times New Roman" w:hAnsi="Times New Roman"/>
          <w:sz w:val="18"/>
          <w:szCs w:val="18"/>
          <w:color w:val="A6A6A6"/>
        </w:rPr>
      </w:pPr>
    </w:p>
    <w:p>
      <w:pPr>
        <w:ind w:left="740" w:right="140" w:hanging="327"/>
        <w:spacing w:after="0" w:line="282" w:lineRule="auto"/>
        <w:tabs>
          <w:tab w:leader="none" w:pos="740" w:val="left"/>
        </w:tabs>
        <w:numPr>
          <w:ilvl w:val="0"/>
          <w:numId w:val="3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129,257 shares issuable upon the exercise of warrants outstanding as of April 1, 2013 having a weighted average exercise price of $2.73 per share, which shall expire immediately prior to completion of this offering; and</w:t>
      </w:r>
    </w:p>
    <w:p>
      <w:pPr>
        <w:spacing w:after="0" w:line="161" w:lineRule="exact"/>
        <w:rPr>
          <w:rFonts w:ascii="Times New Roman" w:cs="Times New Roman" w:eastAsia="Times New Roman" w:hAnsi="Times New Roman"/>
          <w:sz w:val="18"/>
          <w:szCs w:val="18"/>
          <w:color w:val="A6A6A6"/>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7,009 shares reserved as of April 1, 2013 for future grants under our equity incentive plan.</w:t>
      </w:r>
    </w:p>
    <w:p>
      <w:pPr>
        <w:spacing w:after="0" w:line="22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360" w:firstLine="416"/>
        <w:spacing w:after="0" w:line="266" w:lineRule="auto"/>
        <w:rPr>
          <w:sz w:val="20"/>
          <w:szCs w:val="20"/>
          <w:color w:val="auto"/>
        </w:rPr>
      </w:pPr>
      <w:r>
        <w:rPr>
          <w:rFonts w:ascii="Times New Roman" w:cs="Times New Roman" w:eastAsia="Times New Roman" w:hAnsi="Times New Roman"/>
          <w:sz w:val="18"/>
          <w:szCs w:val="18"/>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76"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our historical net tangible book value per share was $0.012.</w:t>
      </w:r>
    </w:p>
    <w:p>
      <w:pPr>
        <w:spacing w:after="0" w:line="18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pro forma as adjusted net tangible book value of our ordinary shares as of December 31, 2012 was $13,102,025, or $1.42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$9.58 per share to new investors purchasing ordinary shares in this offering.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before this offering, as of December 31, 2012</w:t>
            </w: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(0.07)</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attributable to conversion of promissory notes</w:t>
            </w:r>
          </w:p>
        </w:tc>
        <w:tc>
          <w:tcPr>
            <w:tcW w:w="260" w:type="dxa"/>
            <w:vAlign w:val="bottom"/>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0.082</w:t>
            </w:r>
          </w:p>
        </w:tc>
        <w:tc>
          <w:tcPr>
            <w:tcW w:w="34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2012</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 offering</w:t>
            </w:r>
          </w:p>
        </w:tc>
        <w:tc>
          <w:tcPr>
            <w:tcW w:w="260" w:type="dxa"/>
            <w:vAlign w:val="bottom"/>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4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offering</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Dilution in pro forma tangible book value (deficit) per share to new investors</w:t>
            </w:r>
          </w:p>
        </w:tc>
        <w:tc>
          <w:tcPr>
            <w:tcW w:w="260" w:type="dxa"/>
            <w:vAlign w:val="bottom"/>
            <w:tcBorders>
              <w:top w:val="single" w:sz="8" w:color="CCFFCC"/>
            </w:tcBorders>
            <w:shd w:val="clear" w:color="auto" w:fill="CCFFCC"/>
          </w:tcPr>
          <w:p>
            <w:pPr>
              <w:spacing w:after="0"/>
              <w:rPr>
                <w:sz w:val="19"/>
                <w:szCs w:val="19"/>
                <w:color w:val="auto"/>
              </w:rPr>
            </w:pPr>
          </w:p>
        </w:tc>
        <w:tc>
          <w:tcPr>
            <w:tcW w:w="640" w:type="dxa"/>
            <w:vAlign w:val="bottom"/>
            <w:tcBorders>
              <w:top w:val="single" w:sz="8" w:color="CCFFCC"/>
            </w:tcBorders>
            <w:shd w:val="clear" w:color="auto" w:fill="CCFFCC"/>
          </w:tcPr>
          <w:p>
            <w:pPr>
              <w:spacing w:after="0"/>
              <w:rPr>
                <w:sz w:val="19"/>
                <w:szCs w:val="19"/>
                <w:color w:val="auto"/>
              </w:rPr>
            </w:pPr>
          </w:p>
        </w:tc>
        <w:tc>
          <w:tcPr>
            <w:tcW w:w="1300" w:type="dxa"/>
            <w:vAlign w:val="bottom"/>
            <w:tcBorders>
              <w:top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$1.61 per share, the increase in the pro forma net tangible book value per share attributable to new investors would be approximately $1.60 per share and the dilution to new investors purchasing shares in this offering would be approximately $9.39 per share.</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23"/>
        </w:trPr>
        <w:tc>
          <w:tcPr>
            <w:tcW w:w="366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top w:val="single" w:sz="8" w:color="auto"/>
              <w:bottom w:val="single" w:sz="8" w:color="CCFFCC"/>
            </w:tcBorders>
          </w:tcPr>
          <w:p>
            <w:pPr>
              <w:spacing w:after="0"/>
              <w:rPr>
                <w:sz w:val="19"/>
                <w:szCs w:val="19"/>
                <w:color w:val="auto"/>
              </w:rPr>
            </w:pPr>
          </w:p>
        </w:tc>
        <w:tc>
          <w:tcPr>
            <w:tcW w:w="9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top w:val="single" w:sz="8" w:color="auto"/>
              <w:bottom w:val="single" w:sz="8" w:color="CCFFC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bottom w:val="single" w:sz="8" w:color="CCFFCC"/>
            </w:tcBorders>
          </w:tcPr>
          <w:p>
            <w:pPr>
              <w:spacing w:after="0"/>
              <w:rPr>
                <w:sz w:val="19"/>
                <w:szCs w:val="19"/>
                <w:color w:val="auto"/>
              </w:rPr>
            </w:pPr>
          </w:p>
        </w:tc>
      </w:tr>
      <w:tr>
        <w:trPr>
          <w:trHeight w:val="210"/>
        </w:trPr>
        <w:tc>
          <w:tcPr>
            <w:tcW w:w="3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7,868,195</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98"/>
              </w:rPr>
              <w:t>85.2%</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5,761,000</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98"/>
              </w:rPr>
              <w:t>27.7%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FFCC"/>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1,365,000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8"/>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15,015,000</w:t>
            </w:r>
          </w:p>
        </w:tc>
        <w:tc>
          <w:tcPr>
            <w:tcW w:w="920" w:type="dxa"/>
            <w:vAlign w:val="bottom"/>
          </w:tcPr>
          <w:p>
            <w:pPr>
              <w:spacing w:after="0"/>
              <w:rPr>
                <w:sz w:val="19"/>
                <w:szCs w:val="19"/>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r>
      <w:tr>
        <w:trPr>
          <w:trHeight w:val="223"/>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9,233,195</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20,776,000</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01"/>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 7,794,256 ordinary shares outstanding as of April 1, 2013 (giving prospective effect to the issuance of bonus shares equivalent to a stock split described below). This number excludes:</w:t>
      </w:r>
    </w:p>
    <w:p>
      <w:pPr>
        <w:spacing w:after="0" w:line="162" w:lineRule="exact"/>
        <w:rPr>
          <w:sz w:val="20"/>
          <w:szCs w:val="20"/>
          <w:color w:val="auto"/>
        </w:rPr>
      </w:pPr>
    </w:p>
    <w:p>
      <w:pPr>
        <w:ind w:left="1060" w:hanging="323"/>
        <w:spacing w:after="0"/>
        <w:tabs>
          <w:tab w:leader="none" w:pos="1060" w:val="left"/>
        </w:tabs>
        <w:numPr>
          <w:ilvl w:val="0"/>
          <w:numId w:val="3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764,444 shares issuable upon the exercise of share options outstanding as of April 1, 2013 under our equity incentive plan;</w:t>
      </w:r>
    </w:p>
    <w:p>
      <w:pPr>
        <w:spacing w:after="0" w:line="225" w:lineRule="exact"/>
        <w:rPr>
          <w:rFonts w:ascii="Times New Roman" w:cs="Times New Roman" w:eastAsia="Times New Roman" w:hAnsi="Times New Roman"/>
          <w:sz w:val="18"/>
          <w:szCs w:val="18"/>
          <w:color w:val="A6A6A6"/>
        </w:rPr>
      </w:pPr>
    </w:p>
    <w:p>
      <w:pPr>
        <w:ind w:left="1060" w:right="680" w:hanging="323"/>
        <w:spacing w:after="0" w:line="282" w:lineRule="auto"/>
        <w:tabs>
          <w:tab w:leader="none" w:pos="1060" w:val="left"/>
        </w:tabs>
        <w:numPr>
          <w:ilvl w:val="0"/>
          <w:numId w:val="3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58,700 shares issuable upon the exercise of warrants outstanding as of April 1, 2013 with a nominal exercise price, which warrants are expected to remain outstanding upon completion of this offering;</w:t>
      </w:r>
    </w:p>
    <w:p>
      <w:pPr>
        <w:spacing w:after="0" w:line="161" w:lineRule="exact"/>
        <w:rPr>
          <w:rFonts w:ascii="Times New Roman" w:cs="Times New Roman" w:eastAsia="Times New Roman" w:hAnsi="Times New Roman"/>
          <w:sz w:val="18"/>
          <w:szCs w:val="18"/>
          <w:color w:val="A6A6A6"/>
        </w:rPr>
      </w:pPr>
    </w:p>
    <w:p>
      <w:pPr>
        <w:ind w:left="1060" w:right="280" w:hanging="323"/>
        <w:spacing w:after="0" w:line="282" w:lineRule="auto"/>
        <w:tabs>
          <w:tab w:leader="none" w:pos="1060" w:val="left"/>
        </w:tabs>
        <w:numPr>
          <w:ilvl w:val="0"/>
          <w:numId w:val="3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129,257 shares issuable upon the exercise of warrants outstanding as of April 1, 2013 having a weighted average exercise price of $2.73 per share, which shall expire immediately prior to completion of this offering; and</w:t>
      </w:r>
    </w:p>
    <w:p>
      <w:pPr>
        <w:spacing w:after="0" w:line="161"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3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7,009 shares reserved as of April 1, 2013 for future grants under our equity incentive plan.</w:t>
      </w:r>
    </w:p>
    <w:p>
      <w:pPr>
        <w:spacing w:after="0" w:line="22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To the extent that new options are granted under our equity benefit plans, there will be further dilution to investors purchasing ordinary shares in this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right="60" w:firstLine="396"/>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6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86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600" w:type="dxa"/>
            <w:vAlign w:val="bottom"/>
            <w:shd w:val="clear" w:color="auto" w:fill="CCFFC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2,084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Financial expense, net</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Deemed dividend</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Loss attributable to holders of ordinary</w:t>
            </w:r>
          </w:p>
        </w:tc>
        <w:tc>
          <w:tcPr>
            <w:tcW w:w="3640" w:type="dxa"/>
            <w:vAlign w:val="bottom"/>
            <w:gridSpan w:val="2"/>
            <w:shd w:val="clear" w:color="auto" w:fill="CCFFCC"/>
          </w:tcPr>
          <w:p>
            <w:pPr>
              <w:jc w:val="right"/>
              <w:ind w:right="305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4,109</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computing basic and diluted net loss per share</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7,791,932</w:t>
            </w: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7,843,388</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w:t>
            </w:r>
          </w:p>
        </w:tc>
        <w:tc>
          <w:tcPr>
            <w:tcW w:w="23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600" w:type="dxa"/>
            <w:vAlign w:val="bottom"/>
          </w:tcPr>
          <w:p>
            <w:pPr>
              <w:spacing w:after="0"/>
              <w:rPr>
                <w:sz w:val="16"/>
                <w:szCs w:val="16"/>
                <w:color w:val="auto"/>
              </w:rPr>
            </w:pPr>
          </w:p>
        </w:tc>
        <w:tc>
          <w:tcPr>
            <w:tcW w:w="1500" w:type="dxa"/>
            <w:vAlign w:val="bottom"/>
            <w:gridSpan w:val="3"/>
          </w:tcPr>
          <w:p>
            <w:pPr>
              <w:ind w:left="520"/>
              <w:spacing w:after="0" w:line="188"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00" w:type="dxa"/>
            <w:vAlign w:val="bottom"/>
          </w:tcPr>
          <w:p>
            <w:pPr>
              <w:spacing w:after="0"/>
              <w:rPr>
                <w:sz w:val="18"/>
                <w:szCs w:val="18"/>
                <w:color w:val="auto"/>
              </w:rPr>
            </w:pPr>
          </w:p>
        </w:tc>
        <w:tc>
          <w:tcPr>
            <w:tcW w:w="15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w:t>
            </w:r>
          </w:p>
        </w:tc>
        <w:tc>
          <w:tcPr>
            <w:tcW w:w="600" w:type="dxa"/>
            <w:vAlign w:val="bottom"/>
          </w:tcPr>
          <w:p>
            <w:pPr>
              <w:spacing w:after="0"/>
              <w:rPr>
                <w:sz w:val="20"/>
                <w:szCs w:val="20"/>
                <w:color w:val="auto"/>
              </w:rPr>
            </w:pPr>
          </w:p>
        </w:tc>
        <w:tc>
          <w:tcPr>
            <w:tcW w:w="15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ind w:left="168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3640" w:type="dxa"/>
            <w:vAlign w:val="bottom"/>
            <w:gridSpan w:val="2"/>
            <w:shd w:val="clear" w:color="auto" w:fill="CCFFC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FFC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768</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662</w:t>
            </w: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 (deficiency)</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13,669</w:t>
            </w:r>
          </w:p>
        </w:tc>
        <w:tc>
          <w:tcPr>
            <w:tcW w:w="1980" w:type="dxa"/>
            <w:vAlign w:val="bottom"/>
            <w:gridSpan w:val="5"/>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mandatory conversion of our outstanding Convertible Notes on the closing of this offering.</w:t>
      </w:r>
    </w:p>
    <w:p>
      <w:pPr>
        <w:spacing w:after="0" w:line="2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sale of 1,365,000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8"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85"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6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last two fiscal years.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w:t>
            </w:r>
          </w:p>
        </w:tc>
        <w:tc>
          <w:tcPr>
            <w:tcW w:w="86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240" w:type="dxa"/>
            <w:vAlign w:val="bottom"/>
            <w:tcBorders>
              <w:top w:val="single" w:sz="8" w:color="auto"/>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FFCC"/>
            </w:tcBorders>
          </w:tcPr>
          <w:p>
            <w:pPr>
              <w:spacing w:after="0"/>
              <w:rPr>
                <w:sz w:val="18"/>
                <w:szCs w:val="18"/>
                <w:color w:val="auto"/>
              </w:rPr>
            </w:pPr>
          </w:p>
        </w:tc>
        <w:tc>
          <w:tcPr>
            <w:tcW w:w="160" w:type="dxa"/>
            <w:vAlign w:val="bottom"/>
            <w:tcBorders>
              <w:top w:val="single" w:sz="8" w:color="auto"/>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84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Salaries and related personnel expenses</w:t>
            </w:r>
          </w:p>
        </w:tc>
        <w:tc>
          <w:tcPr>
            <w:tcW w:w="860" w:type="dxa"/>
            <w:vAlign w:val="bottom"/>
            <w:shd w:val="clear" w:color="auto" w:fill="CCFFC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to third party clinical consultants and expenses related to conducting clinical trials</w:t>
            </w:r>
          </w:p>
        </w:tc>
        <w:tc>
          <w:tcPr>
            <w:tcW w:w="8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18"/>
                <w:szCs w:val="18"/>
                <w:color w:val="auto"/>
              </w:rPr>
            </w:pPr>
          </w:p>
        </w:tc>
      </w:tr>
      <w:tr>
        <w:trPr>
          <w:trHeight w:val="216"/>
        </w:trPr>
        <w:tc>
          <w:tcPr>
            <w:tcW w:w="84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FFCC"/>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r>
      <w:tr>
        <w:trPr>
          <w:trHeight w:val="216"/>
        </w:trPr>
        <w:tc>
          <w:tcPr>
            <w:tcW w:w="84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6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FFCC"/>
          </w:tcPr>
          <w:p>
            <w:pPr>
              <w:spacing w:after="0"/>
              <w:rPr>
                <w:sz w:val="18"/>
                <w:szCs w:val="18"/>
                <w:color w:val="auto"/>
              </w:rPr>
            </w:pPr>
          </w:p>
        </w:tc>
      </w:tr>
      <w:tr>
        <w:trPr>
          <w:trHeight w:val="21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Represents an amount less than $1.</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Expense and Income</w:t>
      </w:r>
    </w:p>
    <w:p>
      <w:pPr>
        <w:sectPr>
          <w:pgSz w:w="11900" w:h="16838" w:orient="portrait"/>
          <w:cols w:equalWidth="0" w:num="1">
            <w:col w:w="11420"/>
          </w:cols>
          <w:pgMar w:left="240" w:top="900" w:right="239" w:bottom="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prepare our financial statements in accordance with accounting principles generally accepted in the United States ("U.S. GAAP").</w:t>
      </w:r>
    </w:p>
    <w:p>
      <w:pPr>
        <w:spacing w:after="0" w:line="225"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Fair Value of Ordinary Shares</w:t>
      </w:r>
    </w:p>
    <w:p>
      <w:pPr>
        <w:spacing w:after="0" w:line="229" w:lineRule="exact"/>
        <w:rPr>
          <w:sz w:val="20"/>
          <w:szCs w:val="20"/>
          <w:color w:val="auto"/>
        </w:rPr>
      </w:pPr>
    </w:p>
    <w:p>
      <w:pPr>
        <w:ind w:right="140" w:firstLine="389"/>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80" w:lineRule="exact"/>
        <w:rPr>
          <w:sz w:val="20"/>
          <w:szCs w:val="20"/>
          <w:color w:val="auto"/>
        </w:rPr>
      </w:pPr>
    </w:p>
    <w:p>
      <w:pPr>
        <w:ind w:right="60" w:firstLine="389"/>
        <w:spacing w:after="0" w:line="282" w:lineRule="auto"/>
        <w:rPr>
          <w:sz w:val="20"/>
          <w:szCs w:val="20"/>
          <w:color w:val="auto"/>
        </w:rPr>
      </w:pPr>
      <w:r>
        <w:rPr>
          <w:rFonts w:ascii="Times New Roman" w:cs="Times New Roman" w:eastAsia="Times New Roman" w:hAnsi="Times New Roman"/>
          <w:sz w:val="18"/>
          <w:szCs w:val="18"/>
          <w:color w:val="auto"/>
        </w:rPr>
        <w:t>We selected the Black-Scholes-Merton ("Black-Scholes") option-pricing model as a fair value method for our options awards. The option-pricing model requires a number of assumptions:</w:t>
      </w:r>
    </w:p>
    <w:p>
      <w:pPr>
        <w:spacing w:after="0" w:line="160" w:lineRule="exact"/>
        <w:rPr>
          <w:sz w:val="20"/>
          <w:szCs w:val="20"/>
          <w:color w:val="auto"/>
        </w:rPr>
      </w:pPr>
    </w:p>
    <w:p>
      <w:pPr>
        <w:ind w:left="640"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expected dividend yield assumption is based on our historical experience and expectation of no future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payouts. We have historically not paid cash dividends and have no foreseeable plans to pay cash dividends in the future.</w:t>
      </w:r>
    </w:p>
    <w:p>
      <w:pPr>
        <w:spacing w:after="0" w:line="158" w:lineRule="exact"/>
        <w:rPr>
          <w:sz w:val="20"/>
          <w:szCs w:val="20"/>
          <w:color w:val="auto"/>
        </w:rPr>
      </w:pPr>
    </w:p>
    <w:p>
      <w:pPr>
        <w:ind w:left="64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Volatility - </w:t>
      </w:r>
      <w:r>
        <w:rPr>
          <w:rFonts w:ascii="Times New Roman" w:cs="Times New Roman" w:eastAsia="Times New Roman" w:hAnsi="Times New Roman"/>
          <w:sz w:val="18"/>
          <w:szCs w:val="18"/>
          <w:color w:val="auto"/>
        </w:rPr>
        <w:t>Since the Company is not traded on any stock exchange market, quoted prices of our shares are unavailable. According to ASC 718-10-30-20, in case of no historical data for a company, the expected volatility was based on similar companies' stock volatility.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ASC 718 provides the factors to consider when estimating the expected term of an option: An option’s expected term must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p>
      <w:pPr>
        <w:jc w:val="both"/>
        <w:ind w:lef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 price </w:t>
      </w:r>
      <w:r>
        <w:rPr>
          <w:rFonts w:ascii="Times New Roman" w:cs="Times New Roman" w:eastAsia="Times New Roman" w:hAnsi="Times New Roman"/>
          <w:sz w:val="18"/>
          <w:szCs w:val="18"/>
          <w:color w:val="auto"/>
        </w:rPr>
        <w:t>- Because there has been no public market for our ordinary shares, the fair value of the ordinary shares underlying the options had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our management, using the assistance of an independent valuation firm.</w:t>
      </w:r>
    </w:p>
    <w:p>
      <w:pPr>
        <w:spacing w:after="0" w:line="16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84" w:lineRule="exact"/>
        <w:rPr>
          <w:sz w:val="20"/>
          <w:szCs w:val="20"/>
          <w:color w:val="auto"/>
        </w:rPr>
      </w:pPr>
    </w:p>
    <w:p>
      <w:pPr>
        <w:ind w:left="640" w:right="140"/>
        <w:spacing w:after="0" w:line="258" w:lineRule="auto"/>
        <w:rPr>
          <w:sz w:val="20"/>
          <w:szCs w:val="20"/>
          <w:color w:val="auto"/>
        </w:rPr>
      </w:pPr>
      <w:r>
        <w:rPr>
          <w:rFonts w:ascii="Times New Roman" w:cs="Times New Roman" w:eastAsia="Times New Roman" w:hAnsi="Times New Roman"/>
          <w:sz w:val="18"/>
          <w:szCs w:val="18"/>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4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 US$)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shd w:val="clear" w:color="auto" w:fill="CCFFC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980" w:type="dxa"/>
            <w:vAlign w:val="bottom"/>
            <w:gridSpan w:val="2"/>
            <w:shd w:val="clear" w:color="auto" w:fill="CCFFC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Expense, net</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Comprehensive loss</w:t>
            </w:r>
          </w:p>
        </w:tc>
        <w:tc>
          <w:tcPr>
            <w:tcW w:w="840" w:type="dxa"/>
            <w:vAlign w:val="bottom"/>
            <w:shd w:val="clear" w:color="auto" w:fill="CCFFC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loss attributable to holders of ordinary shares</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2012 to the Year Ended December 31, 2011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operating loss for the year ended December 31, 2012 was $1,501,000, as compared to an operating loss of $3,906,000 for the year ended December 31, 2011, a decrease of $2,405,000, or 62%.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financial expenses of $78,000 for the year ended December 31, 2012, representing an increase of $55,000, or 239%, compared to financial expenses of $23,000 for the year ended December 31, 2011.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w:t>
      </w:r>
    </w:p>
    <w:p>
      <w:pPr>
        <w:spacing w:after="0" w:line="229" w:lineRule="exact"/>
        <w:rPr>
          <w:sz w:val="20"/>
          <w:szCs w:val="20"/>
          <w:color w:val="auto"/>
        </w:rPr>
      </w:pPr>
    </w:p>
    <w:p>
      <w:pPr>
        <w:jc w:val="both"/>
        <w:ind w:firstLine="69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for the year ended December 31, 2012 was $1,579,000, as compared to $3,929,000 for the year ended December 31, 2011, a decrease of $2,350,000, or 62%.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 thousands 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(1,585)</w:t>
            </w:r>
          </w:p>
        </w:tc>
        <w:tc>
          <w:tcPr>
            <w:tcW w:w="520" w:type="dxa"/>
            <w:vAlign w:val="bottom"/>
            <w:shd w:val="clear" w:color="auto" w:fill="CCFFC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1,026</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601</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March 31, 2013. Even if we are able to raise funds in the offering contemplated herein, we believe that we will need to raise additional funds before we have any cash flow from operations.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resources and the net proceeds from the current offering will be sufficient to fund our projected cash requirements approximately through the conclusion of 2014.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$6 million for clinical trial activities over the course of the next 18 months. We also anticipate utilizing approximately between $1 million to $3 million for capital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ind w:left="980" w:hanging="324"/>
        <w:spacing w:after="0"/>
        <w:tabs>
          <w:tab w:leader="none" w:pos="980" w:val="left"/>
        </w:tabs>
        <w:numPr>
          <w:ilvl w:val="0"/>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progress and costs of our preclinical studies, clinical trials and other research and development activities;</w:t>
      </w:r>
    </w:p>
    <w:p>
      <w:pPr>
        <w:spacing w:after="0" w:line="27" w:lineRule="exact"/>
        <w:rPr>
          <w:rFonts w:ascii="Times New Roman" w:cs="Times New Roman" w:eastAsia="Times New Roman" w:hAnsi="Times New Roman"/>
          <w:sz w:val="18"/>
          <w:szCs w:val="18"/>
          <w:color w:val="A6A6A6"/>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scope, prioritization and number of our clinical trials and other research and development programs;</w:t>
      </w:r>
    </w:p>
    <w:p>
      <w:pPr>
        <w:spacing w:after="0" w:line="9" w:lineRule="exact"/>
        <w:rPr>
          <w:rFonts w:ascii="Times New Roman" w:cs="Times New Roman" w:eastAsia="Times New Roman" w:hAnsi="Times New Roman"/>
          <w:sz w:val="18"/>
          <w:szCs w:val="18"/>
          <w:color w:val="A6A6A6"/>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costs and timing of obtaining regulatory approval for our drug candidate;</w:t>
      </w:r>
    </w:p>
    <w:p>
      <w:pPr>
        <w:spacing w:after="0" w:line="9" w:lineRule="exact"/>
        <w:rPr>
          <w:rFonts w:ascii="Times New Roman" w:cs="Times New Roman" w:eastAsia="Times New Roman" w:hAnsi="Times New Roman"/>
          <w:sz w:val="18"/>
          <w:szCs w:val="18"/>
          <w:color w:val="A6A6A6"/>
        </w:rPr>
      </w:pPr>
    </w:p>
    <w:p>
      <w:pPr>
        <w:ind w:left="1000" w:hanging="317"/>
        <w:spacing w:after="0"/>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9" w:lineRule="exact"/>
        <w:rPr>
          <w:rFonts w:ascii="Times New Roman" w:cs="Times New Roman" w:eastAsia="Times New Roman" w:hAnsi="Times New Roman"/>
          <w:sz w:val="18"/>
          <w:szCs w:val="18"/>
          <w:color w:val="A6A6A6"/>
        </w:rPr>
      </w:pPr>
    </w:p>
    <w:p>
      <w:pPr>
        <w:ind w:left="1000" w:right="20" w:hanging="317"/>
        <w:spacing w:after="0" w:line="250" w:lineRule="auto"/>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costs of, and timing for, strengthening our manufacturing agreements for production of sufficient clinical and commercial quantities of our drug candidate;</w:t>
      </w:r>
    </w:p>
    <w:p>
      <w:pPr>
        <w:ind w:left="1000" w:hanging="317"/>
        <w:spacing w:after="0" w:line="250" w:lineRule="auto"/>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potential costs of contracting with third parties to provide marketing and distribution services for us or for building such capacities internally;</w:t>
      </w:r>
    </w:p>
    <w:p>
      <w:pPr>
        <w:ind w:left="1000" w:hanging="317"/>
        <w:spacing w:after="0" w:line="250" w:lineRule="auto"/>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costs of acquiring or undertaking the development and commercialization efforts for additional, future therapeutic applications of our drug candidate;</w:t>
      </w:r>
    </w:p>
    <w:p>
      <w:pPr>
        <w:ind w:left="1000" w:hanging="317"/>
        <w:spacing w:after="0"/>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magnitude of our general and administrative expenses;</w:t>
      </w:r>
    </w:p>
    <w:p>
      <w:pPr>
        <w:spacing w:after="0" w:line="9" w:lineRule="exact"/>
        <w:rPr>
          <w:rFonts w:ascii="Times New Roman" w:cs="Times New Roman" w:eastAsia="Times New Roman" w:hAnsi="Times New Roman"/>
          <w:sz w:val="18"/>
          <w:szCs w:val="18"/>
          <w:color w:val="A6A6A6"/>
        </w:rPr>
      </w:pPr>
    </w:p>
    <w:p>
      <w:pPr>
        <w:ind w:left="1000" w:hanging="317"/>
        <w:spacing w:after="0"/>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any cost that we may incur under current and future in- and out-licensing arrangements relating to our drug candidate; and</w:t>
      </w:r>
    </w:p>
    <w:p>
      <w:pPr>
        <w:spacing w:after="0" w:line="9" w:lineRule="exact"/>
        <w:rPr>
          <w:rFonts w:ascii="Times New Roman" w:cs="Times New Roman" w:eastAsia="Times New Roman" w:hAnsi="Times New Roman"/>
          <w:sz w:val="18"/>
          <w:szCs w:val="18"/>
          <w:color w:val="A6A6A6"/>
        </w:rPr>
      </w:pPr>
    </w:p>
    <w:p>
      <w:pPr>
        <w:ind w:left="1000" w:hanging="317"/>
        <w:spacing w:after="0"/>
        <w:tabs>
          <w:tab w:leader="none" w:pos="1000" w:val="left"/>
        </w:tabs>
        <w:numPr>
          <w:ilvl w:val="1"/>
          <w:numId w:val="3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payments to the OCS.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5"/>
          </w:tcPr>
          <w:p>
            <w:pPr>
              <w:jc w:val="right"/>
              <w:ind w:right="97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December 31, 2012:</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More than 5</w:t>
            </w:r>
          </w:p>
        </w:tc>
      </w:tr>
      <w:tr>
        <w:trPr>
          <w:trHeight w:val="234"/>
        </w:trPr>
        <w:tc>
          <w:tcPr>
            <w:tcW w:w="36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Less than 1 year</w:t>
            </w:r>
          </w:p>
        </w:tc>
        <w:tc>
          <w:tcPr>
            <w:tcW w:w="1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1-3 years</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3-5 years</w:t>
            </w: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10"/>
        </w:trPr>
        <w:tc>
          <w:tcPr>
            <w:tcW w:w="36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 US$)</w:t>
            </w:r>
          </w:p>
        </w:tc>
        <w:tc>
          <w:tcPr>
            <w:tcW w:w="1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Facility</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Motor Vehicles</w:t>
            </w:r>
          </w:p>
        </w:tc>
        <w:tc>
          <w:tcPr>
            <w:tcW w:w="52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800" w:type="dxa"/>
            <w:vAlign w:val="bottom"/>
            <w:shd w:val="clear" w:color="auto" w:fill="CCFFCC"/>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firstLine="389"/>
        <w:spacing w:after="0" w:line="256" w:lineRule="auto"/>
        <w:rPr>
          <w:sz w:val="20"/>
          <w:szCs w:val="20"/>
          <w:color w:val="auto"/>
        </w:rPr>
      </w:pPr>
      <w:r>
        <w:rPr>
          <w:rFonts w:ascii="Times New Roman" w:cs="Times New Roman" w:eastAsia="Times New Roman" w:hAnsi="Times New Roman"/>
          <w:sz w:val="18"/>
          <w:szCs w:val="18"/>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8" w:lineRule="exact"/>
        <w:rPr>
          <w:sz w:val="20"/>
          <w:szCs w:val="20"/>
          <w:color w:val="auto"/>
        </w:rPr>
      </w:pPr>
    </w:p>
    <w:p>
      <w:pPr>
        <w:ind w:firstLine="389"/>
        <w:spacing w:after="0" w:line="255" w:lineRule="auto"/>
        <w:rPr>
          <w:sz w:val="20"/>
          <w:szCs w:val="20"/>
          <w:color w:val="auto"/>
        </w:rPr>
      </w:pPr>
      <w:r>
        <w:rPr>
          <w:rFonts w:ascii="Times New Roman" w:cs="Times New Roman" w:eastAsia="Times New Roman" w:hAnsi="Times New Roman"/>
          <w:sz w:val="18"/>
          <w:szCs w:val="18"/>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85" w:lineRule="exact"/>
        <w:rPr>
          <w:sz w:val="20"/>
          <w:szCs w:val="20"/>
          <w:color w:val="auto"/>
        </w:rPr>
      </w:pPr>
    </w:p>
    <w:p>
      <w:pPr>
        <w:ind w:right="300" w:firstLine="389"/>
        <w:spacing w:after="0" w:line="261" w:lineRule="auto"/>
        <w:rPr>
          <w:sz w:val="20"/>
          <w:szCs w:val="20"/>
          <w:color w:val="auto"/>
        </w:rPr>
      </w:pPr>
      <w:r>
        <w:rPr>
          <w:rFonts w:ascii="Times New Roman" w:cs="Times New Roman" w:eastAsia="Times New Roman" w:hAnsi="Times New Roman"/>
          <w:sz w:val="18"/>
          <w:szCs w:val="18"/>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80" w:lineRule="exact"/>
        <w:rPr>
          <w:sz w:val="20"/>
          <w:szCs w:val="20"/>
          <w:color w:val="auto"/>
        </w:rPr>
      </w:pPr>
    </w:p>
    <w:p>
      <w:pPr>
        <w:ind w:right="20" w:firstLine="389"/>
        <w:spacing w:after="0" w:line="255" w:lineRule="auto"/>
        <w:rPr>
          <w:sz w:val="20"/>
          <w:szCs w:val="20"/>
          <w:color w:val="auto"/>
        </w:rPr>
      </w:pPr>
      <w:r>
        <w:rPr>
          <w:rFonts w:ascii="Times New Roman" w:cs="Times New Roman" w:eastAsia="Times New Roman" w:hAnsi="Times New Roman"/>
          <w:sz w:val="18"/>
          <w:szCs w:val="18"/>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80" w:lineRule="exact"/>
        <w:rPr>
          <w:sz w:val="20"/>
          <w:szCs w:val="20"/>
          <w:color w:val="auto"/>
        </w:rPr>
      </w:pPr>
    </w:p>
    <w:p>
      <w:pPr>
        <w:ind w:right="140" w:firstLine="312"/>
        <w:spacing w:after="0" w:line="235" w:lineRule="auto"/>
        <w:rPr>
          <w:sz w:val="20"/>
          <w:szCs w:val="20"/>
          <w:color w:val="auto"/>
        </w:rPr>
      </w:pPr>
      <w:r>
        <w:rPr>
          <w:rFonts w:ascii="Times New Roman" w:cs="Times New Roman" w:eastAsia="Times New Roman" w:hAnsi="Times New Roman"/>
          <w:sz w:val="22"/>
          <w:szCs w:val="22"/>
          <w:color w:val="auto"/>
        </w:rPr>
        <w:t xml:space="preserve">The only non-stimulant drug approved to treat adult ADHD is Strattera. Strattera affects the chemical norepinephrine, which is a stress hormone that </w:t>
      </w:r>
      <w:r>
        <w:rPr>
          <w:rFonts w:ascii="Times New Roman" w:cs="Times New Roman" w:eastAsia="Times New Roman" w:hAnsi="Times New Roman"/>
          <w:sz w:val="18"/>
          <w:szCs w:val="18"/>
          <w:color w:val="auto"/>
        </w:rPr>
        <w:t>affects parts of the brain where attention and responses are controlled.</w:t>
      </w:r>
      <w:r>
        <w:rPr>
          <w:rFonts w:ascii="Times New Roman" w:cs="Times New Roman" w:eastAsia="Times New Roman" w:hAnsi="Times New Roman"/>
          <w:sz w:val="22"/>
          <w:szCs w:val="22"/>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88" w:lineRule="exact"/>
        <w:rPr>
          <w:sz w:val="20"/>
          <w:szCs w:val="20"/>
          <w:color w:val="auto"/>
        </w:rPr>
      </w:pPr>
    </w:p>
    <w:p>
      <w:pPr>
        <w:ind w:right="80" w:firstLine="389"/>
        <w:spacing w:after="0" w:line="255" w:lineRule="auto"/>
        <w:rPr>
          <w:sz w:val="20"/>
          <w:szCs w:val="20"/>
          <w:color w:val="auto"/>
        </w:rPr>
      </w:pPr>
      <w:r>
        <w:rPr>
          <w:rFonts w:ascii="Times New Roman" w:cs="Times New Roman" w:eastAsia="Times New Roman" w:hAnsi="Times New Roman"/>
          <w:sz w:val="18"/>
          <w:szCs w:val="18"/>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About ADHD</w:t>
      </w:r>
    </w:p>
    <w:p>
      <w:pPr>
        <w:spacing w:after="0" w:line="229"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468" w:gutter="0" w:footer="0" w:header="0"/>
        </w:sectPr>
      </w:pPr>
    </w:p>
    <w:bookmarkStart w:id="43" w:name="page44"/>
    <w:bookmarkEnd w:id="4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ADHD Symptoms</w:t>
      </w:r>
    </w:p>
    <w:p>
      <w:pPr>
        <w:spacing w:after="0" w:line="22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Adolescents</w:t>
            </w:r>
          </w:p>
        </w:tc>
        <w:tc>
          <w:tcPr>
            <w:tcW w:w="374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Adults</w:t>
            </w:r>
          </w:p>
        </w:tc>
      </w:tr>
      <w:tr>
        <w:trPr>
          <w:trHeight w:val="1344"/>
        </w:trPr>
        <w:tc>
          <w:tcPr>
            <w:tcW w:w="3900" w:type="dxa"/>
            <w:vAlign w:val="bottom"/>
            <w:tcBorders>
              <w:left w:val="single" w:sz="8" w:color="A6A6A6"/>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6A6A6"/>
            </w:tcBorders>
          </w:tcPr>
          <w:p>
            <w:pPr>
              <w:spacing w:after="0"/>
              <w:rPr>
                <w:sz w:val="24"/>
                <w:szCs w:val="24"/>
                <w:color w:val="auto"/>
              </w:rPr>
            </w:pPr>
          </w:p>
        </w:tc>
      </w:tr>
      <w:tr>
        <w:trPr>
          <w:trHeight w:val="187"/>
        </w:trPr>
        <w:tc>
          <w:tcPr>
            <w:tcW w:w="3900" w:type="dxa"/>
            <w:vAlign w:val="bottom"/>
            <w:tcBorders>
              <w:left w:val="single" w:sz="8" w:color="A6A6A6"/>
              <w:right w:val="single" w:sz="8" w:color="A6A6A6"/>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Hyperactive</w:t>
            </w:r>
          </w:p>
        </w:tc>
        <w:tc>
          <w:tcPr>
            <w:tcW w:w="3780" w:type="dxa"/>
            <w:vAlign w:val="bottom"/>
            <w:tcBorders>
              <w:right w:val="single" w:sz="8" w:color="A6A6A6"/>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Easily distracted</w:t>
            </w:r>
          </w:p>
        </w:tc>
        <w:tc>
          <w:tcPr>
            <w:tcW w:w="3740" w:type="dxa"/>
            <w:vAlign w:val="bottom"/>
            <w:tcBorders>
              <w:right w:val="single" w:sz="8" w:color="A6A6A6"/>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Shifts activities</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Aggressive</w:t>
            </w:r>
          </w:p>
        </w:tc>
        <w:tc>
          <w:tcPr>
            <w:tcW w:w="378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Inattentive</w:t>
            </w:r>
          </w:p>
        </w:tc>
        <w:tc>
          <w:tcPr>
            <w:tcW w:w="37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Easily bored</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Low frustration tolerance</w:t>
            </w:r>
          </w:p>
        </w:tc>
        <w:tc>
          <w:tcPr>
            <w:tcW w:w="3780" w:type="dxa"/>
            <w:vAlign w:val="bottom"/>
            <w:tcBorders>
              <w:right w:val="single" w:sz="8" w:color="A6A6A6"/>
            </w:tcBorders>
          </w:tcPr>
          <w:p>
            <w:pPr>
              <w:spacing w:after="0"/>
              <w:rPr>
                <w:sz w:val="18"/>
                <w:szCs w:val="18"/>
                <w:color w:val="auto"/>
              </w:rPr>
            </w:pPr>
          </w:p>
        </w:tc>
        <w:tc>
          <w:tcPr>
            <w:tcW w:w="37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Impatient</w:t>
            </w:r>
          </w:p>
        </w:tc>
      </w:tr>
      <w:tr>
        <w:trPr>
          <w:trHeight w:val="238"/>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Impulsive</w:t>
            </w:r>
          </w:p>
        </w:tc>
        <w:tc>
          <w:tcPr>
            <w:tcW w:w="3780" w:type="dxa"/>
            <w:vAlign w:val="bottom"/>
            <w:tcBorders>
              <w:bottom w:val="single" w:sz="8" w:color="A6A6A6"/>
              <w:right w:val="single" w:sz="8" w:color="A6A6A6"/>
            </w:tcBorders>
          </w:tcPr>
          <w:p>
            <w:pPr>
              <w:spacing w:after="0"/>
              <w:rPr>
                <w:sz w:val="20"/>
                <w:szCs w:val="20"/>
                <w:color w:val="auto"/>
              </w:rPr>
            </w:pPr>
          </w:p>
        </w:tc>
        <w:tc>
          <w:tcPr>
            <w:tcW w:w="3740" w:type="dxa"/>
            <w:vAlign w:val="bottom"/>
            <w:tcBorders>
              <w:bottom w:val="single" w:sz="8" w:color="A6A6A6"/>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-1285875</wp:posOffset>
            </wp:positionV>
            <wp:extent cx="7031990" cy="582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1990" cy="582930"/>
                    </a:xfrm>
                    <a:prstGeom prst="rect">
                      <a:avLst/>
                    </a:prstGeom>
                    <a:noFill/>
                  </pic:spPr>
                </pic:pic>
              </a:graphicData>
            </a:graphic>
          </wp:anchor>
        </w:drawing>
      </w:r>
    </w:p>
    <w:p>
      <w:pPr>
        <w:spacing w:after="0" w:line="17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both"/>
        <w:ind w:right="440" w:firstLine="405"/>
        <w:spacing w:after="0" w:line="266" w:lineRule="auto"/>
        <w:rPr>
          <w:sz w:val="20"/>
          <w:szCs w:val="20"/>
          <w:color w:val="auto"/>
        </w:rPr>
      </w:pPr>
      <w:r>
        <w:rPr>
          <w:rFonts w:ascii="Times New Roman" w:cs="Times New Roman" w:eastAsia="Times New Roman" w:hAnsi="Times New Roman"/>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Impact of Untreated and Undertreated ADHD</w:t>
      </w:r>
    </w:p>
    <w:p>
      <w:pPr>
        <w:spacing w:after="0" w:line="229"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20"/>
        </w:trPr>
        <w:tc>
          <w:tcPr>
            <w:tcW w:w="29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Healthcare System</w:t>
            </w:r>
          </w:p>
        </w:tc>
        <w:tc>
          <w:tcPr>
            <w:tcW w:w="41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Patient</w:t>
            </w:r>
          </w:p>
        </w:tc>
        <w:tc>
          <w:tcPr>
            <w:tcW w:w="34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Family</w:t>
            </w:r>
          </w:p>
        </w:tc>
      </w:tr>
      <w:tr>
        <w:trPr>
          <w:trHeight w:val="216"/>
        </w:trPr>
        <w:tc>
          <w:tcPr>
            <w:tcW w:w="29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ñ 50% in bicycle accidents</w:t>
            </w:r>
          </w:p>
        </w:tc>
        <w:tc>
          <w:tcPr>
            <w:tcW w:w="41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ñ criminal activity</w:t>
            </w:r>
          </w:p>
        </w:tc>
        <w:tc>
          <w:tcPr>
            <w:tcW w:w="34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3-5x more divorce/separation</w:t>
            </w:r>
          </w:p>
        </w:tc>
      </w:tr>
      <w:tr>
        <w:trPr>
          <w:trHeight w:val="216"/>
        </w:trPr>
        <w:tc>
          <w:tcPr>
            <w:tcW w:w="29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ñ 33% in ER visits</w:t>
            </w:r>
          </w:p>
        </w:tc>
        <w:tc>
          <w:tcPr>
            <w:tcW w:w="41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ñ incarceration</w:t>
            </w:r>
          </w:p>
        </w:tc>
        <w:tc>
          <w:tcPr>
            <w:tcW w:w="34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2-4x more sibling fights</w:t>
            </w:r>
          </w:p>
        </w:tc>
      </w:tr>
      <w:tr>
        <w:trPr>
          <w:trHeight w:val="234"/>
        </w:trPr>
        <w:tc>
          <w:tcPr>
            <w:tcW w:w="29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2-4x more car accidents</w:t>
            </w:r>
          </w:p>
        </w:tc>
        <w:tc>
          <w:tcPr>
            <w:tcW w:w="41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4"/>
        </w:trPr>
        <w:tc>
          <w:tcPr>
            <w:tcW w:w="29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School and Occupation</w:t>
            </w:r>
          </w:p>
        </w:tc>
        <w:tc>
          <w:tcPr>
            <w:tcW w:w="41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Society</w:t>
            </w:r>
          </w:p>
        </w:tc>
        <w:tc>
          <w:tcPr>
            <w:tcW w:w="344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Employer</w:t>
            </w:r>
          </w:p>
        </w:tc>
      </w:tr>
      <w:tr>
        <w:trPr>
          <w:trHeight w:val="216"/>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46% expelled</w:t>
            </w:r>
          </w:p>
        </w:tc>
        <w:tc>
          <w:tcPr>
            <w:tcW w:w="41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Substance use disorders:</w:t>
            </w:r>
          </w:p>
        </w:tc>
        <w:tc>
          <w:tcPr>
            <w:tcW w:w="34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Increased parental absenteeism and</w:t>
            </w:r>
          </w:p>
        </w:tc>
      </w:tr>
      <w:tr>
        <w:trPr>
          <w:trHeight w:val="216"/>
        </w:trPr>
        <w:tc>
          <w:tcPr>
            <w:tcW w:w="29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35% drop out</w:t>
            </w:r>
          </w:p>
        </w:tc>
        <w:tc>
          <w:tcPr>
            <w:tcW w:w="4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2x risk and earlier onset</w:t>
            </w:r>
          </w:p>
        </w:tc>
        <w:tc>
          <w:tcPr>
            <w:tcW w:w="34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lower productivity</w:t>
            </w:r>
          </w:p>
        </w:tc>
      </w:tr>
      <w:tr>
        <w:trPr>
          <w:trHeight w:val="234"/>
        </w:trPr>
        <w:tc>
          <w:tcPr>
            <w:tcW w:w="29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Lower occupational status</w:t>
            </w:r>
          </w:p>
        </w:tc>
        <w:tc>
          <w:tcPr>
            <w:tcW w:w="4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Less likely to quit in adulthood</w:t>
            </w:r>
          </w:p>
        </w:tc>
        <w:tc>
          <w:tcPr>
            <w:tcW w:w="3440" w:type="dxa"/>
            <w:vAlign w:val="bottom"/>
          </w:tcPr>
          <w:p>
            <w:pPr>
              <w:spacing w:after="0"/>
              <w:rPr>
                <w:sz w:val="20"/>
                <w:szCs w:val="20"/>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Diagnosis of ADHD</w:t>
      </w:r>
    </w:p>
    <w:p>
      <w:pPr>
        <w:spacing w:after="0" w:line="22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74" w:lineRule="exact"/>
        <w:rPr>
          <w:sz w:val="20"/>
          <w:szCs w:val="20"/>
          <w:color w:val="auto"/>
        </w:rPr>
      </w:pPr>
    </w:p>
    <w:p>
      <w:pPr>
        <w:ind w:left="420" w:right="240" w:hanging="7"/>
        <w:spacing w:after="0" w:line="261" w:lineRule="auto"/>
        <w:tabs>
          <w:tab w:leader="none" w:pos="735" w:val="left"/>
        </w:tabs>
        <w:numPr>
          <w:ilvl w:val="0"/>
          <w:numId w:val="3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DSM-IV criteria</w:t>
      </w:r>
      <w:r>
        <w:rPr>
          <w:rFonts w:ascii="Times New Roman" w:cs="Times New Roman" w:eastAsia="Times New Roman" w:hAnsi="Times New Roman"/>
          <w:sz w:val="18"/>
          <w:szCs w:val="18"/>
          <w:color w:val="auto"/>
        </w:rPr>
        <w:t>. The American Psychiatric Association provides a set of standardized criteria for classifying mental disorders known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ind w:left="1960" w:hanging="331"/>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Inattention – the patient makes careless mistakes in activities and is easily distracted</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Hyperactivity – the patients fidgets, squirms, talks excessively or displays restless behavior</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Impulsiveness – the patient interrupts others and cannot wait for a turn</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be clear evidence of significant impairment in social, school, or work functioning</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Signs of impairment present before 7 years of age and present in two or more settings (school/work and home)</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Products and Market Participants</w:t>
      </w:r>
    </w:p>
    <w:p>
      <w:pPr>
        <w:spacing w:after="0" w:line="22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principal pharmaceutical companies marketing drugs to treat ADHD are shown in the following table, together with the drug brand name, patent expiration date, class/method of action and reported 2011 sales.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Brand Name</w:t>
            </w: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Patent Expires</w:t>
            </w:r>
          </w:p>
        </w:tc>
        <w:tc>
          <w:tcPr>
            <w:tcW w:w="840" w:type="dxa"/>
            <w:vAlign w:val="bottom"/>
          </w:tcPr>
          <w:p>
            <w:pPr>
              <w:spacing w:after="0"/>
              <w:rPr>
                <w:sz w:val="17"/>
                <w:szCs w:val="17"/>
                <w:color w:val="auto"/>
              </w:rPr>
            </w:pPr>
          </w:p>
        </w:tc>
        <w:tc>
          <w:tcPr>
            <w:tcW w:w="26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Class/Method of Action</w:t>
            </w:r>
          </w:p>
        </w:tc>
        <w:tc>
          <w:tcPr>
            <w:tcW w:w="24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2011 Sales</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Vyvanse</w:t>
            </w:r>
          </w:p>
        </w:tc>
        <w:tc>
          <w:tcPr>
            <w:tcW w:w="1200" w:type="dxa"/>
            <w:vAlign w:val="bottom"/>
            <w:gridSpan w:val="2"/>
            <w:vMerge w:val="restart"/>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Shire</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June 2023</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2440" w:type="dxa"/>
            <w:vAlign w:val="bottom"/>
            <w:gridSpan w:val="3"/>
            <w:vMerge w:val="restart"/>
            <w:shd w:val="clear" w:color="auto" w:fill="CCFFCC"/>
          </w:tcPr>
          <w:p>
            <w:pPr>
              <w:ind w:left="720"/>
              <w:spacing w:after="0"/>
              <w:rPr>
                <w:sz w:val="20"/>
                <w:szCs w:val="20"/>
                <w:color w:val="auto"/>
              </w:rPr>
            </w:pPr>
            <w:r>
              <w:rPr>
                <w:rFonts w:ascii="Times New Roman" w:cs="Times New Roman" w:eastAsia="Times New Roman" w:hAnsi="Times New Roman"/>
                <w:sz w:val="18"/>
                <w:szCs w:val="18"/>
                <w:color w:val="auto"/>
              </w:rPr>
              <w:t>$1272 million</w:t>
            </w: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Times New Roman" w:cs="Times New Roman" w:eastAsia="Times New Roman" w:hAnsi="Times New Roman"/>
                <w:sz w:val="18"/>
                <w:szCs w:val="18"/>
                <w:color w:val="auto"/>
              </w:rPr>
              <w:t>Concerta</w:t>
            </w:r>
          </w:p>
        </w:tc>
        <w:tc>
          <w:tcPr>
            <w:tcW w:w="1200" w:type="dxa"/>
            <w:vAlign w:val="bottom"/>
            <w:gridSpan w:val="2"/>
            <w:vMerge w:val="restart"/>
            <w:shd w:val="clear" w:color="auto" w:fill="CCFFCC"/>
          </w:tcPr>
          <w:p>
            <w:pPr>
              <w:jc w:val="center"/>
              <w:ind w:right="440"/>
              <w:spacing w:after="0"/>
              <w:rPr>
                <w:sz w:val="20"/>
                <w:szCs w:val="20"/>
                <w:color w:val="auto"/>
              </w:rPr>
            </w:pPr>
            <w:r>
              <w:rPr>
                <w:rFonts w:ascii="Times New Roman" w:cs="Times New Roman" w:eastAsia="Times New Roman" w:hAnsi="Times New Roman"/>
                <w:sz w:val="18"/>
                <w:szCs w:val="18"/>
                <w:color w:val="auto"/>
                <w:w w:val="99"/>
              </w:rPr>
              <w:t>J&amp;J</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Times New Roman" w:cs="Times New Roman" w:eastAsia="Times New Roman" w:hAnsi="Times New Roman"/>
                <w:sz w:val="18"/>
                <w:szCs w:val="18"/>
                <w:color w:val="auto"/>
                <w:w w:val="97"/>
              </w:rPr>
              <w:t>May 2011</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$682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Times New Roman" w:cs="Times New Roman" w:eastAsia="Times New Roman" w:hAnsi="Times New Roman"/>
                <w:sz w:val="18"/>
                <w:szCs w:val="18"/>
                <w:color w:val="auto"/>
              </w:rPr>
              <w:t>Adderall XR</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w w:val="99"/>
              </w:rPr>
              <w:t>Shire</w:t>
            </w:r>
          </w:p>
        </w:tc>
        <w:tc>
          <w:tcPr>
            <w:tcW w:w="1620" w:type="dxa"/>
            <w:vAlign w:val="bottom"/>
            <w:gridSpan w:val="2"/>
            <w:vMerge w:val="restart"/>
            <w:shd w:val="clear" w:color="auto" w:fill="CCFFCC"/>
          </w:tcPr>
          <w:p>
            <w:pPr>
              <w:jc w:val="center"/>
              <w:ind w:left="410"/>
              <w:spacing w:after="0"/>
              <w:rPr>
                <w:sz w:val="20"/>
                <w:szCs w:val="20"/>
                <w:color w:val="auto"/>
              </w:rPr>
            </w:pPr>
            <w:r>
              <w:rPr>
                <w:rFonts w:ascii="Times New Roman" w:cs="Times New Roman" w:eastAsia="Times New Roman" w:hAnsi="Times New Roman"/>
                <w:sz w:val="18"/>
                <w:szCs w:val="18"/>
                <w:color w:val="auto"/>
                <w:w w:val="99"/>
              </w:rPr>
              <w:t>2012</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$953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Times New Roman" w:cs="Times New Roman" w:eastAsia="Times New Roman" w:hAnsi="Times New Roman"/>
                <w:sz w:val="18"/>
                <w:szCs w:val="18"/>
                <w:color w:val="auto"/>
              </w:rPr>
              <w:t>Strattera</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rPr>
              <w:t>Eli Lilly</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Times New Roman" w:cs="Times New Roman" w:eastAsia="Times New Roman" w:hAnsi="Times New Roman"/>
                <w:sz w:val="18"/>
                <w:szCs w:val="18"/>
                <w:color w:val="auto"/>
                <w:w w:val="99"/>
              </w:rPr>
              <w:t>August 2010</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40"/>
              <w:spacing w:after="0" w:line="198" w:lineRule="exact"/>
              <w:rPr>
                <w:sz w:val="20"/>
                <w:szCs w:val="20"/>
                <w:color w:val="auto"/>
              </w:rPr>
            </w:pPr>
            <w:r>
              <w:rPr>
                <w:rFonts w:ascii="Times New Roman" w:cs="Times New Roman" w:eastAsia="Times New Roman" w:hAnsi="Times New Roman"/>
                <w:sz w:val="18"/>
                <w:szCs w:val="18"/>
                <w:color w:val="auto"/>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$620 million</w:t>
            </w: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00"/>
              <w:spacing w:after="0"/>
              <w:rPr>
                <w:sz w:val="20"/>
                <w:szCs w:val="20"/>
                <w:color w:val="auto"/>
              </w:rPr>
            </w:pPr>
            <w:r>
              <w:rPr>
                <w:rFonts w:ascii="Times New Roman" w:cs="Times New Roman" w:eastAsia="Times New Roman" w:hAnsi="Times New Roman"/>
                <w:sz w:val="18"/>
                <w:szCs w:val="18"/>
                <w:color w:val="auto"/>
              </w:rPr>
              <w:t>(NE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Times New Roman" w:cs="Times New Roman" w:eastAsia="Times New Roman" w:hAnsi="Times New Roman"/>
                <w:sz w:val="18"/>
                <w:szCs w:val="18"/>
                <w:color w:val="auto"/>
                <w:w w:val="99"/>
              </w:rPr>
              <w:t>Focalin</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w w:val="99"/>
              </w:rPr>
              <w:t>Novartis</w:t>
            </w:r>
          </w:p>
        </w:tc>
        <w:tc>
          <w:tcPr>
            <w:tcW w:w="22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$340 million</w:t>
            </w: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gridSpan w:val="3"/>
            <w:shd w:val="clear" w:color="auto" w:fill="CCFFCC"/>
          </w:tcPr>
          <w:p>
            <w:pPr>
              <w:ind w:left="240"/>
              <w:spacing w:after="0" w:line="198" w:lineRule="exact"/>
              <w:rPr>
                <w:sz w:val="20"/>
                <w:szCs w:val="20"/>
                <w:color w:val="auto"/>
              </w:rPr>
            </w:pPr>
            <w:r>
              <w:rPr>
                <w:rFonts w:ascii="Times New Roman" w:cs="Times New Roman" w:eastAsia="Times New Roman" w:hAnsi="Times New Roman"/>
                <w:sz w:val="18"/>
                <w:szCs w:val="18"/>
                <w:color w:val="auto"/>
              </w:rPr>
              <w:t>Ritalin/ Ritalin</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w w:val="99"/>
              </w:rPr>
              <w:t>Novartis</w:t>
            </w:r>
          </w:p>
        </w:tc>
        <w:tc>
          <w:tcPr>
            <w:tcW w:w="1620" w:type="dxa"/>
            <w:vAlign w:val="bottom"/>
            <w:gridSpan w:val="2"/>
            <w:vMerge w:val="restart"/>
            <w:shd w:val="clear" w:color="auto" w:fill="CCFFCC"/>
          </w:tcPr>
          <w:p>
            <w:pPr>
              <w:jc w:val="center"/>
              <w:ind w:left="410"/>
              <w:spacing w:after="0"/>
              <w:rPr>
                <w:sz w:val="20"/>
                <w:szCs w:val="20"/>
                <w:color w:val="auto"/>
              </w:rPr>
            </w:pPr>
            <w:r>
              <w:rPr>
                <w:rFonts w:ascii="Times New Roman" w:cs="Times New Roman" w:eastAsia="Times New Roman" w:hAnsi="Times New Roman"/>
                <w:sz w:val="18"/>
                <w:szCs w:val="18"/>
                <w:color w:val="auto"/>
                <w:w w:val="99"/>
              </w:rPr>
              <w:t>2015</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$490 million</w:t>
            </w: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Times New Roman" w:cs="Times New Roman" w:eastAsia="Times New Roman" w:hAnsi="Times New Roman"/>
                <w:sz w:val="18"/>
                <w:szCs w:val="18"/>
                <w:color w:val="auto"/>
                <w:w w:val="99"/>
              </w:rPr>
              <w:t>LA</w:t>
            </w: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1780" w:type="dxa"/>
            <w:vAlign w:val="bottom"/>
            <w:gridSpan w:val="2"/>
            <w:vMerge w:val="continue"/>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Times New Roman" w:cs="Times New Roman" w:eastAsia="Times New Roman" w:hAnsi="Times New Roman"/>
                <w:sz w:val="18"/>
                <w:szCs w:val="18"/>
                <w:color w:val="auto"/>
                <w:w w:val="99"/>
              </w:rPr>
              <w:t>Intuniv</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w w:val="99"/>
              </w:rPr>
              <w:t>Shire</w:t>
            </w:r>
          </w:p>
        </w:tc>
        <w:tc>
          <w:tcPr>
            <w:tcW w:w="22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198" w:lineRule="exact"/>
              <w:rPr>
                <w:sz w:val="20"/>
                <w:szCs w:val="20"/>
                <w:color w:val="auto"/>
              </w:rPr>
            </w:pPr>
            <w:r>
              <w:rPr>
                <w:rFonts w:ascii="Times New Roman" w:cs="Times New Roman" w:eastAsia="Times New Roman" w:hAnsi="Times New Roman"/>
                <w:sz w:val="18"/>
                <w:szCs w:val="18"/>
                <w:color w:val="auto"/>
                <w:w w:val="99"/>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$223 million</w:t>
            </w:r>
          </w:p>
        </w:tc>
        <w:tc>
          <w:tcPr>
            <w:tcW w:w="0" w:type="dxa"/>
            <w:vAlign w:val="bottom"/>
          </w:tcPr>
          <w:p>
            <w:pPr>
              <w:spacing w:after="0"/>
              <w:rPr>
                <w:sz w:val="1"/>
                <w:szCs w:val="1"/>
                <w:color w:val="auto"/>
              </w:rPr>
            </w:pPr>
          </w:p>
        </w:tc>
      </w:tr>
      <w:tr>
        <w:trPr>
          <w:trHeight w:val="126"/>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60"/>
              <w:spacing w:after="0"/>
              <w:rPr>
                <w:sz w:val="20"/>
                <w:szCs w:val="20"/>
                <w:color w:val="auto"/>
              </w:rPr>
            </w:pPr>
            <w:r>
              <w:rPr>
                <w:rFonts w:ascii="Times New Roman" w:cs="Times New Roman" w:eastAsia="Times New Roman" w:hAnsi="Times New Roman"/>
                <w:sz w:val="18"/>
                <w:szCs w:val="18"/>
                <w:color w:val="auto"/>
                <w:w w:val="99"/>
              </w:rPr>
              <w:t>(NE receptor agonist)</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center"/>
              <w:ind w:right="780"/>
              <w:spacing w:after="0" w:line="198" w:lineRule="exact"/>
              <w:rPr>
                <w:sz w:val="20"/>
                <w:szCs w:val="20"/>
                <w:color w:val="auto"/>
              </w:rPr>
            </w:pPr>
            <w:r>
              <w:rPr>
                <w:rFonts w:ascii="Times New Roman" w:cs="Times New Roman" w:eastAsia="Times New Roman" w:hAnsi="Times New Roman"/>
                <w:sz w:val="18"/>
                <w:szCs w:val="18"/>
                <w:color w:val="auto"/>
                <w:w w:val="99"/>
              </w:rPr>
              <w:t>Dextro-</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w w:val="9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w w:val="99"/>
              </w:rPr>
              <w:t>$269 million</w:t>
            </w:r>
          </w:p>
        </w:tc>
        <w:tc>
          <w:tcPr>
            <w:tcW w:w="0" w:type="dxa"/>
            <w:vAlign w:val="bottom"/>
          </w:tcPr>
          <w:p>
            <w:pPr>
              <w:spacing w:after="0"/>
              <w:rPr>
                <w:sz w:val="1"/>
                <w:szCs w:val="1"/>
                <w:color w:val="auto"/>
              </w:rPr>
            </w:pPr>
          </w:p>
        </w:tc>
      </w:tr>
      <w:tr>
        <w:trPr>
          <w:trHeight w:val="126"/>
        </w:trPr>
        <w:tc>
          <w:tcPr>
            <w:tcW w:w="2040" w:type="dxa"/>
            <w:vAlign w:val="bottom"/>
            <w:gridSpan w:val="3"/>
            <w:vMerge w:val="restart"/>
            <w:shd w:val="clear" w:color="auto" w:fill="CCFFCC"/>
          </w:tcPr>
          <w:p>
            <w:pPr>
              <w:jc w:val="center"/>
              <w:ind w:right="540"/>
              <w:spacing w:after="0"/>
              <w:rPr>
                <w:sz w:val="20"/>
                <w:szCs w:val="20"/>
                <w:color w:val="auto"/>
              </w:rPr>
            </w:pPr>
            <w:r>
              <w:rPr>
                <w:rFonts w:ascii="Times New Roman" w:cs="Times New Roman" w:eastAsia="Times New Roman" w:hAnsi="Times New Roman"/>
                <w:sz w:val="18"/>
                <w:szCs w:val="18"/>
                <w:color w:val="auto"/>
              </w:rPr>
              <w:t>amphetamine ER</w:t>
            </w: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gridSpan w:val="3"/>
            <w:vMerge w:val="continue"/>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continue"/>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Times New Roman" w:cs="Times New Roman" w:eastAsia="Times New Roman" w:hAnsi="Times New Roman"/>
                <w:sz w:val="18"/>
                <w:szCs w:val="18"/>
                <w:color w:val="auto"/>
              </w:rPr>
              <w:t>Adderall IR</w:t>
            </w:r>
          </w:p>
        </w:tc>
        <w:tc>
          <w:tcPr>
            <w:tcW w:w="1200" w:type="dxa"/>
            <w:vAlign w:val="bottom"/>
            <w:gridSpan w:val="2"/>
            <w:vMerge w:val="restart"/>
            <w:shd w:val="clear" w:color="auto" w:fill="CCFFCC"/>
          </w:tcPr>
          <w:p>
            <w:pPr>
              <w:jc w:val="center"/>
              <w:ind w:right="460"/>
              <w:spacing w:after="0"/>
              <w:rPr>
                <w:sz w:val="20"/>
                <w:szCs w:val="20"/>
                <w:color w:val="auto"/>
              </w:rPr>
            </w:pPr>
            <w:r>
              <w:rPr>
                <w:rFonts w:ascii="Times New Roman" w:cs="Times New Roman" w:eastAsia="Times New Roman" w:hAnsi="Times New Roman"/>
                <w:sz w:val="18"/>
                <w:szCs w:val="18"/>
                <w:color w:val="auto"/>
                <w:w w:val="9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198" w:lineRule="exact"/>
              <w:rPr>
                <w:sz w:val="20"/>
                <w:szCs w:val="20"/>
                <w:color w:val="auto"/>
              </w:rPr>
            </w:pPr>
            <w:r>
              <w:rPr>
                <w:rFonts w:ascii="Times New Roman" w:cs="Times New Roman" w:eastAsia="Times New Roman" w:hAnsi="Times New Roman"/>
                <w:sz w:val="18"/>
                <w:szCs w:val="18"/>
                <w:color w:val="auto"/>
                <w:w w:val="99"/>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Times New Roman" w:cs="Times New Roman" w:eastAsia="Times New Roman" w:hAnsi="Times New Roman"/>
                <w:sz w:val="18"/>
                <w:szCs w:val="18"/>
                <w:color w:val="auto"/>
              </w:rPr>
              <w:t>$29 million</w:t>
            </w:r>
          </w:p>
        </w:tc>
        <w:tc>
          <w:tcPr>
            <w:tcW w:w="0" w:type="dxa"/>
            <w:vAlign w:val="bottom"/>
          </w:tcPr>
          <w:p>
            <w:pPr>
              <w:spacing w:after="0"/>
              <w:rPr>
                <w:sz w:val="1"/>
                <w:szCs w:val="1"/>
                <w:color w:val="auto"/>
              </w:rPr>
            </w:pPr>
          </w:p>
        </w:tc>
      </w:tr>
      <w:tr>
        <w:trPr>
          <w:trHeight w:val="140"/>
        </w:trPr>
        <w:tc>
          <w:tcPr>
            <w:tcW w:w="260" w:type="dxa"/>
            <w:vAlign w:val="bottom"/>
            <w:shd w:val="clear" w:color="auto" w:fill="CCFFCC"/>
          </w:tcPr>
          <w:p>
            <w:pPr>
              <w:spacing w:after="0"/>
              <w:rPr>
                <w:sz w:val="12"/>
                <w:szCs w:val="12"/>
                <w:color w:val="auto"/>
              </w:rPr>
            </w:pPr>
          </w:p>
        </w:tc>
        <w:tc>
          <w:tcPr>
            <w:tcW w:w="1780" w:type="dxa"/>
            <w:vAlign w:val="bottom"/>
            <w:gridSpan w:val="2"/>
            <w:vMerge w:val="continue"/>
            <w:shd w:val="clear" w:color="auto" w:fill="CCFFCC"/>
          </w:tcPr>
          <w:p>
            <w:pPr>
              <w:spacing w:after="0"/>
              <w:rPr>
                <w:sz w:val="12"/>
                <w:szCs w:val="12"/>
                <w:color w:val="auto"/>
              </w:rPr>
            </w:pPr>
          </w:p>
        </w:tc>
        <w:tc>
          <w:tcPr>
            <w:tcW w:w="1200" w:type="dxa"/>
            <w:vAlign w:val="bottom"/>
            <w:gridSpan w:val="2"/>
            <w:vMerge w:val="continue"/>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720" w:type="dxa"/>
            <w:vAlign w:val="bottom"/>
            <w:gridSpan w:val="2"/>
            <w:vMerge w:val="continue"/>
            <w:shd w:val="clear" w:color="auto" w:fill="CCFFCC"/>
          </w:tcPr>
          <w:p>
            <w:pPr>
              <w:spacing w:after="0"/>
              <w:rPr>
                <w:sz w:val="12"/>
                <w:szCs w:val="12"/>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(Dopamine reuptake inhibitor)</w:t>
            </w:r>
          </w:p>
        </w:tc>
        <w:tc>
          <w:tcPr>
            <w:tcW w:w="2440" w:type="dxa"/>
            <w:vAlign w:val="bottom"/>
            <w:gridSpan w:val="3"/>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0" w:type="dxa"/>
            <w:vAlign w:val="bottom"/>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460" w:type="dxa"/>
            <w:vAlign w:val="bottom"/>
            <w:shd w:val="clear" w:color="auto" w:fill="CCFFCC"/>
          </w:tcPr>
          <w:p>
            <w:pPr>
              <w:spacing w:after="0"/>
              <w:rPr>
                <w:sz w:val="8"/>
                <w:szCs w:val="8"/>
                <w:color w:val="auto"/>
              </w:rPr>
            </w:pPr>
          </w:p>
        </w:tc>
        <w:tc>
          <w:tcPr>
            <w:tcW w:w="500" w:type="dxa"/>
            <w:vAlign w:val="bottom"/>
            <w:shd w:val="clear" w:color="auto" w:fill="CCFFCC"/>
          </w:tcPr>
          <w:p>
            <w:pPr>
              <w:spacing w:after="0"/>
              <w:rPr>
                <w:sz w:val="8"/>
                <w:szCs w:val="8"/>
                <w:color w:val="auto"/>
              </w:rPr>
            </w:pPr>
          </w:p>
        </w:tc>
        <w:tc>
          <w:tcPr>
            <w:tcW w:w="112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3520" w:type="dxa"/>
            <w:vAlign w:val="bottom"/>
            <w:gridSpan w:val="3"/>
            <w:vMerge w:val="continue"/>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Limitations of Current Treatment Options for ADHD</w:t>
      </w:r>
    </w:p>
    <w:p>
      <w:pPr>
        <w:spacing w:after="0" w:line="229" w:lineRule="exact"/>
        <w:rPr>
          <w:sz w:val="20"/>
          <w:szCs w:val="20"/>
          <w:color w:val="auto"/>
        </w:rPr>
      </w:pPr>
    </w:p>
    <w:p>
      <w:pPr>
        <w:ind w:right="140" w:firstLine="401"/>
        <w:spacing w:after="0" w:line="282" w:lineRule="auto"/>
        <w:rPr>
          <w:sz w:val="20"/>
          <w:szCs w:val="20"/>
          <w:color w:val="auto"/>
        </w:rPr>
      </w:pPr>
      <w:r>
        <w:rPr>
          <w:rFonts w:ascii="Times New Roman" w:cs="Times New Roman" w:eastAsia="Times New Roman" w:hAnsi="Times New Roman"/>
          <w:sz w:val="18"/>
          <w:szCs w:val="18"/>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62" w:lineRule="exact"/>
        <w:rPr>
          <w:sz w:val="20"/>
          <w:szCs w:val="20"/>
          <w:color w:val="auto"/>
        </w:rPr>
      </w:pPr>
    </w:p>
    <w:p>
      <w:pPr>
        <w:ind w:right="40" w:firstLine="401"/>
        <w:spacing w:after="0" w:line="273" w:lineRule="auto"/>
        <w:rPr>
          <w:sz w:val="20"/>
          <w:szCs w:val="20"/>
          <w:color w:val="auto"/>
        </w:rPr>
      </w:pPr>
      <w:r>
        <w:rPr>
          <w:rFonts w:ascii="Times New Roman" w:cs="Times New Roman" w:eastAsia="Times New Roman" w:hAnsi="Times New Roman"/>
          <w:sz w:val="17"/>
          <w:szCs w:val="17"/>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25" w:gutter="0" w:footer="0" w:header="0"/>
        </w:sectPr>
      </w:pPr>
    </w:p>
    <w:bookmarkStart w:id="45" w:name="page46"/>
    <w:bookmarkEnd w:id="45"/>
    <w:p>
      <w:pPr>
        <w:ind w:right="220" w:firstLine="401"/>
        <w:spacing w:after="0" w:line="261" w:lineRule="auto"/>
        <w:rPr>
          <w:sz w:val="20"/>
          <w:szCs w:val="20"/>
          <w:color w:val="auto"/>
        </w:rPr>
      </w:pPr>
      <w:r>
        <w:rPr>
          <w:rFonts w:ascii="Times New Roman" w:cs="Times New Roman" w:eastAsia="Times New Roman" w:hAnsi="Times New Roman"/>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40" w:firstLine="376"/>
        <w:spacing w:after="0" w:line="256" w:lineRule="auto"/>
        <w:rPr>
          <w:sz w:val="20"/>
          <w:szCs w:val="20"/>
          <w:color w:val="auto"/>
        </w:rPr>
      </w:pPr>
      <w:r>
        <w:rPr>
          <w:rFonts w:ascii="Times New Roman" w:cs="Times New Roman" w:eastAsia="Times New Roman" w:hAnsi="Times New Roman"/>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88" w:lineRule="exact"/>
        <w:rPr>
          <w:sz w:val="20"/>
          <w:szCs w:val="20"/>
          <w:color w:val="auto"/>
        </w:rPr>
      </w:pPr>
    </w:p>
    <w:p>
      <w:pPr>
        <w:ind w:left="660" w:right="400" w:hanging="328"/>
        <w:spacing w:after="0" w:line="313" w:lineRule="auto"/>
        <w:tabs>
          <w:tab w:leader="none" w:pos="660" w:val="left"/>
        </w:tabs>
        <w:numPr>
          <w:ilvl w:val="0"/>
          <w:numId w:val="39"/>
        </w:numPr>
        <w:rPr>
          <w:rFonts w:ascii="Times New Roman" w:cs="Times New Roman" w:eastAsia="Times New Roman" w:hAnsi="Times New Roman"/>
          <w:sz w:val="17"/>
          <w:szCs w:val="17"/>
          <w:color w:val="A6A6A6"/>
        </w:rPr>
      </w:pPr>
      <w:r>
        <w:rPr>
          <w:rFonts w:ascii="Times New Roman" w:cs="Times New Roman" w:eastAsia="Times New Roman" w:hAnsi="Times New Roman"/>
          <w:sz w:val="17"/>
          <w:szCs w:val="17"/>
          <w:color w:val="auto"/>
        </w:rPr>
        <w:t>Initiate and complete two Phase III clinical trials of MG01CI for the treatment of ADHD in adults, and, if they are successful, file for marketing approval for adults in the U.S.. (Expected initiation in the fourth quarter of 2014 and expected completion in the second quarter of 2015)</w:t>
      </w:r>
    </w:p>
    <w:p>
      <w:pPr>
        <w:spacing w:after="0" w:line="138" w:lineRule="exact"/>
        <w:rPr>
          <w:rFonts w:ascii="Times New Roman" w:cs="Times New Roman" w:eastAsia="Times New Roman" w:hAnsi="Times New Roman"/>
          <w:sz w:val="17"/>
          <w:szCs w:val="17"/>
          <w:color w:val="A6A6A6"/>
        </w:rPr>
      </w:pPr>
    </w:p>
    <w:p>
      <w:pPr>
        <w:ind w:left="660" w:right="40" w:hanging="328"/>
        <w:spacing w:after="0" w:line="282" w:lineRule="auto"/>
        <w:tabs>
          <w:tab w:leader="none" w:pos="660" w:val="left"/>
        </w:tabs>
        <w:numPr>
          <w:ilvl w:val="0"/>
          <w:numId w:val="3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61" w:lineRule="exact"/>
        <w:rPr>
          <w:rFonts w:ascii="Times New Roman" w:cs="Times New Roman" w:eastAsia="Times New Roman" w:hAnsi="Times New Roman"/>
          <w:sz w:val="18"/>
          <w:szCs w:val="18"/>
          <w:color w:val="A6A6A6"/>
        </w:rPr>
      </w:pPr>
    </w:p>
    <w:p>
      <w:pPr>
        <w:jc w:val="both"/>
        <w:ind w:left="660" w:right="180" w:hanging="328"/>
        <w:spacing w:after="0" w:line="313" w:lineRule="auto"/>
        <w:tabs>
          <w:tab w:leader="none" w:pos="660" w:val="left"/>
        </w:tabs>
        <w:numPr>
          <w:ilvl w:val="0"/>
          <w:numId w:val="39"/>
        </w:numPr>
        <w:rPr>
          <w:rFonts w:ascii="Times New Roman" w:cs="Times New Roman" w:eastAsia="Times New Roman" w:hAnsi="Times New Roman"/>
          <w:sz w:val="17"/>
          <w:szCs w:val="17"/>
          <w:color w:val="A6A6A6"/>
        </w:rPr>
      </w:pPr>
      <w:r>
        <w:rPr>
          <w:rFonts w:ascii="Times New Roman" w:cs="Times New Roman" w:eastAsia="Times New Roman" w:hAnsi="Times New Roman"/>
          <w:sz w:val="17"/>
          <w:szCs w:val="17"/>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38" w:lineRule="exact"/>
        <w:rPr>
          <w:rFonts w:ascii="Times New Roman" w:cs="Times New Roman" w:eastAsia="Times New Roman" w:hAnsi="Times New Roman"/>
          <w:sz w:val="17"/>
          <w:szCs w:val="17"/>
          <w:color w:val="A6A6A6"/>
        </w:rPr>
      </w:pPr>
    </w:p>
    <w:p>
      <w:pPr>
        <w:ind w:left="660" w:right="220" w:hanging="328"/>
        <w:spacing w:after="0" w:line="282" w:lineRule="auto"/>
        <w:tabs>
          <w:tab w:leader="none" w:pos="660" w:val="left"/>
        </w:tabs>
        <w:numPr>
          <w:ilvl w:val="0"/>
          <w:numId w:val="3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Prepare to commercialize MG01CI for the treatment of patients with ADHD by establishing distribution capabilities primarily in conjunction with large pharmaceutical companies.</w:t>
      </w:r>
    </w:p>
    <w:p>
      <w:pPr>
        <w:spacing w:after="0" w:line="161" w:lineRule="exact"/>
        <w:rPr>
          <w:rFonts w:ascii="Times New Roman" w:cs="Times New Roman" w:eastAsia="Times New Roman" w:hAnsi="Times New Roman"/>
          <w:sz w:val="18"/>
          <w:szCs w:val="18"/>
          <w:color w:val="A6A6A6"/>
        </w:rPr>
      </w:pPr>
    </w:p>
    <w:p>
      <w:pPr>
        <w:ind w:left="660" w:right="80" w:hanging="328"/>
        <w:spacing w:after="0" w:line="313" w:lineRule="auto"/>
        <w:tabs>
          <w:tab w:leader="none" w:pos="660" w:val="left"/>
        </w:tabs>
        <w:numPr>
          <w:ilvl w:val="0"/>
          <w:numId w:val="39"/>
        </w:numPr>
        <w:rPr>
          <w:rFonts w:ascii="Times New Roman" w:cs="Times New Roman" w:eastAsia="Times New Roman" w:hAnsi="Times New Roman"/>
          <w:sz w:val="17"/>
          <w:szCs w:val="17"/>
          <w:color w:val="A6A6A6"/>
        </w:rPr>
      </w:pPr>
      <w:r>
        <w:rPr>
          <w:rFonts w:ascii="Times New Roman" w:cs="Times New Roman" w:eastAsia="Times New Roman" w:hAnsi="Times New Roman"/>
          <w:sz w:val="17"/>
          <w:szCs w:val="17"/>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38" w:lineRule="exact"/>
        <w:rPr>
          <w:rFonts w:ascii="Times New Roman" w:cs="Times New Roman" w:eastAsia="Times New Roman" w:hAnsi="Times New Roman"/>
          <w:sz w:val="17"/>
          <w:szCs w:val="17"/>
          <w:color w:val="A6A6A6"/>
        </w:rPr>
      </w:pPr>
    </w:p>
    <w:p>
      <w:pPr>
        <w:ind w:left="660" w:right="260" w:hanging="328"/>
        <w:spacing w:after="0" w:line="282" w:lineRule="auto"/>
        <w:tabs>
          <w:tab w:leader="none" w:pos="660" w:val="left"/>
        </w:tabs>
        <w:numPr>
          <w:ilvl w:val="0"/>
          <w:numId w:val="3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Conduct development of additional new molecules in Alcobra's pipeline that are protected by patents, or in-license products in similar therapeutic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that, if issued, would prevent the use by others of Metadoxine to treat ADHD and all other cognitive disorders.</w:t>
      </w:r>
    </w:p>
    <w:p>
      <w:pPr>
        <w:spacing w:after="0" w:line="18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right="20" w:firstLine="389"/>
        <w:spacing w:after="0" w:line="253" w:lineRule="auto"/>
        <w:rPr>
          <w:sz w:val="20"/>
          <w:szCs w:val="20"/>
          <w:color w:val="auto"/>
        </w:rPr>
      </w:pPr>
      <w:r>
        <w:rPr>
          <w:rFonts w:ascii="Times New Roman" w:cs="Times New Roman" w:eastAsia="Times New Roman" w:hAnsi="Times New Roman"/>
          <w:sz w:val="18"/>
          <w:szCs w:val="18"/>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 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211" w:lineRule="exact"/>
        <w:rPr>
          <w:sz w:val="20"/>
          <w:szCs w:val="20"/>
          <w:color w:val="auto"/>
        </w:rPr>
      </w:pPr>
    </w:p>
    <w:p>
      <w:pPr>
        <w:ind w:right="240" w:firstLine="389"/>
        <w:spacing w:after="0" w:line="244" w:lineRule="auto"/>
        <w:rPr>
          <w:sz w:val="20"/>
          <w:szCs w:val="20"/>
          <w:color w:val="auto"/>
        </w:rPr>
      </w:pPr>
      <w:r>
        <w:rPr>
          <w:rFonts w:ascii="Times New Roman" w:cs="Times New Roman" w:eastAsia="Times New Roman" w:hAnsi="Times New Roman"/>
          <w:sz w:val="22"/>
          <w:szCs w:val="22"/>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83"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Data</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Symptom and Clinical Efficacy Measurement</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74" w:lineRule="exact"/>
        <w:rPr>
          <w:sz w:val="20"/>
          <w:szCs w:val="20"/>
          <w:color w:val="auto"/>
        </w:rPr>
      </w:pPr>
    </w:p>
    <w:p>
      <w:pPr>
        <w:jc w:val="both"/>
        <w:ind w:left="420" w:hanging="7"/>
        <w:spacing w:after="0" w:line="259" w:lineRule="auto"/>
        <w:tabs>
          <w:tab w:leader="none" w:pos="510" w:val="left"/>
        </w:tabs>
        <w:numPr>
          <w:ilvl w:val="0"/>
          <w:numId w:val="4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Conners’ Adult ADHD Rating Scales (CAARS). </w:t>
      </w:r>
      <w:r>
        <w:rPr>
          <w:rFonts w:ascii="Times New Roman" w:cs="Times New Roman" w:eastAsia="Times New Roman" w:hAnsi="Times New Roman"/>
          <w:sz w:val="18"/>
          <w:szCs w:val="18"/>
          <w:color w:val="auto"/>
        </w:rPr>
        <w:t>CAARS measure the presence and severity of ADHD symptoms to determine whether or not ADHD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contributing 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79" w:lineRule="exact"/>
        <w:rPr>
          <w:rFonts w:ascii="Times New Roman" w:cs="Times New Roman" w:eastAsia="Times New Roman" w:hAnsi="Times New Roman"/>
          <w:sz w:val="18"/>
          <w:szCs w:val="18"/>
          <w:color w:val="A6A6A6"/>
        </w:rPr>
      </w:pPr>
    </w:p>
    <w:p>
      <w:pPr>
        <w:jc w:val="both"/>
        <w:ind w:left="420" w:hanging="7"/>
        <w:spacing w:after="0" w:line="261" w:lineRule="auto"/>
        <w:tabs>
          <w:tab w:leader="none" w:pos="510" w:val="left"/>
        </w:tabs>
        <w:numPr>
          <w:ilvl w:val="0"/>
          <w:numId w:val="4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Adult ADHD Quality of Life Questionnaire (AAQoL). </w:t>
      </w:r>
      <w:r>
        <w:rPr>
          <w:rFonts w:ascii="Times New Roman" w:cs="Times New Roman" w:eastAsia="Times New Roman" w:hAnsi="Times New Roman"/>
          <w:sz w:val="18"/>
          <w:szCs w:val="18"/>
          <w:color w:val="auto"/>
        </w:rPr>
        <w:t>AAQoL provides a validated disease-specific measure of the impact of ADHD on the quality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It is measured 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80" w:lineRule="exact"/>
        <w:rPr>
          <w:rFonts w:ascii="Times New Roman" w:cs="Times New Roman" w:eastAsia="Times New Roman" w:hAnsi="Times New Roman"/>
          <w:sz w:val="18"/>
          <w:szCs w:val="18"/>
          <w:color w:val="A6A6A6"/>
        </w:rPr>
      </w:pPr>
    </w:p>
    <w:p>
      <w:pPr>
        <w:jc w:val="both"/>
        <w:ind w:left="420" w:hanging="7"/>
        <w:spacing w:after="0" w:line="254" w:lineRule="auto"/>
        <w:tabs>
          <w:tab w:leader="none" w:pos="523" w:val="left"/>
        </w:tabs>
        <w:numPr>
          <w:ilvl w:val="0"/>
          <w:numId w:val="4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Test of Variables of Attention (TOVA). </w:t>
      </w:r>
      <w:r>
        <w:rPr>
          <w:rFonts w:ascii="Times New Roman" w:cs="Times New Roman" w:eastAsia="Times New Roman" w:hAnsi="Times New Roman"/>
          <w:sz w:val="18"/>
          <w:szCs w:val="18"/>
          <w:color w:val="auto"/>
        </w:rPr>
        <w:t>TOVA is a computerized test that assists in the screening, diagnosis, and treatment monitoring of attention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conducted several clinical trials in adult ADHD patients in Israel testing the safety and efficacy of our novel non-stimulant drug candidate,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MG01CI. These trials included: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7" w:name="page48"/>
    <w:bookmarkEnd w:id="47"/>
    <w:p>
      <w:pPr>
        <w:ind w:left="1060" w:right="20" w:hanging="323"/>
        <w:spacing w:after="0" w:line="282" w:lineRule="auto"/>
        <w:tabs>
          <w:tab w:leader="none" w:pos="1060" w:val="left"/>
        </w:tabs>
        <w:numPr>
          <w:ilvl w:val="0"/>
          <w:numId w:val="4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Phase IIa proof of concept study of 38 adult ADHD patients, followed by two extension studies to determine length of efficacy and optimized dosages; and</w:t>
      </w:r>
    </w:p>
    <w:p>
      <w:pPr>
        <w:spacing w:after="0" w:line="161" w:lineRule="exact"/>
        <w:rPr>
          <w:rFonts w:ascii="Times New Roman" w:cs="Times New Roman" w:eastAsia="Times New Roman" w:hAnsi="Times New Roman"/>
          <w:sz w:val="18"/>
          <w:szCs w:val="18"/>
          <w:color w:val="A6A6A6"/>
        </w:rPr>
      </w:pPr>
    </w:p>
    <w:p>
      <w:pPr>
        <w:ind w:left="1060" w:hanging="323"/>
        <w:spacing w:after="0" w:line="282" w:lineRule="auto"/>
        <w:tabs>
          <w:tab w:leader="none" w:pos="1060" w:val="left"/>
        </w:tabs>
        <w:numPr>
          <w:ilvl w:val="0"/>
          <w:numId w:val="4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information about our clinical trials is shown in the following chart.</w:t>
      </w:r>
    </w:p>
    <w:p>
      <w:pPr>
        <w:spacing w:after="0" w:line="27" w:lineRule="exact"/>
        <w:rPr>
          <w:sz w:val="20"/>
          <w:szCs w:val="20"/>
          <w:color w:val="auto"/>
        </w:rPr>
      </w:pPr>
    </w:p>
    <w:tbl>
      <w:tblPr>
        <w:tblLayout w:type="fixed"/>
        <w:tblInd w:w="430" w:type="dxa"/>
        <w:tblCellMar>
          <w:top w:w="0" w:type="dxa"/>
          <w:left w:w="0" w:type="dxa"/>
          <w:bottom w:w="0" w:type="dxa"/>
          <w:right w:w="0" w:type="dxa"/>
        </w:tblCellMar>
      </w:tblPr>
      <w:tr>
        <w:trPr>
          <w:trHeight w:val="210"/>
        </w:trPr>
        <w:tc>
          <w:tcPr>
            <w:tcW w:w="38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82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Phase IIa</w:t>
            </w:r>
          </w:p>
        </w:tc>
        <w:tc>
          <w:tcPr>
            <w:tcW w:w="3880" w:type="dxa"/>
            <w:vAlign w:val="bottom"/>
            <w:tcBorders>
              <w:top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Phase IIb</w:t>
            </w:r>
          </w:p>
        </w:tc>
      </w:tr>
      <w:tr>
        <w:trPr>
          <w:trHeight w:val="210"/>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When the clinical study was held</w:t>
            </w: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Q2-Q3 2011</w:t>
            </w:r>
          </w:p>
        </w:tc>
      </w:tr>
      <w:tr>
        <w:trPr>
          <w:trHeight w:val="21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How long the clinical study was active</w:t>
            </w:r>
          </w:p>
        </w:tc>
        <w:tc>
          <w:tcPr>
            <w:tcW w:w="282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4 months</w:t>
            </w:r>
          </w:p>
        </w:tc>
      </w:tr>
      <w:tr>
        <w:trPr>
          <w:trHeight w:val="191"/>
        </w:trPr>
        <w:tc>
          <w:tcPr>
            <w:tcW w:w="380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How we targeted patients to enroll</w:t>
            </w:r>
          </w:p>
        </w:tc>
        <w:tc>
          <w:tcPr>
            <w:tcW w:w="2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Existing adult patients in local</w:t>
            </w:r>
          </w:p>
        </w:tc>
        <w:tc>
          <w:tcPr>
            <w:tcW w:w="3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Existing adult patients in local clinics; online</w:t>
            </w:r>
          </w:p>
        </w:tc>
      </w:tr>
      <w:tr>
        <w:trPr>
          <w:trHeight w:val="234"/>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ADHD 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advertisement; newspaper advertisement</w:t>
            </w:r>
          </w:p>
        </w:tc>
      </w:tr>
      <w:tr>
        <w:trPr>
          <w:trHeight w:val="191"/>
        </w:trPr>
        <w:tc>
          <w:tcPr>
            <w:tcW w:w="3800" w:type="dxa"/>
            <w:vAlign w:val="bottom"/>
            <w:tcBorders>
              <w:left w:val="single" w:sz="8" w:color="auto"/>
              <w:right w:val="single" w:sz="8" w:color="auto"/>
            </w:tcBorders>
            <w:shd w:val="clear" w:color="auto" w:fill="E5E5E5"/>
          </w:tcPr>
          <w:p>
            <w:pPr>
              <w:ind w:left="100"/>
              <w:spacing w:after="0" w:line="191" w:lineRule="exact"/>
              <w:rPr>
                <w:sz w:val="20"/>
                <w:szCs w:val="20"/>
                <w:color w:val="auto"/>
              </w:rPr>
            </w:pPr>
            <w:r>
              <w:rPr>
                <w:rFonts w:ascii="Times New Roman" w:cs="Times New Roman" w:eastAsia="Times New Roman" w:hAnsi="Times New Roman"/>
                <w:sz w:val="18"/>
                <w:szCs w:val="18"/>
                <w:color w:val="auto"/>
              </w:rPr>
              <w:t>Whether we conducted the study with any other</w:t>
            </w:r>
          </w:p>
        </w:tc>
        <w:tc>
          <w:tcPr>
            <w:tcW w:w="2820" w:type="dxa"/>
            <w:vAlign w:val="bottom"/>
            <w:tcBorders>
              <w:right w:val="single" w:sz="8" w:color="auto"/>
            </w:tcBorders>
            <w:shd w:val="clear" w:color="auto" w:fill="E5E5E5"/>
          </w:tcPr>
          <w:p>
            <w:pPr>
              <w:ind w:left="80"/>
              <w:spacing w:after="0" w:line="191" w:lineRule="exact"/>
              <w:rPr>
                <w:sz w:val="20"/>
                <w:szCs w:val="20"/>
                <w:color w:val="auto"/>
              </w:rPr>
            </w:pPr>
            <w:r>
              <w:rPr>
                <w:rFonts w:ascii="Times New Roman" w:cs="Times New Roman" w:eastAsia="Times New Roman" w:hAnsi="Times New Roman"/>
                <w:sz w:val="18"/>
                <w:szCs w:val="18"/>
                <w:color w:val="auto"/>
              </w:rPr>
              <w:t>No</w:t>
            </w:r>
          </w:p>
        </w:tc>
        <w:tc>
          <w:tcPr>
            <w:tcW w:w="3880" w:type="dxa"/>
            <w:vAlign w:val="bottom"/>
            <w:tcBorders>
              <w:right w:val="single" w:sz="8" w:color="auto"/>
            </w:tcBorders>
            <w:shd w:val="clear" w:color="auto" w:fill="E5E5E5"/>
          </w:tcPr>
          <w:p>
            <w:pPr>
              <w:ind w:left="80"/>
              <w:spacing w:after="0" w:line="191" w:lineRule="exact"/>
              <w:rPr>
                <w:sz w:val="20"/>
                <w:szCs w:val="20"/>
                <w:color w:val="auto"/>
              </w:rPr>
            </w:pPr>
            <w:r>
              <w:rPr>
                <w:rFonts w:ascii="Times New Roman" w:cs="Times New Roman" w:eastAsia="Times New Roman" w:hAnsi="Times New Roman"/>
                <w:sz w:val="18"/>
                <w:szCs w:val="18"/>
                <w:color w:val="auto"/>
              </w:rPr>
              <w:t>No</w:t>
            </w:r>
          </w:p>
        </w:tc>
      </w:tr>
      <w:tr>
        <w:trPr>
          <w:trHeight w:val="23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parties</w:t>
            </w:r>
          </w:p>
        </w:tc>
        <w:tc>
          <w:tcPr>
            <w:tcW w:w="2820" w:type="dxa"/>
            <w:vAlign w:val="bottom"/>
            <w:tcBorders>
              <w:bottom w:val="single" w:sz="8" w:color="auto"/>
              <w:right w:val="single" w:sz="8" w:color="auto"/>
            </w:tcBorders>
            <w:shd w:val="clear" w:color="auto" w:fill="E5E5E5"/>
          </w:tcPr>
          <w:p>
            <w:pPr>
              <w:spacing w:after="0"/>
              <w:rPr>
                <w:sz w:val="20"/>
                <w:szCs w:val="20"/>
                <w:color w:val="auto"/>
              </w:rPr>
            </w:pPr>
          </w:p>
        </w:tc>
        <w:tc>
          <w:tcPr>
            <w:tcW w:w="3880" w:type="dxa"/>
            <w:vAlign w:val="bottom"/>
            <w:tcBorders>
              <w:bottom w:val="single" w:sz="8" w:color="auto"/>
              <w:right w:val="single" w:sz="8" w:color="auto"/>
            </w:tcBorders>
            <w:shd w:val="clear" w:color="auto" w:fill="E5E5E5"/>
          </w:tcPr>
          <w:p>
            <w:pPr>
              <w:spacing w:after="0"/>
              <w:rPr>
                <w:sz w:val="20"/>
                <w:szCs w:val="20"/>
                <w:color w:val="auto"/>
              </w:rPr>
            </w:pPr>
          </w:p>
        </w:tc>
      </w:tr>
      <w:tr>
        <w:trPr>
          <w:trHeight w:val="191"/>
        </w:trPr>
        <w:tc>
          <w:tcPr>
            <w:tcW w:w="380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steps taken to ensure the accuracy of the</w:t>
            </w:r>
          </w:p>
        </w:tc>
        <w:tc>
          <w:tcPr>
            <w:tcW w:w="670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Outside contract research organization (CRO) oversight, including monitoring visits;</w:t>
            </w:r>
          </w:p>
        </w:tc>
      </w:tr>
      <w:tr>
        <w:trPr>
          <w:trHeight w:val="216"/>
        </w:trPr>
        <w:tc>
          <w:tcPr>
            <w:tcW w:w="3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results</w:t>
            </w:r>
          </w:p>
        </w:tc>
        <w:tc>
          <w:tcPr>
            <w:tcW w:w="67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outside medical monitor; double-typing of data in the data management system;</w:t>
            </w:r>
          </w:p>
        </w:tc>
      </w:tr>
      <w:tr>
        <w:trPr>
          <w:trHeight w:val="234"/>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67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automatic and manual query generation; and external expert review</w:t>
            </w:r>
          </w:p>
        </w:tc>
      </w:tr>
    </w:tbl>
    <w:p>
      <w:pPr>
        <w:spacing w:after="0" w:line="19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115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40" w:type="dxa"/>
            <w:vAlign w:val="bottom"/>
            <w:tcBorders>
              <w:bottom w:val="single" w:sz="8" w:color="auto"/>
            </w:tcBorders>
            <w:shd w:val="clear" w:color="auto" w:fill="000000"/>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rPr>
              <w:t>Parameter (n=38)</w:t>
            </w:r>
          </w:p>
        </w:tc>
        <w:tc>
          <w:tcPr>
            <w:tcW w:w="3880" w:type="dxa"/>
            <w:vAlign w:val="bottom"/>
            <w:tcBorders>
              <w:bottom w:val="single" w:sz="8" w:color="auto"/>
            </w:tcBorders>
            <w:gridSpan w:val="2"/>
            <w:shd w:val="clear" w:color="auto" w:fill="000000"/>
          </w:tcPr>
          <w:p>
            <w:pPr>
              <w:jc w:val="center"/>
              <w:ind w:right="310"/>
              <w:spacing w:after="0"/>
              <w:rPr>
                <w:sz w:val="20"/>
                <w:szCs w:val="20"/>
                <w:color w:val="auto"/>
              </w:rPr>
            </w:pPr>
            <w:r>
              <w:rPr>
                <w:rFonts w:ascii="Times New Roman" w:cs="Times New Roman" w:eastAsia="Times New Roman" w:hAnsi="Times New Roman"/>
                <w:sz w:val="18"/>
                <w:szCs w:val="18"/>
                <w:b w:val="1"/>
                <w:bCs w:val="1"/>
                <w:color w:val="FFFFFF"/>
                <w:w w:val="99"/>
              </w:rPr>
              <w:t>Change from baseline</w:t>
            </w:r>
          </w:p>
        </w:tc>
        <w:tc>
          <w:tcPr>
            <w:tcW w:w="3480" w:type="dxa"/>
            <w:vAlign w:val="bottom"/>
            <w:tcBorders>
              <w:bottom w:val="single" w:sz="8" w:color="auto"/>
            </w:tcBorders>
            <w:shd w:val="clear" w:color="auto" w:fill="000000"/>
          </w:tcPr>
          <w:p>
            <w:pPr>
              <w:ind w:left="1560"/>
              <w:spacing w:after="0"/>
              <w:rPr>
                <w:sz w:val="20"/>
                <w:szCs w:val="20"/>
                <w:color w:val="auto"/>
              </w:rPr>
            </w:pPr>
            <w:r>
              <w:rPr>
                <w:rFonts w:ascii="Times New Roman" w:cs="Times New Roman" w:eastAsia="Times New Roman" w:hAnsi="Times New Roman"/>
                <w:sz w:val="18"/>
                <w:szCs w:val="18"/>
                <w:b w:val="1"/>
                <w:bCs w:val="1"/>
                <w:color w:val="FFFFFF"/>
              </w:rPr>
              <w:t>p</w:t>
            </w:r>
          </w:p>
        </w:tc>
      </w:tr>
      <w:tr>
        <w:trPr>
          <w:trHeight w:val="297"/>
        </w:trPr>
        <w:tc>
          <w:tcPr>
            <w:tcW w:w="4040" w:type="dxa"/>
            <w:vAlign w:val="bottom"/>
            <w:shd w:val="clear" w:color="auto" w:fill="CBCBCB"/>
          </w:tcPr>
          <w:p>
            <w:pPr>
              <w:jc w:val="center"/>
              <w:ind w:right="50"/>
              <w:spacing w:after="0"/>
              <w:rPr>
                <w:sz w:val="20"/>
                <w:szCs w:val="20"/>
                <w:color w:val="auto"/>
              </w:rPr>
            </w:pPr>
            <w:r>
              <w:rPr>
                <w:rFonts w:ascii="Times New Roman" w:cs="Times New Roman" w:eastAsia="Times New Roman" w:hAnsi="Times New Roman"/>
                <w:sz w:val="18"/>
                <w:szCs w:val="18"/>
                <w:color w:val="auto"/>
                <w:w w:val="99"/>
              </w:rPr>
              <w:t>Omission Score</w:t>
            </w:r>
          </w:p>
        </w:tc>
        <w:tc>
          <w:tcPr>
            <w:tcW w:w="1600" w:type="dxa"/>
            <w:vAlign w:val="bottom"/>
            <w:shd w:val="clear" w:color="auto" w:fill="CBCBCB"/>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80" w:type="dxa"/>
            <w:vAlign w:val="bottom"/>
            <w:shd w:val="clear" w:color="auto" w:fill="CBCBCB"/>
          </w:tcPr>
          <w:p>
            <w:pPr>
              <w:ind w:left="20"/>
              <w:spacing w:after="0"/>
              <w:rPr>
                <w:sz w:val="20"/>
                <w:szCs w:val="20"/>
                <w:color w:val="auto"/>
              </w:rPr>
            </w:pPr>
            <w:r>
              <w:rPr>
                <w:rFonts w:ascii="Times New Roman" w:cs="Times New Roman" w:eastAsia="Times New Roman" w:hAnsi="Times New Roman"/>
                <w:sz w:val="18"/>
                <w:szCs w:val="18"/>
                <w:color w:val="auto"/>
              </w:rPr>
              <w:t>(+16.6%)</w:t>
            </w:r>
          </w:p>
        </w:tc>
        <w:tc>
          <w:tcPr>
            <w:tcW w:w="3480" w:type="dxa"/>
            <w:vAlign w:val="bottom"/>
            <w:shd w:val="clear" w:color="auto" w:fill="CBCBCB"/>
          </w:tcPr>
          <w:p>
            <w:pPr>
              <w:jc w:val="center"/>
              <w:ind w:right="170"/>
              <w:spacing w:after="0"/>
              <w:rPr>
                <w:sz w:val="20"/>
                <w:szCs w:val="20"/>
                <w:color w:val="auto"/>
              </w:rPr>
            </w:pPr>
            <w:r>
              <w:rPr>
                <w:rFonts w:ascii="Times New Roman" w:cs="Times New Roman" w:eastAsia="Times New Roman" w:hAnsi="Times New Roman"/>
                <w:sz w:val="18"/>
                <w:szCs w:val="18"/>
                <w:color w:val="auto"/>
                <w:w w:val="98"/>
              </w:rPr>
              <w:t>p&lt;0.03</w:t>
            </w:r>
          </w:p>
        </w:tc>
      </w:tr>
      <w:tr>
        <w:trPr>
          <w:trHeight w:val="284"/>
        </w:trPr>
        <w:tc>
          <w:tcPr>
            <w:tcW w:w="4040" w:type="dxa"/>
            <w:vAlign w:val="bottom"/>
            <w:shd w:val="clear" w:color="auto" w:fill="E7E7E7"/>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Commission Score</w:t>
            </w:r>
          </w:p>
        </w:tc>
        <w:tc>
          <w:tcPr>
            <w:tcW w:w="16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80" w:type="dxa"/>
            <w:vAlign w:val="bottom"/>
            <w:shd w:val="clear" w:color="auto" w:fill="E7E7E7"/>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3480" w:type="dxa"/>
            <w:vAlign w:val="bottom"/>
            <w:shd w:val="clear" w:color="auto" w:fill="E7E7E7"/>
          </w:tcPr>
          <w:p>
            <w:pPr>
              <w:jc w:val="center"/>
              <w:ind w:right="170"/>
              <w:spacing w:after="0"/>
              <w:rPr>
                <w:sz w:val="20"/>
                <w:szCs w:val="20"/>
                <w:color w:val="auto"/>
              </w:rPr>
            </w:pPr>
            <w:r>
              <w:rPr>
                <w:rFonts w:ascii="Times New Roman" w:cs="Times New Roman" w:eastAsia="Times New Roman" w:hAnsi="Times New Roman"/>
                <w:sz w:val="18"/>
                <w:szCs w:val="18"/>
                <w:color w:val="auto"/>
                <w:w w:val="98"/>
              </w:rPr>
              <w:t>p&lt;0.01</w:t>
            </w:r>
          </w:p>
        </w:tc>
      </w:tr>
      <w:tr>
        <w:trPr>
          <w:trHeight w:val="284"/>
        </w:trPr>
        <w:tc>
          <w:tcPr>
            <w:tcW w:w="4040" w:type="dxa"/>
            <w:vAlign w:val="bottom"/>
            <w:shd w:val="clear" w:color="auto" w:fill="CBCBCB"/>
          </w:tcPr>
          <w:p>
            <w:pPr>
              <w:jc w:val="center"/>
              <w:ind w:right="30"/>
              <w:spacing w:after="0"/>
              <w:rPr>
                <w:sz w:val="20"/>
                <w:szCs w:val="20"/>
                <w:color w:val="auto"/>
              </w:rPr>
            </w:pPr>
            <w:r>
              <w:rPr>
                <w:rFonts w:ascii="Times New Roman" w:cs="Times New Roman" w:eastAsia="Times New Roman" w:hAnsi="Times New Roman"/>
                <w:sz w:val="18"/>
                <w:szCs w:val="18"/>
                <w:color w:val="auto"/>
                <w:w w:val="99"/>
              </w:rPr>
              <w:t>Response Time Score</w:t>
            </w:r>
          </w:p>
        </w:tc>
        <w:tc>
          <w:tcPr>
            <w:tcW w:w="1600" w:type="dxa"/>
            <w:vAlign w:val="bottom"/>
            <w:shd w:val="clear" w:color="auto" w:fill="CBCBCB"/>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80" w:type="dxa"/>
            <w:vAlign w:val="bottom"/>
            <w:shd w:val="clear" w:color="auto" w:fill="CBCBCB"/>
          </w:tcPr>
          <w:p>
            <w:pPr>
              <w:ind w:left="20"/>
              <w:spacing w:after="0"/>
              <w:rPr>
                <w:sz w:val="20"/>
                <w:szCs w:val="20"/>
                <w:color w:val="auto"/>
              </w:rPr>
            </w:pPr>
            <w:r>
              <w:rPr>
                <w:rFonts w:ascii="Times New Roman" w:cs="Times New Roman" w:eastAsia="Times New Roman" w:hAnsi="Times New Roman"/>
                <w:sz w:val="18"/>
                <w:szCs w:val="18"/>
                <w:color w:val="auto"/>
              </w:rPr>
              <w:t>(+12.4%)</w:t>
            </w:r>
          </w:p>
        </w:tc>
        <w:tc>
          <w:tcPr>
            <w:tcW w:w="3480" w:type="dxa"/>
            <w:vAlign w:val="bottom"/>
            <w:shd w:val="clear" w:color="auto" w:fill="CBCBCB"/>
          </w:tcPr>
          <w:p>
            <w:pPr>
              <w:jc w:val="center"/>
              <w:ind w:right="170"/>
              <w:spacing w:after="0"/>
              <w:rPr>
                <w:sz w:val="20"/>
                <w:szCs w:val="20"/>
                <w:color w:val="auto"/>
              </w:rPr>
            </w:pPr>
            <w:r>
              <w:rPr>
                <w:rFonts w:ascii="Times New Roman" w:cs="Times New Roman" w:eastAsia="Times New Roman" w:hAnsi="Times New Roman"/>
                <w:sz w:val="18"/>
                <w:szCs w:val="18"/>
                <w:color w:val="auto"/>
                <w:w w:val="98"/>
              </w:rPr>
              <w:t>p&lt;0.02</w:t>
            </w:r>
          </w:p>
        </w:tc>
      </w:tr>
      <w:tr>
        <w:trPr>
          <w:trHeight w:val="284"/>
        </w:trPr>
        <w:tc>
          <w:tcPr>
            <w:tcW w:w="4040" w:type="dxa"/>
            <w:vAlign w:val="bottom"/>
            <w:shd w:val="clear" w:color="auto" w:fill="E7E7E7"/>
          </w:tcPr>
          <w:p>
            <w:pPr>
              <w:jc w:val="center"/>
              <w:ind w:right="50"/>
              <w:spacing w:after="0"/>
              <w:rPr>
                <w:sz w:val="20"/>
                <w:szCs w:val="20"/>
                <w:color w:val="auto"/>
              </w:rPr>
            </w:pPr>
            <w:r>
              <w:rPr>
                <w:rFonts w:ascii="Times New Roman" w:cs="Times New Roman" w:eastAsia="Times New Roman" w:hAnsi="Times New Roman"/>
                <w:sz w:val="18"/>
                <w:szCs w:val="18"/>
                <w:color w:val="auto"/>
                <w:w w:val="99"/>
              </w:rPr>
              <w:t>Response Time Variability Score</w:t>
            </w:r>
          </w:p>
        </w:tc>
        <w:tc>
          <w:tcPr>
            <w:tcW w:w="16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80" w:type="dxa"/>
            <w:vAlign w:val="bottom"/>
            <w:shd w:val="clear" w:color="auto" w:fill="E7E7E7"/>
          </w:tcPr>
          <w:p>
            <w:pPr>
              <w:ind w:left="20"/>
              <w:spacing w:after="0"/>
              <w:rPr>
                <w:sz w:val="20"/>
                <w:szCs w:val="20"/>
                <w:color w:val="auto"/>
              </w:rPr>
            </w:pPr>
            <w:r>
              <w:rPr>
                <w:rFonts w:ascii="Times New Roman" w:cs="Times New Roman" w:eastAsia="Times New Roman" w:hAnsi="Times New Roman"/>
                <w:sz w:val="18"/>
                <w:szCs w:val="18"/>
                <w:color w:val="auto"/>
              </w:rPr>
              <w:t>(+38.6%)</w:t>
            </w:r>
          </w:p>
        </w:tc>
        <w:tc>
          <w:tcPr>
            <w:tcW w:w="3480" w:type="dxa"/>
            <w:vAlign w:val="bottom"/>
            <w:shd w:val="clear" w:color="auto" w:fill="E7E7E7"/>
          </w:tcPr>
          <w:p>
            <w:pPr>
              <w:jc w:val="center"/>
              <w:ind w:right="150"/>
              <w:spacing w:after="0"/>
              <w:rPr>
                <w:sz w:val="20"/>
                <w:szCs w:val="20"/>
                <w:color w:val="auto"/>
              </w:rPr>
            </w:pPr>
            <w:r>
              <w:rPr>
                <w:rFonts w:ascii="Times New Roman" w:cs="Times New Roman" w:eastAsia="Times New Roman" w:hAnsi="Times New Roman"/>
                <w:sz w:val="18"/>
                <w:szCs w:val="18"/>
                <w:color w:val="auto"/>
              </w:rPr>
              <w:t>p&lt;0.001</w:t>
            </w:r>
          </w:p>
        </w:tc>
      </w:tr>
      <w:tr>
        <w:trPr>
          <w:trHeight w:val="284"/>
        </w:trPr>
        <w:tc>
          <w:tcPr>
            <w:tcW w:w="4040" w:type="dxa"/>
            <w:vAlign w:val="bottom"/>
            <w:shd w:val="clear" w:color="auto" w:fill="CBCBCB"/>
          </w:tcPr>
          <w:p>
            <w:pPr>
              <w:jc w:val="center"/>
              <w:ind w:right="50"/>
              <w:spacing w:after="0"/>
              <w:rPr>
                <w:sz w:val="20"/>
                <w:szCs w:val="20"/>
                <w:color w:val="auto"/>
              </w:rPr>
            </w:pPr>
            <w:r>
              <w:rPr>
                <w:rFonts w:ascii="Times New Roman" w:cs="Times New Roman" w:eastAsia="Times New Roman" w:hAnsi="Times New Roman"/>
                <w:sz w:val="18"/>
                <w:szCs w:val="18"/>
                <w:color w:val="auto"/>
              </w:rPr>
              <w:t>ADHD Score</w:t>
            </w:r>
          </w:p>
        </w:tc>
        <w:tc>
          <w:tcPr>
            <w:tcW w:w="3880" w:type="dxa"/>
            <w:vAlign w:val="bottom"/>
            <w:gridSpan w:val="2"/>
            <w:shd w:val="clear" w:color="auto" w:fill="CBCBCB"/>
          </w:tcPr>
          <w:p>
            <w:pPr>
              <w:jc w:val="right"/>
              <w:ind w:right="1530"/>
              <w:spacing w:after="0"/>
              <w:rPr>
                <w:sz w:val="20"/>
                <w:szCs w:val="20"/>
                <w:color w:val="auto"/>
              </w:rPr>
            </w:pPr>
            <w:r>
              <w:rPr>
                <w:rFonts w:ascii="Times New Roman" w:cs="Times New Roman" w:eastAsia="Times New Roman" w:hAnsi="Times New Roman"/>
                <w:sz w:val="18"/>
                <w:szCs w:val="18"/>
                <w:color w:val="auto"/>
              </w:rPr>
              <w:t>+3.9 (+65.8%)</w:t>
            </w:r>
          </w:p>
        </w:tc>
        <w:tc>
          <w:tcPr>
            <w:tcW w:w="3480" w:type="dxa"/>
            <w:vAlign w:val="bottom"/>
            <w:shd w:val="clear" w:color="auto" w:fill="CBCBCB"/>
          </w:tcPr>
          <w:p>
            <w:pPr>
              <w:jc w:val="center"/>
              <w:ind w:right="150"/>
              <w:spacing w:after="0"/>
              <w:rPr>
                <w:sz w:val="20"/>
                <w:szCs w:val="20"/>
                <w:color w:val="auto"/>
              </w:rPr>
            </w:pPr>
            <w:r>
              <w:rPr>
                <w:rFonts w:ascii="Times New Roman" w:cs="Times New Roman" w:eastAsia="Times New Roman" w:hAnsi="Times New Roman"/>
                <w:sz w:val="18"/>
                <w:szCs w:val="18"/>
                <w:color w:val="auto"/>
              </w:rPr>
              <w:t>p&lt;0.001</w:t>
            </w: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TOVA Subscores</w:t>
      </w:r>
    </w:p>
    <w:p>
      <w:pPr>
        <w:spacing w:after="0" w:line="2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2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WAIS-R subtest</w:t>
            </w:r>
          </w:p>
        </w:tc>
        <w:tc>
          <w:tcPr>
            <w:tcW w:w="2560" w:type="dxa"/>
            <w:vAlign w:val="bottom"/>
            <w:vMerge w:val="restart"/>
            <w:shd w:val="clear" w:color="auto" w:fill="000000"/>
          </w:tcPr>
          <w:p>
            <w:pPr>
              <w:ind w:left="360"/>
              <w:spacing w:after="0"/>
              <w:rPr>
                <w:sz w:val="20"/>
                <w:szCs w:val="20"/>
                <w:color w:val="auto"/>
              </w:rPr>
            </w:pPr>
            <w:r>
              <w:rPr>
                <w:rFonts w:ascii="Times New Roman" w:cs="Times New Roman" w:eastAsia="Times New Roman" w:hAnsi="Times New Roman"/>
                <w:sz w:val="18"/>
                <w:szCs w:val="18"/>
                <w:b w:val="1"/>
                <w:bCs w:val="1"/>
                <w:color w:val="FFFFFF"/>
              </w:rPr>
              <w:t>Baseline mean (min,max)</w:t>
            </w:r>
          </w:p>
        </w:tc>
        <w:tc>
          <w:tcPr>
            <w:tcW w:w="3160" w:type="dxa"/>
            <w:vAlign w:val="bottom"/>
            <w:gridSpan w:val="2"/>
            <w:vMerge w:val="restart"/>
            <w:shd w:val="clear" w:color="auto" w:fill="000000"/>
          </w:tcPr>
          <w:p>
            <w:pPr>
              <w:ind w:left="240"/>
              <w:spacing w:after="0"/>
              <w:rPr>
                <w:sz w:val="20"/>
                <w:szCs w:val="20"/>
                <w:color w:val="auto"/>
              </w:rPr>
            </w:pPr>
            <w:r>
              <w:rPr>
                <w:rFonts w:ascii="Times New Roman" w:cs="Times New Roman" w:eastAsia="Times New Roman" w:hAnsi="Times New Roman"/>
                <w:sz w:val="18"/>
                <w:szCs w:val="18"/>
                <w:b w:val="1"/>
                <w:bCs w:val="1"/>
                <w:color w:val="FFFFFF"/>
              </w:rPr>
              <w:t>Post medication mean (min,max)</w:t>
            </w:r>
          </w:p>
        </w:tc>
        <w:tc>
          <w:tcPr>
            <w:tcW w:w="1560" w:type="dxa"/>
            <w:vAlign w:val="bottom"/>
            <w:vMerge w:val="restart"/>
            <w:shd w:val="clear" w:color="auto" w:fill="000000"/>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8"/>
              </w:rPr>
              <w:t>Change</w:t>
            </w:r>
          </w:p>
        </w:tc>
        <w:tc>
          <w:tcPr>
            <w:tcW w:w="2040" w:type="dxa"/>
            <w:vAlign w:val="bottom"/>
            <w:vMerge w:val="restart"/>
            <w:shd w:val="clear" w:color="auto" w:fill="000000"/>
          </w:tcPr>
          <w:p>
            <w:pPr>
              <w:ind w:left="860"/>
              <w:spacing w:after="0"/>
              <w:rPr>
                <w:sz w:val="20"/>
                <w:szCs w:val="20"/>
                <w:color w:val="auto"/>
              </w:rPr>
            </w:pPr>
            <w:r>
              <w:rPr>
                <w:rFonts w:ascii="Times New Roman" w:cs="Times New Roman" w:eastAsia="Times New Roman" w:hAnsi="Times New Roman"/>
                <w:sz w:val="18"/>
                <w:szCs w:val="18"/>
                <w:b w:val="1"/>
                <w:bCs w:val="1"/>
                <w:color w:val="FFFFFF"/>
              </w:rPr>
              <w:t>p</w:t>
            </w:r>
          </w:p>
        </w:tc>
        <w:tc>
          <w:tcPr>
            <w:tcW w:w="0" w:type="dxa"/>
            <w:vAlign w:val="bottom"/>
          </w:tcPr>
          <w:p>
            <w:pPr>
              <w:spacing w:after="0"/>
              <w:rPr>
                <w:sz w:val="1"/>
                <w:szCs w:val="1"/>
                <w:color w:val="auto"/>
              </w:rPr>
            </w:pPr>
          </w:p>
        </w:tc>
      </w:tr>
      <w:tr>
        <w:trPr>
          <w:trHeight w:val="238"/>
        </w:trPr>
        <w:tc>
          <w:tcPr>
            <w:tcW w:w="20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(n-38)</w:t>
            </w:r>
          </w:p>
        </w:tc>
        <w:tc>
          <w:tcPr>
            <w:tcW w:w="2560" w:type="dxa"/>
            <w:vAlign w:val="bottom"/>
            <w:vMerge w:val="continue"/>
            <w:shd w:val="clear" w:color="auto" w:fill="000000"/>
          </w:tcPr>
          <w:p>
            <w:pPr>
              <w:spacing w:after="0"/>
              <w:rPr>
                <w:sz w:val="20"/>
                <w:szCs w:val="20"/>
                <w:color w:val="auto"/>
              </w:rPr>
            </w:pPr>
          </w:p>
        </w:tc>
        <w:tc>
          <w:tcPr>
            <w:tcW w:w="3160" w:type="dxa"/>
            <w:vAlign w:val="bottom"/>
            <w:gridSpan w:val="2"/>
            <w:vMerge w:val="continue"/>
            <w:shd w:val="clear" w:color="auto" w:fill="000000"/>
          </w:tcPr>
          <w:p>
            <w:pPr>
              <w:spacing w:after="0"/>
              <w:rPr>
                <w:sz w:val="20"/>
                <w:szCs w:val="20"/>
                <w:color w:val="auto"/>
              </w:rPr>
            </w:pPr>
          </w:p>
        </w:tc>
        <w:tc>
          <w:tcPr>
            <w:tcW w:w="1560" w:type="dxa"/>
            <w:vAlign w:val="bottom"/>
            <w:vMerge w:val="continue"/>
            <w:shd w:val="clear" w:color="auto" w:fill="000000"/>
          </w:tcPr>
          <w:p>
            <w:pPr>
              <w:spacing w:after="0"/>
              <w:rPr>
                <w:sz w:val="20"/>
                <w:szCs w:val="20"/>
                <w:color w:val="auto"/>
              </w:rPr>
            </w:pPr>
          </w:p>
        </w:tc>
        <w:tc>
          <w:tcPr>
            <w:tcW w:w="2040" w:type="dxa"/>
            <w:vAlign w:val="bottom"/>
            <w:vMerge w:val="continue"/>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000000"/>
          </w:tcPr>
          <w:p>
            <w:pPr>
              <w:spacing w:after="0"/>
              <w:rPr>
                <w:sz w:val="21"/>
                <w:szCs w:val="21"/>
                <w:color w:val="auto"/>
              </w:rPr>
            </w:pPr>
          </w:p>
        </w:tc>
        <w:tc>
          <w:tcPr>
            <w:tcW w:w="2560" w:type="dxa"/>
            <w:vAlign w:val="bottom"/>
            <w:shd w:val="clear" w:color="auto" w:fill="000000"/>
          </w:tcPr>
          <w:p>
            <w:pPr>
              <w:spacing w:after="0"/>
              <w:rPr>
                <w:sz w:val="21"/>
                <w:szCs w:val="21"/>
                <w:color w:val="auto"/>
              </w:rPr>
            </w:pPr>
          </w:p>
        </w:tc>
        <w:tc>
          <w:tcPr>
            <w:tcW w:w="1400" w:type="dxa"/>
            <w:vAlign w:val="bottom"/>
            <w:shd w:val="clear" w:color="auto" w:fill="000000"/>
          </w:tcPr>
          <w:p>
            <w:pPr>
              <w:spacing w:after="0"/>
              <w:rPr>
                <w:sz w:val="21"/>
                <w:szCs w:val="21"/>
                <w:color w:val="auto"/>
              </w:rPr>
            </w:pPr>
          </w:p>
        </w:tc>
        <w:tc>
          <w:tcPr>
            <w:tcW w:w="1760" w:type="dxa"/>
            <w:vAlign w:val="bottom"/>
            <w:shd w:val="clear" w:color="auto" w:fill="000000"/>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20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rPr>
              <w:t>Correct Symbols</w:t>
            </w:r>
          </w:p>
        </w:tc>
        <w:tc>
          <w:tcPr>
            <w:tcW w:w="2560" w:type="dxa"/>
            <w:vAlign w:val="bottom"/>
            <w:shd w:val="clear" w:color="auto" w:fill="BFBFBF"/>
          </w:tcPr>
          <w:p>
            <w:pPr>
              <w:jc w:val="center"/>
              <w:ind w:left="30"/>
              <w:spacing w:after="0"/>
              <w:rPr>
                <w:sz w:val="20"/>
                <w:szCs w:val="20"/>
                <w:color w:val="auto"/>
              </w:rPr>
            </w:pPr>
            <w:r>
              <w:rPr>
                <w:rFonts w:ascii="Times New Roman" w:cs="Times New Roman" w:eastAsia="Times New Roman" w:hAnsi="Times New Roman"/>
                <w:sz w:val="18"/>
                <w:szCs w:val="18"/>
                <w:color w:val="auto"/>
                <w:w w:val="99"/>
              </w:rPr>
              <w:t>34.5 (18,59)</w:t>
            </w:r>
          </w:p>
        </w:tc>
        <w:tc>
          <w:tcPr>
            <w:tcW w:w="1400" w:type="dxa"/>
            <w:vAlign w:val="bottom"/>
            <w:shd w:val="clear" w:color="auto" w:fill="BFBFB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760" w:type="dxa"/>
            <w:vAlign w:val="bottom"/>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(22,57)</w:t>
            </w:r>
          </w:p>
        </w:tc>
        <w:tc>
          <w:tcPr>
            <w:tcW w:w="1560" w:type="dxa"/>
            <w:vAlign w:val="bottom"/>
            <w:shd w:val="clear" w:color="auto" w:fill="BFBFBF"/>
          </w:tcPr>
          <w:p>
            <w:pPr>
              <w:jc w:val="center"/>
              <w:ind w:right="130"/>
              <w:spacing w:after="0"/>
              <w:rPr>
                <w:sz w:val="20"/>
                <w:szCs w:val="20"/>
                <w:color w:val="auto"/>
              </w:rPr>
            </w:pPr>
            <w:r>
              <w:rPr>
                <w:rFonts w:ascii="Times New Roman" w:cs="Times New Roman" w:eastAsia="Times New Roman" w:hAnsi="Times New Roman"/>
                <w:sz w:val="18"/>
                <w:szCs w:val="18"/>
                <w:color w:val="auto"/>
              </w:rPr>
              <w:t>+3.4</w:t>
            </w:r>
          </w:p>
        </w:tc>
        <w:tc>
          <w:tcPr>
            <w:tcW w:w="2040" w:type="dxa"/>
            <w:vAlign w:val="bottom"/>
            <w:shd w:val="clear" w:color="auto" w:fill="BFBFBF"/>
          </w:tcPr>
          <w:p>
            <w:pPr>
              <w:jc w:val="center"/>
              <w:ind w:right="150"/>
              <w:spacing w:after="0"/>
              <w:rPr>
                <w:sz w:val="20"/>
                <w:szCs w:val="20"/>
                <w:color w:val="auto"/>
              </w:rPr>
            </w:pPr>
            <w:r>
              <w:rPr>
                <w:rFonts w:ascii="Times New Roman" w:cs="Times New Roman" w:eastAsia="Times New Roman" w:hAnsi="Times New Roman"/>
                <w:sz w:val="18"/>
                <w:szCs w:val="18"/>
                <w:color w:val="auto"/>
              </w:rPr>
              <w:t>p&lt;0.002</w:t>
            </w:r>
          </w:p>
        </w:tc>
        <w:tc>
          <w:tcPr>
            <w:tcW w:w="0" w:type="dxa"/>
            <w:vAlign w:val="bottom"/>
          </w:tcPr>
          <w:p>
            <w:pPr>
              <w:spacing w:after="0"/>
              <w:rPr>
                <w:sz w:val="1"/>
                <w:szCs w:val="1"/>
                <w:color w:val="auto"/>
              </w:rPr>
            </w:pPr>
          </w:p>
        </w:tc>
      </w:tr>
      <w:tr>
        <w:trPr>
          <w:trHeight w:val="108"/>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3160" w:type="dxa"/>
            <w:vAlign w:val="bottom"/>
            <w:gridSpan w:val="2"/>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Symbol Search</w:t>
            </w:r>
          </w:p>
        </w:tc>
        <w:tc>
          <w:tcPr>
            <w:tcW w:w="2560" w:type="dxa"/>
            <w:vAlign w:val="bottom"/>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w w:val="98"/>
              </w:rPr>
              <w:t>74.6 (54,119)</w:t>
            </w:r>
          </w:p>
        </w:tc>
        <w:tc>
          <w:tcPr>
            <w:tcW w:w="3160" w:type="dxa"/>
            <w:vAlign w:val="bottom"/>
            <w:gridSpan w:val="2"/>
            <w:shd w:val="clear" w:color="auto" w:fill="D9D9D9"/>
          </w:tcPr>
          <w:p>
            <w:pPr>
              <w:jc w:val="right"/>
              <w:ind w:right="1090"/>
              <w:spacing w:after="0"/>
              <w:rPr>
                <w:sz w:val="20"/>
                <w:szCs w:val="20"/>
                <w:color w:val="auto"/>
              </w:rPr>
            </w:pPr>
            <w:r>
              <w:rPr>
                <w:rFonts w:ascii="Times New Roman" w:cs="Times New Roman" w:eastAsia="Times New Roman" w:hAnsi="Times New Roman"/>
                <w:sz w:val="18"/>
                <w:szCs w:val="18"/>
                <w:color w:val="auto"/>
              </w:rPr>
              <w:t>81.7 (61,112)</w:t>
            </w:r>
          </w:p>
        </w:tc>
        <w:tc>
          <w:tcPr>
            <w:tcW w:w="1560" w:type="dxa"/>
            <w:vAlign w:val="bottom"/>
            <w:shd w:val="clear" w:color="auto" w:fill="D9D9D9"/>
          </w:tcPr>
          <w:p>
            <w:pPr>
              <w:jc w:val="center"/>
              <w:ind w:right="130"/>
              <w:spacing w:after="0"/>
              <w:rPr>
                <w:sz w:val="20"/>
                <w:szCs w:val="20"/>
                <w:color w:val="auto"/>
              </w:rPr>
            </w:pPr>
            <w:r>
              <w:rPr>
                <w:rFonts w:ascii="Times New Roman" w:cs="Times New Roman" w:eastAsia="Times New Roman" w:hAnsi="Times New Roman"/>
                <w:sz w:val="18"/>
                <w:szCs w:val="18"/>
                <w:color w:val="auto"/>
              </w:rPr>
              <w:t>+7.2</w:t>
            </w:r>
          </w:p>
        </w:tc>
        <w:tc>
          <w:tcPr>
            <w:tcW w:w="2040" w:type="dxa"/>
            <w:vAlign w:val="bottom"/>
            <w:shd w:val="clear" w:color="auto" w:fill="D9D9D9"/>
          </w:tcPr>
          <w:p>
            <w:pPr>
              <w:jc w:val="center"/>
              <w:ind w:right="150"/>
              <w:spacing w:after="0"/>
              <w:rPr>
                <w:sz w:val="20"/>
                <w:szCs w:val="20"/>
                <w:color w:val="auto"/>
              </w:rPr>
            </w:pPr>
            <w:r>
              <w:rPr>
                <w:rFonts w:ascii="Times New Roman" w:cs="Times New Roman" w:eastAsia="Times New Roman" w:hAnsi="Times New Roman"/>
                <w:sz w:val="18"/>
                <w:szCs w:val="18"/>
                <w:color w:val="auto"/>
              </w:rPr>
              <w:t>p&lt;0.001</w:t>
            </w:r>
          </w:p>
        </w:tc>
        <w:tc>
          <w:tcPr>
            <w:tcW w:w="0" w:type="dxa"/>
            <w:vAlign w:val="bottom"/>
          </w:tcPr>
          <w:p>
            <w:pPr>
              <w:spacing w:after="0"/>
              <w:rPr>
                <w:sz w:val="1"/>
                <w:szCs w:val="1"/>
                <w:color w:val="auto"/>
              </w:rPr>
            </w:pPr>
          </w:p>
        </w:tc>
      </w:tr>
      <w:tr>
        <w:trPr>
          <w:trHeight w:val="103"/>
        </w:trPr>
        <w:tc>
          <w:tcPr>
            <w:tcW w:w="204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3160" w:type="dxa"/>
            <w:vAlign w:val="bottom"/>
            <w:gridSpan w:val="2"/>
            <w:shd w:val="clear" w:color="auto" w:fill="D9D9D9"/>
          </w:tcPr>
          <w:p>
            <w:pPr>
              <w:spacing w:after="0"/>
              <w:rPr>
                <w:sz w:val="8"/>
                <w:szCs w:val="8"/>
                <w:color w:val="auto"/>
              </w:rPr>
            </w:pPr>
          </w:p>
        </w:tc>
        <w:tc>
          <w:tcPr>
            <w:tcW w:w="1560" w:type="dxa"/>
            <w:vAlign w:val="bottom"/>
            <w:shd w:val="clear" w:color="auto" w:fill="D9D9D9"/>
          </w:tcPr>
          <w:p>
            <w:pPr>
              <w:spacing w:after="0"/>
              <w:rPr>
                <w:sz w:val="8"/>
                <w:szCs w:val="8"/>
                <w:color w:val="auto"/>
              </w:rPr>
            </w:pPr>
          </w:p>
        </w:tc>
        <w:tc>
          <w:tcPr>
            <w:tcW w:w="204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rPr>
              <w:t>Digits Forward</w:t>
            </w:r>
          </w:p>
        </w:tc>
        <w:tc>
          <w:tcPr>
            <w:tcW w:w="2560" w:type="dxa"/>
            <w:vAlign w:val="bottom"/>
            <w:shd w:val="clear" w:color="auto" w:fill="BFBFBF"/>
          </w:tcPr>
          <w:p>
            <w:pPr>
              <w:jc w:val="center"/>
              <w:ind w:left="30"/>
              <w:spacing w:after="0"/>
              <w:rPr>
                <w:sz w:val="20"/>
                <w:szCs w:val="20"/>
                <w:color w:val="auto"/>
              </w:rPr>
            </w:pPr>
            <w:r>
              <w:rPr>
                <w:rFonts w:ascii="Times New Roman" w:cs="Times New Roman" w:eastAsia="Times New Roman" w:hAnsi="Times New Roman"/>
                <w:sz w:val="18"/>
                <w:szCs w:val="18"/>
                <w:color w:val="auto"/>
              </w:rPr>
              <w:t>10.0 (5,14)</w:t>
            </w:r>
          </w:p>
        </w:tc>
        <w:tc>
          <w:tcPr>
            <w:tcW w:w="3160" w:type="dxa"/>
            <w:vAlign w:val="bottom"/>
            <w:gridSpan w:val="2"/>
            <w:shd w:val="clear" w:color="auto" w:fill="BFBFBF"/>
          </w:tcPr>
          <w:p>
            <w:pPr>
              <w:jc w:val="right"/>
              <w:ind w:right="1170"/>
              <w:spacing w:after="0"/>
              <w:rPr>
                <w:sz w:val="20"/>
                <w:szCs w:val="20"/>
                <w:color w:val="auto"/>
              </w:rPr>
            </w:pPr>
            <w:r>
              <w:rPr>
                <w:rFonts w:ascii="Times New Roman" w:cs="Times New Roman" w:eastAsia="Times New Roman" w:hAnsi="Times New Roman"/>
                <w:sz w:val="18"/>
                <w:szCs w:val="18"/>
                <w:color w:val="auto"/>
              </w:rPr>
              <w:t>10.7 (7,14)</w:t>
            </w:r>
          </w:p>
        </w:tc>
        <w:tc>
          <w:tcPr>
            <w:tcW w:w="1560" w:type="dxa"/>
            <w:vAlign w:val="bottom"/>
            <w:shd w:val="clear" w:color="auto" w:fill="BFBFBF"/>
          </w:tcPr>
          <w:p>
            <w:pPr>
              <w:jc w:val="center"/>
              <w:ind w:right="130"/>
              <w:spacing w:after="0"/>
              <w:rPr>
                <w:sz w:val="20"/>
                <w:szCs w:val="20"/>
                <w:color w:val="auto"/>
              </w:rPr>
            </w:pPr>
            <w:r>
              <w:rPr>
                <w:rFonts w:ascii="Times New Roman" w:cs="Times New Roman" w:eastAsia="Times New Roman" w:hAnsi="Times New Roman"/>
                <w:sz w:val="18"/>
                <w:szCs w:val="18"/>
                <w:color w:val="auto"/>
              </w:rPr>
              <w:t>+0.7</w:t>
            </w:r>
          </w:p>
        </w:tc>
        <w:tc>
          <w:tcPr>
            <w:tcW w:w="2040" w:type="dxa"/>
            <w:vAlign w:val="bottom"/>
            <w:shd w:val="clear" w:color="auto" w:fill="BFBFBF"/>
          </w:tcPr>
          <w:p>
            <w:pPr>
              <w:jc w:val="center"/>
              <w:ind w:right="150"/>
              <w:spacing w:after="0"/>
              <w:rPr>
                <w:sz w:val="20"/>
                <w:szCs w:val="20"/>
                <w:color w:val="auto"/>
              </w:rPr>
            </w:pPr>
            <w:r>
              <w:rPr>
                <w:rFonts w:ascii="Times New Roman" w:cs="Times New Roman" w:eastAsia="Times New Roman" w:hAnsi="Times New Roman"/>
                <w:sz w:val="18"/>
                <w:szCs w:val="18"/>
                <w:color w:val="auto"/>
              </w:rPr>
              <w:t>p&lt;0.003</w:t>
            </w:r>
          </w:p>
        </w:tc>
        <w:tc>
          <w:tcPr>
            <w:tcW w:w="0" w:type="dxa"/>
            <w:vAlign w:val="bottom"/>
          </w:tcPr>
          <w:p>
            <w:pPr>
              <w:spacing w:after="0"/>
              <w:rPr>
                <w:sz w:val="1"/>
                <w:szCs w:val="1"/>
                <w:color w:val="auto"/>
              </w:rPr>
            </w:pPr>
          </w:p>
        </w:tc>
      </w:tr>
      <w:tr>
        <w:trPr>
          <w:trHeight w:val="103"/>
        </w:trPr>
        <w:tc>
          <w:tcPr>
            <w:tcW w:w="204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1760" w:type="dxa"/>
            <w:vAlign w:val="bottom"/>
            <w:shd w:val="clear" w:color="auto" w:fill="BFBFBF"/>
          </w:tcPr>
          <w:p>
            <w:pPr>
              <w:spacing w:after="0"/>
              <w:rPr>
                <w:sz w:val="8"/>
                <w:szCs w:val="8"/>
                <w:color w:val="auto"/>
              </w:rPr>
            </w:pPr>
          </w:p>
        </w:tc>
        <w:tc>
          <w:tcPr>
            <w:tcW w:w="1560" w:type="dxa"/>
            <w:vAlign w:val="bottom"/>
            <w:shd w:val="clear" w:color="auto" w:fill="BFBFBF"/>
          </w:tcPr>
          <w:p>
            <w:pPr>
              <w:spacing w:after="0"/>
              <w:rPr>
                <w:sz w:val="8"/>
                <w:szCs w:val="8"/>
                <w:color w:val="auto"/>
              </w:rPr>
            </w:pPr>
          </w:p>
        </w:tc>
        <w:tc>
          <w:tcPr>
            <w:tcW w:w="204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Digits Backward</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w w:val="99"/>
              </w:rPr>
              <w:t>7.0 (3,13)</w:t>
            </w:r>
          </w:p>
        </w:tc>
        <w:tc>
          <w:tcPr>
            <w:tcW w:w="14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7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(2,14)</w:t>
            </w:r>
          </w:p>
        </w:tc>
        <w:tc>
          <w:tcPr>
            <w:tcW w:w="1560" w:type="dxa"/>
            <w:vAlign w:val="bottom"/>
            <w:shd w:val="clear" w:color="auto" w:fill="D9D9D9"/>
          </w:tcPr>
          <w:p>
            <w:pPr>
              <w:jc w:val="center"/>
              <w:ind w:right="130"/>
              <w:spacing w:after="0"/>
              <w:rPr>
                <w:sz w:val="20"/>
                <w:szCs w:val="20"/>
                <w:color w:val="auto"/>
              </w:rPr>
            </w:pPr>
            <w:r>
              <w:rPr>
                <w:rFonts w:ascii="Times New Roman" w:cs="Times New Roman" w:eastAsia="Times New Roman" w:hAnsi="Times New Roman"/>
                <w:sz w:val="18"/>
                <w:szCs w:val="18"/>
                <w:color w:val="auto"/>
              </w:rPr>
              <w:t>+0.9</w:t>
            </w:r>
          </w:p>
        </w:tc>
        <w:tc>
          <w:tcPr>
            <w:tcW w:w="2040" w:type="dxa"/>
            <w:vAlign w:val="bottom"/>
            <w:shd w:val="clear" w:color="auto" w:fill="D9D9D9"/>
          </w:tcPr>
          <w:p>
            <w:pPr>
              <w:jc w:val="center"/>
              <w:ind w:right="150"/>
              <w:spacing w:after="0"/>
              <w:rPr>
                <w:sz w:val="20"/>
                <w:szCs w:val="20"/>
                <w:color w:val="auto"/>
              </w:rPr>
            </w:pPr>
            <w:r>
              <w:rPr>
                <w:rFonts w:ascii="Times New Roman" w:cs="Times New Roman" w:eastAsia="Times New Roman" w:hAnsi="Times New Roman"/>
                <w:sz w:val="18"/>
                <w:szCs w:val="18"/>
                <w:color w:val="auto"/>
              </w:rPr>
              <w:t>p&lt;0.01</w:t>
            </w:r>
          </w:p>
        </w:tc>
        <w:tc>
          <w:tcPr>
            <w:tcW w:w="0" w:type="dxa"/>
            <w:vAlign w:val="bottom"/>
          </w:tcPr>
          <w:p>
            <w:pPr>
              <w:spacing w:after="0"/>
              <w:rPr>
                <w:sz w:val="1"/>
                <w:szCs w:val="1"/>
                <w:color w:val="auto"/>
              </w:rPr>
            </w:pPr>
          </w:p>
        </w:tc>
      </w:tr>
      <w:tr>
        <w:trPr>
          <w:trHeight w:val="103"/>
        </w:trPr>
        <w:tc>
          <w:tcPr>
            <w:tcW w:w="204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760" w:type="dxa"/>
            <w:vAlign w:val="bottom"/>
            <w:shd w:val="clear" w:color="auto" w:fill="D9D9D9"/>
          </w:tcPr>
          <w:p>
            <w:pPr>
              <w:spacing w:after="0"/>
              <w:rPr>
                <w:sz w:val="8"/>
                <w:szCs w:val="8"/>
                <w:color w:val="auto"/>
              </w:rPr>
            </w:pPr>
          </w:p>
        </w:tc>
        <w:tc>
          <w:tcPr>
            <w:tcW w:w="1560" w:type="dxa"/>
            <w:vAlign w:val="bottom"/>
            <w:shd w:val="clear" w:color="auto" w:fill="D9D9D9"/>
          </w:tcPr>
          <w:p>
            <w:pPr>
              <w:spacing w:after="0"/>
              <w:rPr>
                <w:sz w:val="8"/>
                <w:szCs w:val="8"/>
                <w:color w:val="auto"/>
              </w:rPr>
            </w:pPr>
          </w:p>
        </w:tc>
        <w:tc>
          <w:tcPr>
            <w:tcW w:w="204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w w:val="99"/>
              </w:rPr>
              <w:t>Total Digits</w:t>
            </w:r>
          </w:p>
        </w:tc>
        <w:tc>
          <w:tcPr>
            <w:tcW w:w="2560" w:type="dxa"/>
            <w:vAlign w:val="bottom"/>
            <w:shd w:val="clear" w:color="auto" w:fill="BFBFBF"/>
          </w:tcPr>
          <w:p>
            <w:pPr>
              <w:jc w:val="center"/>
              <w:ind w:left="30"/>
              <w:spacing w:after="0"/>
              <w:rPr>
                <w:sz w:val="20"/>
                <w:szCs w:val="20"/>
                <w:color w:val="auto"/>
              </w:rPr>
            </w:pPr>
            <w:r>
              <w:rPr>
                <w:rFonts w:ascii="Times New Roman" w:cs="Times New Roman" w:eastAsia="Times New Roman" w:hAnsi="Times New Roman"/>
                <w:sz w:val="18"/>
                <w:szCs w:val="18"/>
                <w:color w:val="auto"/>
              </w:rPr>
              <w:t>17.0 (9,26)</w:t>
            </w:r>
          </w:p>
        </w:tc>
        <w:tc>
          <w:tcPr>
            <w:tcW w:w="1400" w:type="dxa"/>
            <w:vAlign w:val="bottom"/>
            <w:shd w:val="clear" w:color="auto" w:fill="BFBFB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760" w:type="dxa"/>
            <w:vAlign w:val="bottom"/>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560" w:type="dxa"/>
            <w:vAlign w:val="bottom"/>
            <w:shd w:val="clear" w:color="auto" w:fill="BFBFBF"/>
          </w:tcPr>
          <w:p>
            <w:pPr>
              <w:jc w:val="center"/>
              <w:ind w:right="130"/>
              <w:spacing w:after="0"/>
              <w:rPr>
                <w:sz w:val="20"/>
                <w:szCs w:val="20"/>
                <w:color w:val="auto"/>
              </w:rPr>
            </w:pPr>
            <w:r>
              <w:rPr>
                <w:rFonts w:ascii="Times New Roman" w:cs="Times New Roman" w:eastAsia="Times New Roman" w:hAnsi="Times New Roman"/>
                <w:sz w:val="18"/>
                <w:szCs w:val="18"/>
                <w:color w:val="auto"/>
              </w:rPr>
              <w:t>+1.6</w:t>
            </w:r>
          </w:p>
        </w:tc>
        <w:tc>
          <w:tcPr>
            <w:tcW w:w="2040" w:type="dxa"/>
            <w:vAlign w:val="bottom"/>
            <w:shd w:val="clear" w:color="auto" w:fill="BFBFBF"/>
          </w:tcPr>
          <w:p>
            <w:pPr>
              <w:jc w:val="center"/>
              <w:ind w:right="150"/>
              <w:spacing w:after="0"/>
              <w:rPr>
                <w:sz w:val="20"/>
                <w:szCs w:val="20"/>
                <w:color w:val="auto"/>
              </w:rPr>
            </w:pPr>
            <w:r>
              <w:rPr>
                <w:rFonts w:ascii="Times New Roman" w:cs="Times New Roman" w:eastAsia="Times New Roman" w:hAnsi="Times New Roman"/>
                <w:sz w:val="18"/>
                <w:szCs w:val="18"/>
                <w:color w:val="auto"/>
              </w:rPr>
              <w:t>p&lt;0.002</w:t>
            </w:r>
          </w:p>
        </w:tc>
        <w:tc>
          <w:tcPr>
            <w:tcW w:w="0" w:type="dxa"/>
            <w:vAlign w:val="bottom"/>
          </w:tcPr>
          <w:p>
            <w:pPr>
              <w:spacing w:after="0"/>
              <w:rPr>
                <w:sz w:val="1"/>
                <w:szCs w:val="1"/>
                <w:color w:val="auto"/>
              </w:rPr>
            </w:pPr>
          </w:p>
        </w:tc>
      </w:tr>
      <w:tr>
        <w:trPr>
          <w:trHeight w:val="103"/>
        </w:trPr>
        <w:tc>
          <w:tcPr>
            <w:tcW w:w="204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60" w:type="dxa"/>
            <w:vAlign w:val="bottom"/>
            <w:gridSpan w:val="2"/>
            <w:shd w:val="clear" w:color="auto" w:fill="BFBFBF"/>
          </w:tcPr>
          <w:p>
            <w:pPr>
              <w:spacing w:after="0"/>
              <w:rPr>
                <w:sz w:val="8"/>
                <w:szCs w:val="8"/>
                <w:color w:val="auto"/>
              </w:rPr>
            </w:pPr>
          </w:p>
        </w:tc>
        <w:tc>
          <w:tcPr>
            <w:tcW w:w="1560" w:type="dxa"/>
            <w:vAlign w:val="bottom"/>
            <w:shd w:val="clear" w:color="auto" w:fill="BFBFBF"/>
          </w:tcPr>
          <w:p>
            <w:pPr>
              <w:spacing w:after="0"/>
              <w:rPr>
                <w:sz w:val="8"/>
                <w:szCs w:val="8"/>
                <w:color w:val="auto"/>
              </w:rPr>
            </w:pPr>
          </w:p>
        </w:tc>
        <w:tc>
          <w:tcPr>
            <w:tcW w:w="204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Wechsler Subscores</w:t>
            </w: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ectPr>
          <w:pgSz w:w="11900" w:h="16838" w:orient="portrait"/>
          <w:cols w:equalWidth="0" w:num="1">
            <w:col w:w="11420"/>
          </w:cols>
          <w:pgMar w:left="240" w:top="905"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2001520</wp:posOffset>
            </wp:positionH>
            <wp:positionV relativeFrom="page">
              <wp:posOffset>88900</wp:posOffset>
            </wp:positionV>
            <wp:extent cx="3567430" cy="2084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35674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Mean ADHD Scores Following Single MG01CI Dosing</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586105</wp:posOffset>
            </wp:positionV>
            <wp:extent cx="5145405" cy="2872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Mean ADHD Scores Before and 90 Minutes Following One of Three MG01CI Doses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Phase IIb Clinical Study</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7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6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125730</wp:posOffset>
            </wp:positionV>
            <wp:extent cx="5145405" cy="3884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Clinical Data and Key Conclusions</w:t>
      </w:r>
    </w:p>
    <w:p>
      <w:pPr>
        <w:sectPr>
          <w:pgSz w:w="11900" w:h="16839" w:orient="portrait"/>
          <w:cols w:equalWidth="0" w:num="1">
            <w:col w:w="11360"/>
          </w:cols>
          <w:pgMar w:left="240" w:top="1440" w:right="299" w:bottom="0" w:gutter="0" w:footer="0" w:header="0"/>
        </w:sectPr>
      </w:pPr>
    </w:p>
    <w:bookmarkStart w:id="50" w:name="page51"/>
    <w:bookmarkEnd w:id="50"/>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6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Improvements in ADHD symptoms (scored by CAARS) were significantly different in subjects treated with MG01Cl vs. placebo as early as 2 weeks following treatment initiation.</w:t>
      </w:r>
    </w:p>
    <w:p>
      <w:pPr>
        <w:spacing w:after="0" w:line="16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Adverse Events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products containing Metadoxine outside the United States cite either complete lack of adverse events or infrequent diarrhea and moderate skin rash.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29" w:lineRule="exact"/>
        <w:rPr>
          <w:sz w:val="20"/>
          <w:szCs w:val="20"/>
          <w:color w:val="auto"/>
        </w:rPr>
      </w:pPr>
    </w:p>
    <w:p>
      <w:pPr>
        <w:ind w:right="200" w:firstLine="415"/>
        <w:spacing w:after="0" w:line="266"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76" w:lineRule="exact"/>
        <w:rPr>
          <w:sz w:val="20"/>
          <w:szCs w:val="20"/>
          <w:color w:val="auto"/>
        </w:rPr>
      </w:pPr>
    </w:p>
    <w:p>
      <w:pPr>
        <w:ind w:right="20" w:firstLine="415"/>
        <w:spacing w:after="0" w:line="258" w:lineRule="auto"/>
        <w:rPr>
          <w:sz w:val="20"/>
          <w:szCs w:val="20"/>
          <w:color w:val="auto"/>
        </w:rPr>
      </w:pPr>
      <w:r>
        <w:rPr>
          <w:rFonts w:ascii="Times New Roman" w:cs="Times New Roman" w:eastAsia="Times New Roman" w:hAnsi="Times New Roman"/>
          <w:sz w:val="18"/>
          <w:szCs w:val="18"/>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84" w:lineRule="exact"/>
        <w:rPr>
          <w:sz w:val="20"/>
          <w:szCs w:val="20"/>
          <w:color w:val="auto"/>
        </w:rPr>
      </w:pPr>
    </w:p>
    <w:p>
      <w:pPr>
        <w:ind w:right="220" w:firstLine="416"/>
        <w:spacing w:after="0" w:line="256" w:lineRule="auto"/>
        <w:rPr>
          <w:sz w:val="20"/>
          <w:szCs w:val="20"/>
          <w:color w:val="auto"/>
        </w:rPr>
      </w:pPr>
      <w:r>
        <w:rPr>
          <w:rFonts w:ascii="Times New Roman" w:cs="Times New Roman" w:eastAsia="Times New Roman" w:hAnsi="Times New Roman"/>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80"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Strategic Relationship with Teva Pharmaceuticals</w:t>
      </w:r>
    </w:p>
    <w:p>
      <w:pPr>
        <w:spacing w:after="0" w:line="229"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684" w:gutter="0" w:footer="0" w:header="0"/>
        </w:sectPr>
      </w:pPr>
    </w:p>
    <w:bookmarkStart w:id="52" w:name="page53"/>
    <w:bookmarkEnd w:id="52"/>
    <w:p>
      <w:pPr>
        <w:ind w:right="300" w:firstLine="416"/>
        <w:spacing w:after="0" w:line="266" w:lineRule="auto"/>
        <w:rPr>
          <w:sz w:val="20"/>
          <w:szCs w:val="20"/>
          <w:color w:val="auto"/>
        </w:rPr>
      </w:pPr>
      <w:r>
        <w:rPr>
          <w:rFonts w:ascii="Times New Roman" w:cs="Times New Roman" w:eastAsia="Times New Roman" w:hAnsi="Times New Roman"/>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76"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40" w:firstLine="416"/>
        <w:spacing w:after="0" w:line="261" w:lineRule="auto"/>
        <w:rPr>
          <w:sz w:val="20"/>
          <w:szCs w:val="20"/>
          <w:color w:val="auto"/>
        </w:rPr>
      </w:pPr>
      <w:r>
        <w:rPr>
          <w:rFonts w:ascii="Times New Roman" w:cs="Times New Roman" w:eastAsia="Times New Roman" w:hAnsi="Times New Roman"/>
          <w:sz w:val="18"/>
          <w:szCs w:val="18"/>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80"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89"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success depends in part on our ability to:</w:t>
      </w:r>
    </w:p>
    <w:p>
      <w:pPr>
        <w:spacing w:after="0" w:line="225" w:lineRule="exact"/>
        <w:rPr>
          <w:sz w:val="20"/>
          <w:szCs w:val="20"/>
          <w:color w:val="auto"/>
        </w:rPr>
      </w:pPr>
    </w:p>
    <w:p>
      <w:pPr>
        <w:ind w:left="720" w:hanging="307"/>
        <w:spacing w:after="0"/>
        <w:tabs>
          <w:tab w:leader="none" w:pos="720" w:val="left"/>
        </w:tabs>
        <w:numPr>
          <w:ilvl w:val="0"/>
          <w:numId w:val="4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preserve trade secrets;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4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prevent third parties from infringing upon our proprietary rights; and</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4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operate our business without infringing the patents and proprietary rights of third parties,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Clinical trials, the drug approval process, and the marketing of drugs is intensively regulated in the United States and in all major foreign countries.</w:t>
      </w:r>
    </w:p>
    <w:p>
      <w:pPr>
        <w:spacing w:after="0" w:line="225" w:lineRule="exact"/>
        <w:rPr>
          <w:sz w:val="20"/>
          <w:szCs w:val="20"/>
          <w:color w:val="auto"/>
        </w:rPr>
      </w:pPr>
    </w:p>
    <w:p>
      <w:pPr>
        <w:ind w:right="160" w:firstLine="416"/>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88"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0"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1060" w:hanging="323"/>
        <w:spacing w:after="0"/>
        <w:tabs>
          <w:tab w:leader="none" w:pos="1060" w:val="left"/>
        </w:tabs>
        <w:numPr>
          <w:ilvl w:val="0"/>
          <w:numId w:val="4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nonclinical laboratory and animal tests;</w:t>
      </w:r>
    </w:p>
    <w:p>
      <w:pPr>
        <w:spacing w:after="0" w:line="225"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submission of an Investigational New Drug, or IND, application which must become effective before clinical trials may begin;</w:t>
      </w:r>
    </w:p>
    <w:p>
      <w:pPr>
        <w:spacing w:after="0" w:line="225"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adequate and well-controlled human clinical trials to establish the safety and efficacy of the proposed drug for its intended use or uses;</w:t>
      </w:r>
    </w:p>
    <w:p>
      <w:pPr>
        <w:spacing w:after="0" w:line="225"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pre-approval inspection of manufacturing facilities and clinical trial sites; and</w:t>
      </w:r>
    </w:p>
    <w:p>
      <w:pPr>
        <w:spacing w:after="0" w:line="225"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FDA approval of a new drug application (NDA) which must occur before a drug can be marketed or sold.</w:t>
      </w:r>
    </w:p>
    <w:p>
      <w:pPr>
        <w:spacing w:after="0" w:line="22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and financial resources, and we cannot be certain that any approvals for MG01CI will be granted on a timely basis if at all.</w:t>
      </w:r>
    </w:p>
    <w:p>
      <w:pPr>
        <w:spacing w:after="0" w:line="162"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76" w:lineRule="exact"/>
        <w:rPr>
          <w:sz w:val="20"/>
          <w:szCs w:val="20"/>
          <w:color w:val="auto"/>
        </w:rPr>
      </w:pPr>
    </w:p>
    <w:p>
      <w:pPr>
        <w:ind w:left="1060" w:hanging="323"/>
        <w:spacing w:after="0"/>
        <w:tabs>
          <w:tab w:leader="none" w:pos="1060" w:val="left"/>
        </w:tabs>
        <w:numPr>
          <w:ilvl w:val="0"/>
          <w:numId w:val="4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obtaining regulatory approval to commence a study;</w:t>
      </w:r>
    </w:p>
    <w:p>
      <w:pPr>
        <w:spacing w:after="0" w:line="225" w:lineRule="exact"/>
        <w:rPr>
          <w:rFonts w:ascii="Times New Roman" w:cs="Times New Roman" w:eastAsia="Times New Roman" w:hAnsi="Times New Roman"/>
          <w:sz w:val="18"/>
          <w:szCs w:val="18"/>
          <w:color w:val="A6A6A6"/>
        </w:rPr>
      </w:pPr>
    </w:p>
    <w:p>
      <w:pPr>
        <w:ind w:left="1060" w:hanging="323"/>
        <w:spacing w:after="0" w:line="282" w:lineRule="auto"/>
        <w:tabs>
          <w:tab w:leader="none" w:pos="1060" w:val="left"/>
        </w:tabs>
        <w:numPr>
          <w:ilvl w:val="0"/>
          <w:numId w:val="4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reaching agreement with third-party clinical trial sites and their subsequent performance in conducting accurate and reliable studies on a timely basis;</w:t>
      </w:r>
    </w:p>
    <w:p>
      <w:pPr>
        <w:spacing w:after="0" w:line="161"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obtaining institutional review board approval to conduct a study at a prospective site;</w:t>
      </w:r>
    </w:p>
    <w:p>
      <w:pPr>
        <w:spacing w:after="0" w:line="225"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recruiting patients to participate in a study; and</w:t>
      </w:r>
    </w:p>
    <w:p>
      <w:pPr>
        <w:spacing w:after="0" w:line="225" w:lineRule="exact"/>
        <w:rPr>
          <w:rFonts w:ascii="Times New Roman" w:cs="Times New Roman" w:eastAsia="Times New Roman" w:hAnsi="Times New Roman"/>
          <w:sz w:val="18"/>
          <w:szCs w:val="18"/>
          <w:color w:val="A6A6A6"/>
        </w:rPr>
      </w:pPr>
    </w:p>
    <w:p>
      <w:pPr>
        <w:ind w:left="1060" w:hanging="323"/>
        <w:spacing w:after="0"/>
        <w:tabs>
          <w:tab w:leader="none" w:pos="1060" w:val="left"/>
        </w:tabs>
        <w:numPr>
          <w:ilvl w:val="0"/>
          <w:numId w:val="4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supply of the drug.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right="80" w:firstLine="415"/>
        <w:spacing w:after="0" w:line="258" w:lineRule="auto"/>
        <w:rPr>
          <w:sz w:val="20"/>
          <w:szCs w:val="20"/>
          <w:color w:val="auto"/>
        </w:rPr>
      </w:pPr>
      <w:r>
        <w:rPr>
          <w:rFonts w:ascii="Times New Roman" w:cs="Times New Roman" w:eastAsia="Times New Roman" w:hAnsi="Times New Roman"/>
          <w:sz w:val="18"/>
          <w:szCs w:val="18"/>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84" w:lineRule="exact"/>
        <w:rPr>
          <w:sz w:val="20"/>
          <w:szCs w:val="20"/>
          <w:color w:val="auto"/>
        </w:rPr>
      </w:pPr>
    </w:p>
    <w:p>
      <w:pPr>
        <w:ind w:right="60" w:firstLine="376"/>
        <w:spacing w:after="0" w:line="261" w:lineRule="auto"/>
        <w:rPr>
          <w:sz w:val="20"/>
          <w:szCs w:val="20"/>
          <w:color w:val="auto"/>
        </w:rPr>
      </w:pPr>
      <w:r>
        <w:rPr>
          <w:rFonts w:ascii="Times New Roman" w:cs="Times New Roman" w:eastAsia="Times New Roman" w:hAnsi="Times New Roman"/>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purposes of NDA approval, human clinical trials are typically conducted in phases that may overlap.</w:t>
      </w:r>
    </w:p>
    <w:p>
      <w:pPr>
        <w:spacing w:after="0" w:line="223" w:lineRule="exact"/>
        <w:rPr>
          <w:sz w:val="20"/>
          <w:szCs w:val="20"/>
          <w:color w:val="auto"/>
        </w:rPr>
      </w:pPr>
    </w:p>
    <w:p>
      <w:pPr>
        <w:ind w:left="420" w:right="80" w:hanging="7"/>
        <w:spacing w:after="0" w:line="267" w:lineRule="auto"/>
        <w:tabs>
          <w:tab w:leader="none" w:pos="735" w:val="left"/>
        </w:tabs>
        <w:numPr>
          <w:ilvl w:val="0"/>
          <w:numId w:val="45"/>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drug is initially introduced into healthy human subjects and tested for safety, dosage tolerance, absorption, metabolism,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73" w:lineRule="exact"/>
        <w:rPr>
          <w:rFonts w:ascii="Times New Roman" w:cs="Times New Roman" w:eastAsia="Times New Roman" w:hAnsi="Times New Roman"/>
          <w:sz w:val="18"/>
          <w:szCs w:val="18"/>
          <w:color w:val="BFBFBF"/>
        </w:rPr>
      </w:pPr>
    </w:p>
    <w:p>
      <w:pPr>
        <w:ind w:left="420" w:right="20" w:hanging="7"/>
        <w:spacing w:after="0" w:line="261" w:lineRule="auto"/>
        <w:tabs>
          <w:tab w:leader="none" w:pos="735" w:val="left"/>
        </w:tabs>
        <w:numPr>
          <w:ilvl w:val="0"/>
          <w:numId w:val="45"/>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This phase involves trials in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396" w:lineRule="exact"/>
        <w:rPr>
          <w:rFonts w:ascii="Times New Roman" w:cs="Times New Roman" w:eastAsia="Times New Roman" w:hAnsi="Times New Roman"/>
          <w:sz w:val="18"/>
          <w:szCs w:val="18"/>
          <w:color w:val="BFBFBF"/>
        </w:rPr>
      </w:pPr>
    </w:p>
    <w:p>
      <w:pPr>
        <w:ind w:left="420" w:hanging="7"/>
        <w:spacing w:after="0" w:line="267" w:lineRule="auto"/>
        <w:tabs>
          <w:tab w:leader="none" w:pos="735" w:val="left"/>
        </w:tabs>
        <w:numPr>
          <w:ilvl w:val="0"/>
          <w:numId w:val="45"/>
        </w:numPr>
        <w:rPr>
          <w:rFonts w:ascii="Times New Roman" w:cs="Times New Roman" w:eastAsia="Times New Roman" w:hAnsi="Times New Roman"/>
          <w:sz w:val="18"/>
          <w:szCs w:val="18"/>
          <w:color w:val="BFBFBF"/>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This phase involves trials undertaken to further evaluate dosage, clinical efficacy and safety in an expanded patient population, often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trials are intended to establish the overall risk/benefit ratio of the product and provide an adequate basis for product labeling.</w:t>
      </w:r>
    </w:p>
    <w:p>
      <w:pPr>
        <w:spacing w:after="0" w:line="3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All of these trials must be conducted in accordance with good clinical practice requirements in order for the data to be considered reliable for regulatory purposes.</w:t>
      </w:r>
    </w:p>
    <w:p>
      <w:pPr>
        <w:spacing w:after="0" w:line="162"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NDA Approval Process</w:t>
      </w:r>
    </w:p>
    <w:p>
      <w:pPr>
        <w:spacing w:after="0" w:line="229"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88" w:lineRule="exact"/>
        <w:rPr>
          <w:sz w:val="20"/>
          <w:szCs w:val="20"/>
          <w:color w:val="auto"/>
        </w:rPr>
      </w:pPr>
    </w:p>
    <w:p>
      <w:pPr>
        <w:ind w:right="120" w:firstLine="416"/>
        <w:spacing w:after="0" w:line="255" w:lineRule="auto"/>
        <w:rPr>
          <w:sz w:val="20"/>
          <w:szCs w:val="20"/>
          <w:color w:val="auto"/>
        </w:rPr>
      </w:pPr>
      <w:r>
        <w:rPr>
          <w:rFonts w:ascii="Times New Roman" w:cs="Times New Roman" w:eastAsia="Times New Roman" w:hAnsi="Times New Roman"/>
          <w:sz w:val="18"/>
          <w:szCs w:val="18"/>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5" w:name="page56"/>
    <w:bookmarkEnd w:id="55"/>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4"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0" w:lineRule="exact"/>
        <w:rPr>
          <w:sz w:val="20"/>
          <w:szCs w:val="20"/>
          <w:color w:val="auto"/>
        </w:rPr>
      </w:pPr>
    </w:p>
    <w:p>
      <w:pPr>
        <w:ind w:right="340" w:firstLine="288"/>
        <w:spacing w:after="0" w:line="266"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76" w:lineRule="exact"/>
        <w:rPr>
          <w:sz w:val="20"/>
          <w:szCs w:val="20"/>
          <w:color w:val="auto"/>
        </w:rPr>
      </w:pPr>
    </w:p>
    <w:p>
      <w:pPr>
        <w:ind w:right="40" w:firstLine="243"/>
        <w:spacing w:after="0" w:line="256" w:lineRule="auto"/>
        <w:rPr>
          <w:sz w:val="20"/>
          <w:szCs w:val="20"/>
          <w:color w:val="auto"/>
        </w:rPr>
      </w:pPr>
      <w:r>
        <w:rPr>
          <w:rFonts w:ascii="Times New Roman" w:cs="Times New Roman" w:eastAsia="Times New Roman" w:hAnsi="Times New Roman"/>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88"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0"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0" w:lineRule="exact"/>
        <w:rPr>
          <w:sz w:val="20"/>
          <w:szCs w:val="20"/>
          <w:color w:val="auto"/>
        </w:rPr>
      </w:pPr>
    </w:p>
    <w:p>
      <w:pPr>
        <w:ind w:right="420" w:firstLine="416"/>
        <w:spacing w:after="0" w:line="282" w:lineRule="auto"/>
        <w:rPr>
          <w:sz w:val="20"/>
          <w:szCs w:val="20"/>
          <w:color w:val="auto"/>
        </w:rPr>
      </w:pPr>
      <w:r>
        <w:rPr>
          <w:rFonts w:ascii="Times New Roman" w:cs="Times New Roman" w:eastAsia="Times New Roman" w:hAnsi="Times New Roman"/>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62"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88"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FDA Post-Approval Requirements</w:t>
      </w:r>
    </w:p>
    <w:p>
      <w:pPr>
        <w:spacing w:after="0" w:line="229"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Labeling, Marketing and Promotion</w:t>
      </w:r>
    </w:p>
    <w:p>
      <w:pPr>
        <w:spacing w:after="0" w:line="229"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w:t>
      </w:r>
    </w:p>
    <w:p>
      <w:pPr>
        <w:spacing w:after="0" w:line="229"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False Claims Laws</w:t>
      </w:r>
    </w:p>
    <w:p>
      <w:pPr>
        <w:spacing w:after="0" w:line="229"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9"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4" w:lineRule="exact"/>
        <w:rPr>
          <w:sz w:val="20"/>
          <w:szCs w:val="20"/>
          <w:color w:val="auto"/>
        </w:rPr>
      </w:pPr>
    </w:p>
    <w:p>
      <w:pPr>
        <w:ind w:right="320" w:firstLine="415"/>
        <w:spacing w:after="0" w:line="266" w:lineRule="auto"/>
        <w:rPr>
          <w:sz w:val="20"/>
          <w:szCs w:val="20"/>
          <w:color w:val="auto"/>
        </w:rPr>
      </w:pPr>
      <w:r>
        <w:rPr>
          <w:rFonts w:ascii="Times New Roman" w:cs="Times New Roman" w:eastAsia="Times New Roman" w:hAnsi="Times New Roman"/>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57" w:name="page58"/>
    <w:bookmarkEnd w:id="57"/>
    <w:p>
      <w:pPr>
        <w:ind w:firstLine="415"/>
        <w:spacing w:after="0" w:line="256"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Patient Protection and Affordable Health Care Act</w:t>
      </w:r>
    </w:p>
    <w:p>
      <w:pPr>
        <w:spacing w:after="0" w:line="229"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76" w:lineRule="exact"/>
        <w:rPr>
          <w:sz w:val="20"/>
          <w:szCs w:val="20"/>
          <w:color w:val="auto"/>
        </w:rPr>
      </w:pPr>
    </w:p>
    <w:p>
      <w:pPr>
        <w:ind w:right="340" w:firstLine="415"/>
        <w:spacing w:after="0" w:line="282" w:lineRule="auto"/>
        <w:rPr>
          <w:sz w:val="20"/>
          <w:szCs w:val="20"/>
          <w:color w:val="auto"/>
        </w:rPr>
      </w:pPr>
      <w:r>
        <w:rPr>
          <w:rFonts w:ascii="Times New Roman" w:cs="Times New Roman" w:eastAsia="Times New Roman" w:hAnsi="Times New Roman"/>
          <w:sz w:val="18"/>
          <w:szCs w:val="18"/>
          <w:color w:val="auto"/>
        </w:rPr>
        <w:t>Many of the details regarding the implementation of PPACA are yet to be determined, and at this time, it remains unclear the full effect that PPACA would have on our business.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29"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Facilities</w:t>
      </w:r>
    </w:p>
    <w:p>
      <w:pPr>
        <w:spacing w:after="0" w:line="229" w:lineRule="exact"/>
        <w:rPr>
          <w:sz w:val="20"/>
          <w:szCs w:val="20"/>
          <w:color w:val="auto"/>
        </w:rPr>
      </w:pPr>
    </w:p>
    <w:p>
      <w:pPr>
        <w:ind w:right="180" w:firstLine="416"/>
        <w:spacing w:after="0" w:line="313" w:lineRule="auto"/>
        <w:rPr>
          <w:sz w:val="20"/>
          <w:szCs w:val="20"/>
          <w:color w:val="auto"/>
        </w:rPr>
      </w:pPr>
      <w:r>
        <w:rPr>
          <w:rFonts w:ascii="Times New Roman" w:cs="Times New Roman" w:eastAsia="Times New Roman" w:hAnsi="Times New Roman"/>
          <w:sz w:val="17"/>
          <w:szCs w:val="17"/>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jc w:val="center"/>
        <w:ind w:right="7620"/>
        <w:spacing w:after="0"/>
        <w:rPr>
          <w:sz w:val="20"/>
          <w:szCs w:val="20"/>
          <w:color w:val="auto"/>
        </w:rPr>
      </w:pPr>
      <w:r>
        <w:rPr>
          <w:rFonts w:ascii="Times New Roman" w:cs="Times New Roman" w:eastAsia="Times New Roman" w:hAnsi="Times New Roman"/>
          <w:sz w:val="18"/>
          <w:szCs w:val="18"/>
          <w:b w:val="1"/>
          <w:bCs w:val="1"/>
          <w:color w:val="auto"/>
        </w:rPr>
        <w:t>Executive Officers, Key Employees and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directors and director nominees as of February 15, 2013:</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6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8"/>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Aharon Schwartz</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Yaron Daniely</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Ehud (Udi) Gilboa</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Chief Financial Officer, Chief Accounting Officer and Director</w:t>
            </w: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Dalia Megiddo</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B. Rosen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Nominee for Director</w:t>
            </w: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E. Geffken (1) (2)</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tcPr>
          <w:p>
            <w:pPr>
              <w:spacing w:after="0"/>
              <w:rPr>
                <w:sz w:val="20"/>
                <w:szCs w:val="20"/>
                <w:color w:val="auto"/>
              </w:rPr>
            </w:pPr>
          </w:p>
        </w:tc>
        <w:tc>
          <w:tcPr>
            <w:tcW w:w="5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 upon establishment thereof.</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 upon establishment thereof after completion of this offering.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7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Aharon Schwartz </w:t>
      </w:r>
      <w:r>
        <w:rPr>
          <w:rFonts w:ascii="Times New Roman" w:cs="Times New Roman" w:eastAsia="Times New Roman" w:hAnsi="Times New Roman"/>
          <w:sz w:val="18"/>
          <w:szCs w:val="18"/>
          <w:color w:val="auto"/>
        </w:rPr>
        <w:t>joined our Board as Chairman in January 2013. He retired from Teva Pharmaceutical Industries Ltd where he served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Yaron Daniely </w:t>
      </w:r>
      <w:r>
        <w:rPr>
          <w:rFonts w:ascii="Times New Roman" w:cs="Times New Roman" w:eastAsia="Times New Roman" w:hAnsi="Times New Roman"/>
          <w:sz w:val="18"/>
          <w:szCs w:val="18"/>
          <w:color w:val="auto"/>
        </w:rPr>
        <w:t>became our President and Chief Executive Officer and a Director in March 2010. Immediately prior to joining us and since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Daniely was the 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89" w:lineRule="exact"/>
        <w:rPr>
          <w:sz w:val="20"/>
          <w:szCs w:val="20"/>
          <w:color w:val="auto"/>
        </w:rPr>
      </w:pPr>
    </w:p>
    <w:p>
      <w:pPr>
        <w:ind w:right="120" w:firstLine="69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Udi Gilboa </w:t>
      </w:r>
      <w:r>
        <w:rPr>
          <w:rFonts w:ascii="Times New Roman" w:cs="Times New Roman" w:eastAsia="Times New Roman" w:hAnsi="Times New Roman"/>
          <w:sz w:val="18"/>
          <w:szCs w:val="18"/>
          <w:color w:val="auto"/>
        </w:rPr>
        <w:t>co-founded the Company in February 2008 and became a director at that time. He has served as our Chief Financial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Dr. Dalia Megiddo </w:t>
      </w:r>
      <w:r>
        <w:rPr>
          <w:rFonts w:ascii="Times New Roman" w:cs="Times New Roman" w:eastAsia="Times New Roman" w:hAnsi="Times New Roman"/>
          <w:sz w:val="18"/>
          <w:szCs w:val="18"/>
          <w:color w:val="auto"/>
        </w:rPr>
        <w:t>co-founded the Company in February 2008 and became a Director at that time. She is an entrepreneur and a medical doctor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80"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Hanna Ron </w:t>
      </w:r>
      <w:r>
        <w:rPr>
          <w:rFonts w:ascii="Times New Roman" w:cs="Times New Roman" w:eastAsia="Times New Roman" w:hAnsi="Times New Roman"/>
          <w:sz w:val="18"/>
          <w:szCs w:val="18"/>
          <w:color w:val="auto"/>
        </w:rPr>
        <w:t>is a key employee of the Company. She has over 26 years of experience in the pharmaceutical industry and is an expert in 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and 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Howard B. Rosen </w:t>
      </w:r>
      <w:r>
        <w:rPr>
          <w:rFonts w:ascii="Times New Roman" w:cs="Times New Roman" w:eastAsia="Times New Roman" w:hAnsi="Times New Roman"/>
          <w:sz w:val="18"/>
          <w:szCs w:val="18"/>
          <w:color w:val="auto"/>
        </w:rPr>
        <w:t>has consented to being elected as a director of the Company, immediately following the closing of this offering. Since 2008,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Rosen has served as a 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w:t>
      </w:r>
    </w:p>
    <w:p>
      <w:pPr>
        <w:sectPr>
          <w:pgSz w:w="11900" w:h="16838" w:orient="portrait"/>
          <w:cols w:equalWidth="0" w:num="1">
            <w:col w:w="11420"/>
          </w:cols>
          <w:pgMar w:left="240" w:top="901" w:right="239" w:bottom="0" w:gutter="0" w:footer="0" w:header="0"/>
        </w:sectPr>
      </w:pPr>
    </w:p>
    <w:bookmarkStart w:id="59" w:name="page60"/>
    <w:bookmarkEnd w:id="59"/>
    <w:p>
      <w:pPr>
        <w:ind w:right="400"/>
        <w:spacing w:after="0" w:line="282" w:lineRule="auto"/>
        <w:rPr>
          <w:sz w:val="20"/>
          <w:szCs w:val="20"/>
          <w:color w:val="auto"/>
        </w:rPr>
      </w:pPr>
      <w:r>
        <w:rPr>
          <w:rFonts w:ascii="Times New Roman" w:cs="Times New Roman" w:eastAsia="Times New Roman" w:hAnsi="Times New Roman"/>
          <w:sz w:val="18"/>
          <w:szCs w:val="18"/>
          <w:color w:val="auto"/>
        </w:rPr>
        <w:t>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Daniel E. Geffken </w:t>
      </w:r>
      <w:r>
        <w:rPr>
          <w:rFonts w:ascii="Times New Roman" w:cs="Times New Roman" w:eastAsia="Times New Roman" w:hAnsi="Times New Roman"/>
          <w:sz w:val="18"/>
          <w:szCs w:val="18"/>
          <w:color w:val="auto"/>
        </w:rPr>
        <w:t>has consented to being elected as a director of the Company, effective immediately after this registration statement becomes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and execution of 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Arrangements Concerning Election of Directors; Family Relationships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Advisory Board</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8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61" w:name="page62"/>
    <w:bookmarkEnd w:id="61"/>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8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80"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Israeli Companies Law provides that external directors must be elected by a majority vote of the shares present and voting at a shareholders meeting, provided that either:</w:t>
      </w:r>
    </w:p>
    <w:p>
      <w:pPr>
        <w:spacing w:after="0" w:line="162" w:lineRule="exact"/>
        <w:rPr>
          <w:sz w:val="20"/>
          <w:szCs w:val="20"/>
          <w:color w:val="auto"/>
        </w:rPr>
      </w:pPr>
    </w:p>
    <w:p>
      <w:pPr>
        <w:ind w:left="740" w:right="40" w:hanging="327"/>
        <w:spacing w:after="0" w:line="266" w:lineRule="auto"/>
        <w:tabs>
          <w:tab w:leader="none" w:pos="740" w:val="left"/>
        </w:tabs>
        <w:numPr>
          <w:ilvl w:val="0"/>
          <w:numId w:val="4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76" w:lineRule="exact"/>
        <w:rPr>
          <w:rFonts w:ascii="Times New Roman" w:cs="Times New Roman" w:eastAsia="Times New Roman" w:hAnsi="Times New Roman"/>
          <w:sz w:val="18"/>
          <w:szCs w:val="18"/>
          <w:color w:val="A6A6A6"/>
        </w:rPr>
      </w:pPr>
    </w:p>
    <w:p>
      <w:pPr>
        <w:ind w:left="740" w:right="540" w:hanging="327"/>
        <w:spacing w:after="0" w:line="282" w:lineRule="auto"/>
        <w:tabs>
          <w:tab w:leader="none" w:pos="740" w:val="left"/>
        </w:tabs>
        <w:numPr>
          <w:ilvl w:val="0"/>
          <w:numId w:val="4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8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8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8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62" w:lineRule="exact"/>
        <w:rPr>
          <w:sz w:val="20"/>
          <w:szCs w:val="20"/>
          <w:color w:val="auto"/>
        </w:rPr>
      </w:pPr>
    </w:p>
    <w:p>
      <w:pPr>
        <w:ind w:left="740" w:hanging="327"/>
        <w:spacing w:after="0"/>
        <w:tabs>
          <w:tab w:leader="none" w:pos="740" w:val="left"/>
        </w:tabs>
        <w:numPr>
          <w:ilvl w:val="0"/>
          <w:numId w:val="4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employment relationship;</w:t>
      </w:r>
    </w:p>
    <w:p>
      <w:pPr>
        <w:spacing w:after="0" w:line="27" w:lineRule="exact"/>
        <w:rPr>
          <w:rFonts w:ascii="Times New Roman" w:cs="Times New Roman" w:eastAsia="Times New Roman" w:hAnsi="Times New Roman"/>
          <w:sz w:val="18"/>
          <w:szCs w:val="18"/>
          <w:color w:val="A6A6A6"/>
        </w:rPr>
      </w:pPr>
    </w:p>
    <w:p>
      <w:pPr>
        <w:ind w:left="740" w:hanging="327"/>
        <w:spacing w:after="0"/>
        <w:tabs>
          <w:tab w:leader="none" w:pos="740" w:val="left"/>
        </w:tabs>
        <w:numPr>
          <w:ilvl w:val="0"/>
          <w:numId w:val="4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business or professional relationship even if not maintained on a regular basis (excluding insignificant relationships);</w:t>
      </w:r>
    </w:p>
    <w:p>
      <w:pPr>
        <w:spacing w:after="0" w:line="9" w:lineRule="exact"/>
        <w:rPr>
          <w:rFonts w:ascii="Times New Roman" w:cs="Times New Roman" w:eastAsia="Times New Roman" w:hAnsi="Times New Roman"/>
          <w:sz w:val="18"/>
          <w:szCs w:val="18"/>
          <w:color w:val="A6A6A6"/>
        </w:rPr>
      </w:pPr>
    </w:p>
    <w:p>
      <w:pPr>
        <w:ind w:left="740" w:hanging="327"/>
        <w:spacing w:after="0"/>
        <w:tabs>
          <w:tab w:leader="none" w:pos="740" w:val="left"/>
        </w:tabs>
        <w:numPr>
          <w:ilvl w:val="0"/>
          <w:numId w:val="4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control; and</w:t>
      </w:r>
    </w:p>
    <w:p>
      <w:pPr>
        <w:spacing w:after="0" w:line="9" w:lineRule="exact"/>
        <w:rPr>
          <w:rFonts w:ascii="Times New Roman" w:cs="Times New Roman" w:eastAsia="Times New Roman" w:hAnsi="Times New Roman"/>
          <w:sz w:val="18"/>
          <w:szCs w:val="18"/>
          <w:color w:val="A6A6A6"/>
        </w:rPr>
      </w:pPr>
    </w:p>
    <w:p>
      <w:pPr>
        <w:ind w:left="740" w:hanging="327"/>
        <w:spacing w:after="0" w:line="261" w:lineRule="auto"/>
        <w:tabs>
          <w:tab w:leader="none" w:pos="740" w:val="left"/>
        </w:tabs>
        <w:numPr>
          <w:ilvl w:val="0"/>
          <w:numId w:val="4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8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7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76" w:lineRule="exact"/>
        <w:rPr>
          <w:sz w:val="20"/>
          <w:szCs w:val="20"/>
          <w:color w:val="auto"/>
        </w:rPr>
      </w:pPr>
    </w:p>
    <w:p>
      <w:pPr>
        <w:ind w:right="340" w:firstLine="405"/>
        <w:spacing w:after="0" w:line="270" w:lineRule="auto"/>
        <w:rPr>
          <w:sz w:val="20"/>
          <w:szCs w:val="20"/>
          <w:color w:val="auto"/>
        </w:rPr>
      </w:pPr>
      <w:r>
        <w:rPr>
          <w:rFonts w:ascii="Times New Roman" w:cs="Times New Roman" w:eastAsia="Times New Roman" w:hAnsi="Times New Roman"/>
          <w:sz w:val="17"/>
          <w:szCs w:val="17"/>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3" w:lineRule="exact"/>
        <w:rPr>
          <w:sz w:val="20"/>
          <w:szCs w:val="20"/>
          <w:color w:val="auto"/>
        </w:rPr>
      </w:pPr>
    </w:p>
    <w:p>
      <w:pPr>
        <w:ind w:right="200" w:firstLine="8"/>
        <w:spacing w:after="0" w:line="261"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the Board</w:t>
      </w:r>
    </w:p>
    <w:p>
      <w:pPr>
        <w:spacing w:after="0" w:line="22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ind w:right="360" w:firstLine="405"/>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4" w:lineRule="exact"/>
        <w:rPr>
          <w:sz w:val="20"/>
          <w:szCs w:val="20"/>
          <w:color w:val="auto"/>
        </w:rPr>
      </w:pPr>
    </w:p>
    <w:p>
      <w:pPr>
        <w:jc w:val="both"/>
        <w:ind w:firstLine="405"/>
        <w:spacing w:after="0" w:line="313" w:lineRule="auto"/>
        <w:rPr>
          <w:sz w:val="20"/>
          <w:szCs w:val="20"/>
          <w:color w:val="auto"/>
        </w:rPr>
      </w:pPr>
      <w:r>
        <w:rPr>
          <w:rFonts w:ascii="Times New Roman" w:cs="Times New Roman" w:eastAsia="Times New Roman" w:hAnsi="Times New Roman"/>
          <w:sz w:val="17"/>
          <w:szCs w:val="17"/>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left="740" w:hanging="327"/>
        <w:spacing w:after="0" w:line="261" w:lineRule="auto"/>
        <w:tabs>
          <w:tab w:leader="none" w:pos="740" w:val="left"/>
        </w:tabs>
        <w:numPr>
          <w:ilvl w:val="0"/>
          <w:numId w:val="5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0" w:lineRule="exact"/>
        <w:rPr>
          <w:rFonts w:ascii="Times New Roman" w:cs="Times New Roman" w:eastAsia="Times New Roman" w:hAnsi="Times New Roman"/>
          <w:sz w:val="18"/>
          <w:szCs w:val="18"/>
          <w:color w:val="A6A6A6"/>
        </w:rPr>
      </w:pPr>
    </w:p>
    <w:p>
      <w:pPr>
        <w:ind w:left="740" w:hanging="327"/>
        <w:spacing w:after="0" w:line="282" w:lineRule="auto"/>
        <w:tabs>
          <w:tab w:leader="none" w:pos="740" w:val="left"/>
        </w:tabs>
        <w:numPr>
          <w:ilvl w:val="0"/>
          <w:numId w:val="5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6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76"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8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80"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8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8"/>
          <w:szCs w:val="18"/>
          <w:color w:val="auto"/>
        </w:rPr>
        <w:t>We plan to form a compensation committee shortly after the election of external directors to our board.</w:t>
      </w:r>
    </w:p>
    <w:p>
      <w:pPr>
        <w:spacing w:after="0" w:line="22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80"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Under the amendment to the Israeli Companies Law, we are required to adopt an office holder compensation policy no later than 9 months from the consummation of this offering.</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Transactions—Agreements and Arrangements with, and Compensation of, Directors and Executive Officers" for a summary of these agreements.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Internal auditor</w:t>
      </w:r>
    </w:p>
    <w:p>
      <w:pPr>
        <w:spacing w:after="0" w:line="22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62" w:lineRule="exact"/>
        <w:rPr>
          <w:sz w:val="20"/>
          <w:szCs w:val="20"/>
          <w:color w:val="auto"/>
        </w:rPr>
      </w:pPr>
    </w:p>
    <w:p>
      <w:pPr>
        <w:ind w:left="720" w:hanging="307"/>
        <w:spacing w:after="0"/>
        <w:tabs>
          <w:tab w:leader="none" w:pos="720" w:val="left"/>
        </w:tabs>
        <w:numPr>
          <w:ilvl w:val="0"/>
          <w:numId w:val="5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person (or a relative of a person) who holds more than 5% of the Company's outstanding shares or voting rights;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5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person (or a relative of a person) who has the power to appoint a director or the general manager of the Company;</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5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office holder (including a director) of the Company (or a relative thereof); or</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5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member of the Company's independent accounting firm, or anyone on his or her behalf.</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role of the internal auditor is to examine, among other things, our compliance with applicable law and orderly business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Rules and Home Country Practices</w:t>
      </w:r>
    </w:p>
    <w:p>
      <w:pPr>
        <w:spacing w:after="0" w:line="22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74" w:lineRule="exact"/>
        <w:rPr>
          <w:sz w:val="20"/>
          <w:szCs w:val="20"/>
          <w:color w:val="auto"/>
        </w:rPr>
      </w:pPr>
    </w:p>
    <w:p>
      <w:pPr>
        <w:ind w:left="420" w:right="20" w:hanging="7"/>
        <w:spacing w:after="0" w:line="257" w:lineRule="auto"/>
        <w:tabs>
          <w:tab w:leader="none" w:pos="735" w:val="left"/>
        </w:tabs>
        <w:numPr>
          <w:ilvl w:val="0"/>
          <w:numId w:val="5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Distribution of periodic reports to shareholders; proxy solicitation. </w:t>
      </w:r>
      <w:r>
        <w:rPr>
          <w:rFonts w:ascii="Times New Roman" w:cs="Times New Roman" w:eastAsia="Times New Roman" w:hAnsi="Times New Roman"/>
          <w:sz w:val="18"/>
          <w:szCs w:val="18"/>
          <w:color w:val="auto"/>
        </w:rPr>
        <w:t>As opposed to the Listing Rules of the NASDAQ Stock Market, which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left="420" w:right="60" w:hanging="7"/>
        <w:spacing w:after="0" w:line="257" w:lineRule="auto"/>
        <w:tabs>
          <w:tab w:leader="none" w:pos="735" w:val="left"/>
        </w:tabs>
        <w:numPr>
          <w:ilvl w:val="0"/>
          <w:numId w:val="5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Nomination of our directors. </w:t>
      </w:r>
      <w:r>
        <w:rPr>
          <w:rFonts w:ascii="Times New Roman" w:cs="Times New Roman" w:eastAsia="Times New Roman" w:hAnsi="Times New Roman"/>
          <w:sz w:val="18"/>
          <w:szCs w:val="18"/>
          <w:color w:val="auto"/>
        </w:rPr>
        <w:t>With the exception of our external directors and directors elected by our Board of Directors due to vacancy,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82"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5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Compensation of officers.  </w:t>
      </w:r>
      <w:r>
        <w:rPr>
          <w:rFonts w:ascii="Times New Roman" w:cs="Times New Roman" w:eastAsia="Times New Roman" w:hAnsi="Times New Roman"/>
          <w:sz w:val="18"/>
          <w:szCs w:val="18"/>
          <w:color w:val="auto"/>
        </w:rPr>
        <w:t>Israeli law and our amended and restated articles of association do not require that the independent members of our</w:t>
      </w:r>
    </w:p>
    <w:p>
      <w:pPr>
        <w:spacing w:after="0" w:line="29" w:lineRule="exact"/>
        <w:rPr>
          <w:rFonts w:ascii="Times New Roman" w:cs="Times New Roman" w:eastAsia="Times New Roman" w:hAnsi="Times New Roman"/>
          <w:sz w:val="18"/>
          <w:szCs w:val="18"/>
          <w:color w:val="A6A6A6"/>
        </w:rPr>
      </w:pPr>
    </w:p>
    <w:p>
      <w:pPr>
        <w:ind w:left="420" w:right="40"/>
        <w:spacing w:after="0" w:line="255" w:lineRule="auto"/>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86"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8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89" w:lineRule="exact"/>
        <w:rPr>
          <w:sz w:val="20"/>
          <w:szCs w:val="20"/>
          <w:color w:val="auto"/>
        </w:rPr>
      </w:pPr>
    </w:p>
    <w:p>
      <w:pPr>
        <w:ind w:right="160" w:firstLine="405"/>
        <w:spacing w:after="0" w:line="313" w:lineRule="auto"/>
        <w:rPr>
          <w:sz w:val="20"/>
          <w:szCs w:val="20"/>
          <w:color w:val="auto"/>
        </w:rPr>
      </w:pPr>
      <w:r>
        <w:rPr>
          <w:rFonts w:ascii="Times New Roman" w:cs="Times New Roman" w:eastAsia="Times New Roman" w:hAnsi="Times New Roman"/>
          <w:sz w:val="17"/>
          <w:szCs w:val="17"/>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36" w:lineRule="exact"/>
        <w:rPr>
          <w:sz w:val="20"/>
          <w:szCs w:val="20"/>
          <w:color w:val="auto"/>
        </w:rPr>
      </w:pPr>
    </w:p>
    <w:p>
      <w:pPr>
        <w:ind w:left="420" w:right="40" w:hanging="7"/>
        <w:spacing w:after="0" w:line="273" w:lineRule="auto"/>
        <w:tabs>
          <w:tab w:leader="none" w:pos="735" w:val="left"/>
        </w:tabs>
        <w:numPr>
          <w:ilvl w:val="0"/>
          <w:numId w:val="54"/>
        </w:numPr>
        <w:rPr>
          <w:rFonts w:ascii="Times New Roman" w:cs="Times New Roman" w:eastAsia="Times New Roman" w:hAnsi="Times New Roman"/>
          <w:sz w:val="17"/>
          <w:szCs w:val="17"/>
          <w:color w:val="A6A6A6"/>
        </w:rPr>
      </w:pPr>
      <w:r>
        <w:rPr>
          <w:rFonts w:ascii="Times New Roman" w:cs="Times New Roman" w:eastAsia="Times New Roman" w:hAnsi="Times New Roman"/>
          <w:sz w:val="17"/>
          <w:szCs w:val="17"/>
          <w:i w:val="1"/>
          <w:iCs w:val="1"/>
          <w:color w:val="auto"/>
        </w:rPr>
        <w:t xml:space="preserve">Independent directors. </w:t>
      </w:r>
      <w:r>
        <w:rPr>
          <w:rFonts w:ascii="Times New Roman" w:cs="Times New Roman" w:eastAsia="Times New Roman" w:hAnsi="Times New Roman"/>
          <w:sz w:val="17"/>
          <w:szCs w:val="17"/>
          <w:color w:val="auto"/>
        </w:rPr>
        <w:t>Israeli law does not require that a majority of the directors serving on our Board of Directors be "independent," as defined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2" w:right="259" w:bottom="1440" w:gutter="0" w:footer="0" w:header="0"/>
        </w:sectPr>
      </w:pPr>
    </w:p>
    <w:bookmarkStart w:id="67" w:name="page68"/>
    <w:bookmarkEnd w:id="67"/>
    <w:p>
      <w:pPr>
        <w:ind w:left="420" w:right="80" w:hanging="7"/>
        <w:spacing w:after="0" w:line="252" w:lineRule="auto"/>
        <w:tabs>
          <w:tab w:leader="none" w:pos="735" w:val="left"/>
        </w:tabs>
        <w:numPr>
          <w:ilvl w:val="0"/>
          <w:numId w:val="5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Shareholder approval. </w:t>
      </w:r>
      <w:r>
        <w:rPr>
          <w:rFonts w:ascii="Times New Roman" w:cs="Times New Roman" w:eastAsia="Times New Roman" w:hAnsi="Times New Roman"/>
          <w:sz w:val="18"/>
          <w:szCs w:val="18"/>
          <w:color w:val="auto"/>
        </w:rPr>
        <w:t>We will seek shareholder approval for all corporate actions requiring such approval under the requirements of the Israeli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Disclosure of personal interests of controlling shareholders". In addition, under the Israeli Companies Law, a merger requires approval of the shareholders of each of the merging companies.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6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76" w:lineRule="exact"/>
        <w:rPr>
          <w:sz w:val="20"/>
          <w:szCs w:val="20"/>
          <w:color w:val="auto"/>
        </w:rPr>
      </w:pPr>
    </w:p>
    <w:p>
      <w:pPr>
        <w:ind w:left="740" w:hanging="327"/>
        <w:spacing w:after="0"/>
        <w:tabs>
          <w:tab w:leader="none" w:pos="740" w:val="left"/>
        </w:tabs>
        <w:numPr>
          <w:ilvl w:val="0"/>
          <w:numId w:val="5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information on the advisability of a given action brought for his or her approval or performed by virtue of his or her position; and</w:t>
      </w:r>
    </w:p>
    <w:p>
      <w:pPr>
        <w:spacing w:after="0" w:line="225" w:lineRule="exact"/>
        <w:rPr>
          <w:rFonts w:ascii="Times New Roman" w:cs="Times New Roman" w:eastAsia="Times New Roman" w:hAnsi="Times New Roman"/>
          <w:sz w:val="18"/>
          <w:szCs w:val="18"/>
          <w:color w:val="A6A6A6"/>
        </w:rPr>
      </w:pPr>
    </w:p>
    <w:p>
      <w:pPr>
        <w:ind w:left="740" w:hanging="327"/>
        <w:spacing w:after="0"/>
        <w:tabs>
          <w:tab w:leader="none" w:pos="740" w:val="left"/>
        </w:tabs>
        <w:numPr>
          <w:ilvl w:val="0"/>
          <w:numId w:val="5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740" w:hanging="327"/>
        <w:spacing w:after="0"/>
        <w:tabs>
          <w:tab w:leader="none" w:pos="740" w:val="left"/>
        </w:tabs>
        <w:numPr>
          <w:ilvl w:val="0"/>
          <w:numId w:val="5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refrain from any conflict of interest between the performance of his or her duties to the Company and his or her other duties or personal affairs;</w:t>
      </w:r>
    </w:p>
    <w:p>
      <w:pPr>
        <w:spacing w:after="0" w:line="225" w:lineRule="exact"/>
        <w:rPr>
          <w:rFonts w:ascii="Times New Roman" w:cs="Times New Roman" w:eastAsia="Times New Roman" w:hAnsi="Times New Roman"/>
          <w:sz w:val="18"/>
          <w:szCs w:val="18"/>
          <w:color w:val="A6A6A6"/>
        </w:rPr>
      </w:pPr>
    </w:p>
    <w:p>
      <w:pPr>
        <w:ind w:left="740" w:hanging="327"/>
        <w:spacing w:after="0"/>
        <w:tabs>
          <w:tab w:leader="none" w:pos="740" w:val="left"/>
        </w:tabs>
        <w:numPr>
          <w:ilvl w:val="0"/>
          <w:numId w:val="5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refrain from any activity that is competitive with the Company;</w:t>
      </w:r>
    </w:p>
    <w:p>
      <w:pPr>
        <w:spacing w:after="0" w:line="225" w:lineRule="exact"/>
        <w:rPr>
          <w:rFonts w:ascii="Times New Roman" w:cs="Times New Roman" w:eastAsia="Times New Roman" w:hAnsi="Times New Roman"/>
          <w:sz w:val="18"/>
          <w:szCs w:val="18"/>
          <w:color w:val="A6A6A6"/>
        </w:rPr>
      </w:pPr>
    </w:p>
    <w:p>
      <w:pPr>
        <w:ind w:left="740" w:hanging="327"/>
        <w:spacing w:after="0"/>
        <w:tabs>
          <w:tab w:leader="none" w:pos="740" w:val="left"/>
        </w:tabs>
        <w:numPr>
          <w:ilvl w:val="0"/>
          <w:numId w:val="5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refrain from exploiting any business opportunity of the Company to receive a personal gain for himself or herself or others; and</w:t>
      </w:r>
    </w:p>
    <w:p>
      <w:pPr>
        <w:spacing w:after="0" w:line="225" w:lineRule="exact"/>
        <w:rPr>
          <w:rFonts w:ascii="Times New Roman" w:cs="Times New Roman" w:eastAsia="Times New Roman" w:hAnsi="Times New Roman"/>
          <w:sz w:val="18"/>
          <w:szCs w:val="18"/>
          <w:color w:val="A6A6A6"/>
        </w:rPr>
      </w:pPr>
    </w:p>
    <w:p>
      <w:pPr>
        <w:ind w:left="740" w:right="20" w:hanging="327"/>
        <w:spacing w:after="0" w:line="282" w:lineRule="auto"/>
        <w:tabs>
          <w:tab w:leader="none" w:pos="740" w:val="left"/>
        </w:tabs>
        <w:numPr>
          <w:ilvl w:val="0"/>
          <w:numId w:val="5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an Office Holder</w:t>
      </w:r>
    </w:p>
    <w:p>
      <w:pPr>
        <w:spacing w:after="0" w:line="227"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8" w:name="page69"/>
    <w:bookmarkEnd w:id="68"/>
    <w:p>
      <w:pPr>
        <w:ind w:left="720" w:hanging="307"/>
        <w:spacing w:after="0"/>
        <w:tabs>
          <w:tab w:leader="none" w:pos="720" w:val="left"/>
        </w:tabs>
        <w:numPr>
          <w:ilvl w:val="0"/>
          <w:numId w:val="5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transaction other than in the ordinary course of business;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5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transaction that is not on market terms; or</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5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8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Controlling Shareholders</w:t>
      </w:r>
    </w:p>
    <w:p>
      <w:pPr>
        <w:spacing w:after="0" w:line="22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85" w:lineRule="exact"/>
        <w:rPr>
          <w:sz w:val="20"/>
          <w:szCs w:val="20"/>
          <w:color w:val="auto"/>
        </w:rPr>
      </w:pPr>
    </w:p>
    <w:p>
      <w:pPr>
        <w:ind w:left="740" w:hanging="327"/>
        <w:spacing w:after="0"/>
        <w:tabs>
          <w:tab w:leader="none" w:pos="740" w:val="left"/>
        </w:tabs>
        <w:numPr>
          <w:ilvl w:val="0"/>
          <w:numId w:val="5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disinterested majority; or</w:t>
      </w:r>
    </w:p>
    <w:p>
      <w:pPr>
        <w:spacing w:after="0" w:line="225" w:lineRule="exact"/>
        <w:rPr>
          <w:rFonts w:ascii="Times New Roman" w:cs="Times New Roman" w:eastAsia="Times New Roman" w:hAnsi="Times New Roman"/>
          <w:sz w:val="18"/>
          <w:szCs w:val="18"/>
          <w:color w:val="A6A6A6"/>
        </w:rPr>
      </w:pPr>
    </w:p>
    <w:p>
      <w:pPr>
        <w:ind w:left="740" w:hanging="327"/>
        <w:spacing w:after="0" w:line="282" w:lineRule="auto"/>
        <w:tabs>
          <w:tab w:leader="none" w:pos="740" w:val="left"/>
        </w:tabs>
        <w:numPr>
          <w:ilvl w:val="0"/>
          <w:numId w:val="5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7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6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ind w:left="420"/>
        <w:spacing w:after="0"/>
        <w:rPr>
          <w:sz w:val="20"/>
          <w:szCs w:val="20"/>
          <w:color w:val="auto"/>
        </w:rPr>
      </w:pPr>
      <w:r>
        <w:rPr>
          <w:rFonts w:ascii="Times New Roman" w:cs="Times New Roman" w:eastAsia="Times New Roman" w:hAnsi="Times New Roman"/>
          <w:sz w:val="18"/>
          <w:szCs w:val="18"/>
          <w:i w:val="1"/>
          <w:iCs w:val="1"/>
          <w:color w:val="auto"/>
        </w:rPr>
        <w:t>Shareholder Duties</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76" w:lineRule="exact"/>
        <w:rPr>
          <w:sz w:val="20"/>
          <w:szCs w:val="20"/>
          <w:color w:val="auto"/>
        </w:rPr>
      </w:pPr>
    </w:p>
    <w:p>
      <w:pPr>
        <w:ind w:left="720" w:hanging="307"/>
        <w:spacing w:after="0"/>
        <w:tabs>
          <w:tab w:leader="none" w:pos="720" w:val="left"/>
        </w:tabs>
        <w:numPr>
          <w:ilvl w:val="0"/>
          <w:numId w:val="6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amendment to the Company's articles of association;</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increase of the Company's authorized share capital;</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merger; or</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approval of interested party transactions and acts of office holders that require shareholder approval.</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a shareholder also has a general duty to refrain from discriminating against other shareholders.</w:t>
      </w:r>
    </w:p>
    <w:p>
      <w:pPr>
        <w:spacing w:after="0" w:line="22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4"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76" w:lineRule="exact"/>
        <w:rPr>
          <w:sz w:val="20"/>
          <w:szCs w:val="20"/>
          <w:color w:val="auto"/>
        </w:rPr>
      </w:pPr>
    </w:p>
    <w:p>
      <w:pPr>
        <w:ind w:left="420" w:right="40" w:hanging="7"/>
        <w:spacing w:after="0" w:line="258" w:lineRule="auto"/>
        <w:tabs>
          <w:tab w:leader="none" w:pos="735" w:val="left"/>
        </w:tabs>
        <w:numPr>
          <w:ilvl w:val="0"/>
          <w:numId w:val="6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Times New Roman" w:cs="Times New Roman" w:eastAsia="Times New Roman" w:hAnsi="Times New Roman"/>
          <w:sz w:val="18"/>
          <w:szCs w:val="18"/>
          <w:color w:val="A6A6A6"/>
        </w:rPr>
      </w:pPr>
    </w:p>
    <w:p>
      <w:pPr>
        <w:ind w:left="420" w:right="40" w:hanging="7"/>
        <w:spacing w:after="0" w:line="258" w:lineRule="auto"/>
        <w:tabs>
          <w:tab w:leader="none" w:pos="735" w:val="left"/>
        </w:tabs>
        <w:numPr>
          <w:ilvl w:val="0"/>
          <w:numId w:val="6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3" w:lineRule="exact"/>
        <w:rPr>
          <w:rFonts w:ascii="Times New Roman" w:cs="Times New Roman" w:eastAsia="Times New Roman" w:hAnsi="Times New Roman"/>
          <w:sz w:val="18"/>
          <w:szCs w:val="18"/>
          <w:color w:val="A6A6A6"/>
        </w:rPr>
      </w:pPr>
    </w:p>
    <w:p>
      <w:pPr>
        <w:jc w:val="both"/>
        <w:ind w:left="420" w:right="40" w:hanging="7"/>
        <w:spacing w:after="0" w:line="266" w:lineRule="auto"/>
        <w:tabs>
          <w:tab w:leader="none" w:pos="735" w:val="left"/>
        </w:tabs>
        <w:numPr>
          <w:ilvl w:val="0"/>
          <w:numId w:val="6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62" w:lineRule="exact"/>
        <w:rPr>
          <w:sz w:val="20"/>
          <w:szCs w:val="20"/>
          <w:color w:val="auto"/>
        </w:rPr>
      </w:pPr>
    </w:p>
    <w:p>
      <w:pPr>
        <w:ind w:left="420" w:right="140" w:hanging="7"/>
        <w:spacing w:after="0" w:line="282" w:lineRule="auto"/>
        <w:tabs>
          <w:tab w:leader="none" w:pos="735" w:val="left"/>
        </w:tabs>
        <w:numPr>
          <w:ilvl w:val="0"/>
          <w:numId w:val="6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the duty of loyalty to the Company, provided that the office holder acted in good faith and had a reasonable basis to believe that the act would not harm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0" w:name="page71"/>
    <w:bookmarkEnd w:id="70"/>
    <w:p>
      <w:pPr>
        <w:ind w:left="720" w:hanging="307"/>
        <w:spacing w:after="0"/>
        <w:tabs>
          <w:tab w:leader="none" w:pos="720" w:val="left"/>
        </w:tabs>
        <w:numPr>
          <w:ilvl w:val="0"/>
          <w:numId w:val="6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duty of care to the Company or to a third party; and</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Nevertheless, under the Israeli Companies Law, a company may not indemnify, exculpate or insure an office holder against any of the following:</w:t>
      </w:r>
    </w:p>
    <w:p>
      <w:pPr>
        <w:spacing w:after="0" w:line="225" w:lineRule="exact"/>
        <w:rPr>
          <w:sz w:val="20"/>
          <w:szCs w:val="20"/>
          <w:color w:val="auto"/>
        </w:rPr>
      </w:pPr>
    </w:p>
    <w:p>
      <w:pPr>
        <w:ind w:left="420" w:right="260" w:hanging="7"/>
        <w:spacing w:after="0" w:line="282" w:lineRule="auto"/>
        <w:tabs>
          <w:tab w:leader="none" w:pos="735" w:val="left"/>
        </w:tabs>
        <w:numPr>
          <w:ilvl w:val="0"/>
          <w:numId w:val="6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act or omission committed with intent to derive unlawful personal benefit; or</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4"/>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fine, monetary sanction, penalty or forfeit levied against the office holder.</w:t>
      </w:r>
    </w:p>
    <w:p>
      <w:pPr>
        <w:spacing w:after="0" w:line="225"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7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permit us to exculpate, indemnify and insure our office holders to the fullest extent permitted by the Israeli Companies Law.</w:t>
      </w:r>
    </w:p>
    <w:p>
      <w:pPr>
        <w:spacing w:after="0" w:line="16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71" w:name="page72"/>
    <w:bookmarkEnd w:id="71"/>
    <w:p>
      <w:pPr>
        <w:ind w:left="420"/>
        <w:spacing w:after="0"/>
        <w:rPr>
          <w:sz w:val="20"/>
          <w:szCs w:val="20"/>
          <w:color w:val="auto"/>
        </w:rPr>
      </w:pPr>
      <w:r>
        <w:rPr>
          <w:rFonts w:ascii="Times New Roman" w:cs="Times New Roman" w:eastAsia="Times New Roman" w:hAnsi="Times New Roman"/>
          <w:sz w:val="18"/>
          <w:szCs w:val="18"/>
          <w:color w:val="auto"/>
        </w:rPr>
        <w:t>We do not have written agreements with any director providing for benefits upon the termination of his employment with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8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2010 Incentive Option Plan</w:t>
      </w:r>
    </w:p>
    <w:p>
      <w:pPr>
        <w:spacing w:after="0" w:line="229"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380,247 ordinary shares were vested as of April 1, 2013, with a weighted average exercise price of $0.26 per share.</w:t>
      </w:r>
    </w:p>
    <w:p>
      <w:pPr>
        <w:spacing w:after="0" w:line="17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Options granted under the 2010 Plan to Israeli employees have been granted under the capital gains track of Section 102 of the Ordinance.</w:t>
      </w:r>
    </w:p>
    <w:p>
      <w:pPr>
        <w:spacing w:after="0" w:line="225"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8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8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ertain relationships and related party transactions</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Arrangements With, and Compensation of, Directors and Executive Officers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Yaron Daniely</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granted Dr. Daniely an aggregate of 430,013 options to purchase our ordinary shares, of which 157,756 have vested as of December 31, 2012.</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Dalia Megiddo</w:t>
      </w:r>
    </w:p>
    <w:p>
      <w:pPr>
        <w:spacing w:after="0" w:line="229"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March 2013, the Company increased the monthly fee to be payable to Dr. Megiddo to $5,000, subject to and effective upon closing of this offering.</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Udi Gilboa</w:t>
      </w:r>
    </w:p>
    <w:p>
      <w:pPr>
        <w:spacing w:after="0" w:line="229"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90 days’ notice.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Services of Aharon Schwartz as Director and Chairman of Our Board of Directors</w:t>
      </w:r>
    </w:p>
    <w:p>
      <w:pPr>
        <w:spacing w:after="0" w:line="22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0" w:right="3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ordinary shares as of February 15, 2013 by:</w:t>
      </w:r>
    </w:p>
    <w:p>
      <w:pPr>
        <w:spacing w:after="0" w:line="225" w:lineRule="exact"/>
        <w:rPr>
          <w:sz w:val="20"/>
          <w:szCs w:val="20"/>
          <w:color w:val="auto"/>
        </w:rPr>
      </w:pPr>
    </w:p>
    <w:p>
      <w:pPr>
        <w:ind w:left="1160" w:hanging="585"/>
        <w:spacing w:after="0"/>
        <w:tabs>
          <w:tab w:leader="none" w:pos="1160" w:val="left"/>
        </w:tabs>
        <w:numPr>
          <w:ilvl w:val="0"/>
          <w:numId w:val="6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each person, or group of affiliated persons, known to us to be the beneficial owner of more than 5% of our outstanding ordinary shares;</w:t>
      </w:r>
    </w:p>
    <w:p>
      <w:pPr>
        <w:spacing w:after="0" w:line="225" w:lineRule="exact"/>
        <w:rPr>
          <w:rFonts w:ascii="Times New Roman" w:cs="Times New Roman" w:eastAsia="Times New Roman" w:hAnsi="Times New Roman"/>
          <w:sz w:val="18"/>
          <w:szCs w:val="18"/>
          <w:color w:val="A6A6A6"/>
        </w:rPr>
      </w:pPr>
    </w:p>
    <w:p>
      <w:pPr>
        <w:ind w:left="1160" w:hanging="585"/>
        <w:spacing w:after="0"/>
        <w:tabs>
          <w:tab w:leader="none" w:pos="1160" w:val="left"/>
        </w:tabs>
        <w:numPr>
          <w:ilvl w:val="0"/>
          <w:numId w:val="6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6A6A6"/>
        </w:rPr>
      </w:pPr>
    </w:p>
    <w:p>
      <w:pPr>
        <w:ind w:left="1160" w:hanging="585"/>
        <w:spacing w:after="0"/>
        <w:tabs>
          <w:tab w:leader="none" w:pos="1160" w:val="left"/>
        </w:tabs>
        <w:numPr>
          <w:ilvl w:val="0"/>
          <w:numId w:val="6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ordinary shares. Ordinary shares issuable under share options or warrants that are exercisable within 60 days after December 31, 2012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December 31, 2012.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February 15,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65 Rothschild Blvd., Tel Aviv 65785, Israel.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 Owned</w:t>
            </w:r>
          </w:p>
        </w:tc>
        <w:tc>
          <w:tcPr>
            <w:tcW w:w="1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Percentage Owned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 this Offering</w:t>
            </w: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Holders of more than 5% of our voting securities: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Udi Gilboa</w:t>
            </w:r>
          </w:p>
        </w:tc>
        <w:tc>
          <w:tcPr>
            <w:tcW w:w="20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2,734,927</w:t>
            </w:r>
          </w:p>
        </w:tc>
        <w:tc>
          <w:tcPr>
            <w:tcW w:w="2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35.09%</w:t>
            </w:r>
          </w:p>
        </w:tc>
        <w:tc>
          <w:tcPr>
            <w:tcW w:w="19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Dr. Dalia Megiddo</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2,803,817</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Hadasit Medical Research Services &amp; Development Ltd.</w:t>
            </w:r>
          </w:p>
        </w:tc>
        <w:tc>
          <w:tcPr>
            <w:tcW w:w="20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750,667</w:t>
            </w:r>
          </w:p>
        </w:tc>
        <w:tc>
          <w:tcPr>
            <w:tcW w:w="2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9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who are not 5% holders: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Dr. Yaron Daniely (1)</w:t>
            </w:r>
          </w:p>
        </w:tc>
        <w:tc>
          <w:tcPr>
            <w:tcW w:w="20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157,756</w:t>
            </w:r>
          </w:p>
        </w:tc>
        <w:tc>
          <w:tcPr>
            <w:tcW w:w="2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9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persons)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5,696,500</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73.05%</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00" w:right="260" w:hanging="570"/>
        <w:spacing w:after="0" w:line="261"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currently exercisable or exercisable within 60 days of February 15, 2013 to purchase 157,756 ordinary shares (which have an exercise price of $0.328 per share and expire in November 15, 2020). Does not include the following options not currently exercisable: 94,654 options that are time-vested, 88,050 options that become exercisable upon an initial public offering or an acquisition of the Company and 89,553 options that become exercisable upon an initial public offering or an acquisition of the Company. The options were granted under our 2010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of our outstanding ordinary shares are validly issued, fully paid and non-assessable. They are not redeemable and do not have any preemptive rights.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April 1, 2013, we had the following warrants outstanding:</w:t>
      </w:r>
    </w:p>
    <w:p>
      <w:pPr>
        <w:spacing w:after="0" w:line="223" w:lineRule="exact"/>
        <w:rPr>
          <w:sz w:val="20"/>
          <w:szCs w:val="20"/>
          <w:color w:val="auto"/>
        </w:rPr>
      </w:pPr>
    </w:p>
    <w:p>
      <w:pPr>
        <w:ind w:left="420" w:right="100" w:hanging="7"/>
        <w:spacing w:after="0" w:line="284" w:lineRule="auto"/>
        <w:tabs>
          <w:tab w:leader="none" w:pos="735" w:val="left"/>
        </w:tabs>
        <w:numPr>
          <w:ilvl w:val="0"/>
          <w:numId w:val="6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Warrants issued to professional advisor. </w:t>
      </w:r>
      <w:r>
        <w:rPr>
          <w:rFonts w:ascii="Times New Roman" w:cs="Times New Roman" w:eastAsia="Times New Roman" w:hAnsi="Times New Roman"/>
          <w:sz w:val="18"/>
          <w:szCs w:val="18"/>
          <w:color w:val="auto"/>
        </w:rPr>
        <w:t>As consideration for certain professional services, on April 2, 2008, we issued to certain advisors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up to 58,700 ordinary shares at an exercise price of NIS 0.01 per share. These warrants shall expire on April 2, 2018.</w:t>
      </w:r>
    </w:p>
    <w:p>
      <w:pPr>
        <w:spacing w:after="0" w:line="158" w:lineRule="exact"/>
        <w:rPr>
          <w:rFonts w:ascii="Times New Roman" w:cs="Times New Roman" w:eastAsia="Times New Roman" w:hAnsi="Times New Roman"/>
          <w:sz w:val="18"/>
          <w:szCs w:val="18"/>
          <w:color w:val="A6A6A6"/>
        </w:rPr>
      </w:pPr>
    </w:p>
    <w:p>
      <w:pPr>
        <w:ind w:left="420" w:right="300" w:hanging="7"/>
        <w:spacing w:after="0" w:line="261" w:lineRule="auto"/>
        <w:tabs>
          <w:tab w:leader="none" w:pos="735" w:val="left"/>
        </w:tabs>
        <w:numPr>
          <w:ilvl w:val="0"/>
          <w:numId w:val="6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i w:val="1"/>
          <w:iCs w:val="1"/>
          <w:color w:val="auto"/>
        </w:rPr>
        <w:t xml:space="preserve">Warrants issued in the February 2010 Preferred B Subscription Agreement. </w:t>
      </w:r>
      <w:r>
        <w:rPr>
          <w:rFonts w:ascii="Times New Roman" w:cs="Times New Roman" w:eastAsia="Times New Roman" w:hAnsi="Times New Roman"/>
          <w:sz w:val="18"/>
          <w:szCs w:val="18"/>
          <w:color w:val="auto"/>
        </w:rPr>
        <w:t>In connection with the February 2010 Preferred B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further detailed below, we issued to the investors warrants to purchase up to 129,257 series B3 preferred shares at an exercise price of $2.73 per share. The warrants are currently exercisable into ordinary shares. These warrants shall expire immediately prior to the closing of this offering.</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History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history of our share capital for the last three years.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Since January 1, 2010, we have issued 292,531 ordinary shares upon the exercise of share options.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February 2010 Preferred B Subscription Agreement</w:t>
      </w:r>
      <w:r>
        <w:rPr>
          <w:rFonts w:ascii="Times New Roman" w:cs="Times New Roman" w:eastAsia="Times New Roman" w:hAnsi="Times New Roman"/>
          <w:sz w:val="18"/>
          <w:szCs w:val="18"/>
          <w:color w:val="auto"/>
        </w:rPr>
        <w:t>. On February 28, 2010, we closed the February 2010 Preferred B 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we sold an aggregate of 397,698 series B1 preferred shares, and an aggregate of 128,512 series B2 preferred shares, at a price of $2.18 per share and issued warrants to purchase up to an aggregate of 129,257 series B3 preferred shares with an exercise price of $2.73 per share, which shall expire immediately prior to the closing of this offering.</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February 2011 Share Purchase Agreement. </w:t>
      </w:r>
      <w:r>
        <w:rPr>
          <w:rFonts w:ascii="Times New Roman" w:cs="Times New Roman" w:eastAsia="Times New Roman" w:hAnsi="Times New Roman"/>
          <w:sz w:val="18"/>
          <w:szCs w:val="18"/>
          <w:color w:val="auto"/>
        </w:rPr>
        <w:t>On March 24, 2011, we closed the February 2011 Share Purchase Agreement, pursuant to which we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of 304,324 of our ordinary shares at a price of $11.50 per share.</w:t>
      </w:r>
    </w:p>
    <w:p>
      <w:pPr>
        <w:spacing w:after="0" w:line="158" w:lineRule="exact"/>
        <w:rPr>
          <w:sz w:val="20"/>
          <w:szCs w:val="20"/>
          <w:color w:val="auto"/>
        </w:rPr>
      </w:pPr>
    </w:p>
    <w:p>
      <w:pPr>
        <w:jc w:val="both"/>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Recapitalization and conversion of Preferred Shares to Ordinary Shares</w:t>
      </w:r>
      <w:r>
        <w:rPr>
          <w:rFonts w:ascii="Times New Roman" w:cs="Times New Roman" w:eastAsia="Times New Roman" w:hAnsi="Times New Roman"/>
          <w:sz w:val="18"/>
          <w:szCs w:val="18"/>
          <w:color w:val="auto"/>
        </w:rPr>
        <w:t>. In connection with the February 2011 Share Purchase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7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2012 Convertible Notes</w:t>
      </w:r>
      <w:r>
        <w:rPr>
          <w:rFonts w:ascii="Times New Roman" w:cs="Times New Roman" w:eastAsia="Times New Roman" w:hAnsi="Times New Roman"/>
          <w:sz w:val="18"/>
          <w:szCs w:val="18"/>
          <w:color w:val="auto"/>
        </w:rPr>
        <w:t>. During 2012, we issued convertible notes for a total principal amount of $600,000. According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 the total amount, bearing an annual interest rate of 6%, shall be automatically converted into ordinary shares as of immediately after closing of this offering, at a 25% discount from the initial public offering price.</w:t>
      </w:r>
    </w:p>
    <w:p>
      <w:pPr>
        <w:spacing w:after="0" w:line="174"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2013 Convertible Notes. </w:t>
      </w:r>
      <w:r>
        <w:rPr>
          <w:rFonts w:ascii="Times New Roman" w:cs="Times New Roman" w:eastAsia="Times New Roman" w:hAnsi="Times New Roman"/>
          <w:sz w:val="18"/>
          <w:szCs w:val="18"/>
          <w:color w:val="auto"/>
        </w:rPr>
        <w:t>In February 2013 we issued to certain of our existing shareholders additional convertible notes for an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$115,000. 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Holders of our ordinary shares have one vote for each ordinary share held on all matters submitted to a vote before the shareholders at a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80"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7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8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0" w:lineRule="exact"/>
        <w:rPr>
          <w:sz w:val="20"/>
          <w:szCs w:val="20"/>
          <w:color w:val="auto"/>
        </w:rPr>
      </w:pPr>
    </w:p>
    <w:p>
      <w:pPr>
        <w:ind w:left="720" w:hanging="307"/>
        <w:spacing w:after="0"/>
        <w:tabs>
          <w:tab w:leader="none" w:pos="720" w:val="left"/>
        </w:tabs>
        <w:numPr>
          <w:ilvl w:val="0"/>
          <w:numId w:val="6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amendments to our amended and restated articles of association;</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appointment or termination of our auditors;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appointment of external directors;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approval of acts and transactions involving related parties, as defined by the Israeli Companies Law;</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increases or reductions of our authorized share capital; and</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merger.</w:t>
      </w:r>
    </w:p>
    <w:p>
      <w:pPr>
        <w:spacing w:after="0" w:line="200" w:lineRule="exact"/>
        <w:rPr>
          <w:sz w:val="20"/>
          <w:szCs w:val="20"/>
          <w:color w:val="auto"/>
        </w:rPr>
      </w:pPr>
    </w:p>
    <w:p>
      <w:pPr>
        <w:spacing w:after="0" w:line="241"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80"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Under the Israeli Companies Law and our amended and restated articles of association, our shareholders are not permitted to take action via written consent in lieu of a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2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78" w:name="page79"/>
    <w:bookmarkEnd w:id="7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Vote Requirements</w:t>
      </w:r>
    </w:p>
    <w:p>
      <w:pPr>
        <w:spacing w:after="0" w:line="229" w:lineRule="exact"/>
        <w:rPr>
          <w:sz w:val="20"/>
          <w:szCs w:val="20"/>
          <w:color w:val="auto"/>
        </w:rPr>
      </w:pPr>
    </w:p>
    <w:p>
      <w:pPr>
        <w:ind w:right="200" w:firstLine="405"/>
        <w:spacing w:after="0" w:line="271" w:lineRule="auto"/>
        <w:rPr>
          <w:sz w:val="20"/>
          <w:szCs w:val="20"/>
          <w:color w:val="auto"/>
        </w:rPr>
      </w:pPr>
      <w:r>
        <w:rPr>
          <w:rFonts w:ascii="Times New Roman" w:cs="Times New Roman" w:eastAsia="Times New Roman" w:hAnsi="Times New Roman"/>
          <w:sz w:val="17"/>
          <w:szCs w:val="17"/>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 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7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76"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62" w:lineRule="exact"/>
        <w:rPr>
          <w:sz w:val="20"/>
          <w:szCs w:val="20"/>
          <w:color w:val="auto"/>
        </w:rPr>
      </w:pPr>
    </w:p>
    <w:p>
      <w:pPr>
        <w:ind w:left="720" w:hanging="307"/>
        <w:spacing w:after="0"/>
        <w:tabs>
          <w:tab w:leader="none" w:pos="720" w:val="left"/>
        </w:tabs>
        <w:numPr>
          <w:ilvl w:val="0"/>
          <w:numId w:val="6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appointment or removal of directors;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approval of transactions with office holders or interested or related parties;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approval of a merger;</w:t>
      </w:r>
    </w:p>
    <w:p>
      <w:pPr>
        <w:spacing w:after="0" w:line="225" w:lineRule="exact"/>
        <w:rPr>
          <w:rFonts w:ascii="Times New Roman" w:cs="Times New Roman" w:eastAsia="Times New Roman" w:hAnsi="Times New Roman"/>
          <w:sz w:val="18"/>
          <w:szCs w:val="18"/>
          <w:color w:val="A6A6A6"/>
        </w:rPr>
      </w:pPr>
    </w:p>
    <w:p>
      <w:pPr>
        <w:ind w:left="420" w:hanging="7"/>
        <w:spacing w:after="0" w:line="282" w:lineRule="auto"/>
        <w:tabs>
          <w:tab w:leader="none" w:pos="735" w:val="left"/>
        </w:tabs>
        <w:numPr>
          <w:ilvl w:val="0"/>
          <w:numId w:val="6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6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approval of an arrangement or reorganization of the Company pursuant to Section 350 of the Israeli Companies Law; and</w:t>
      </w:r>
    </w:p>
    <w:p>
      <w:pPr>
        <w:spacing w:after="0" w:line="225" w:lineRule="exact"/>
        <w:rPr>
          <w:rFonts w:ascii="Times New Roman" w:cs="Times New Roman" w:eastAsia="Times New Roman" w:hAnsi="Times New Roman"/>
          <w:sz w:val="18"/>
          <w:szCs w:val="18"/>
          <w:color w:val="A6A6A6"/>
        </w:rPr>
      </w:pPr>
    </w:p>
    <w:p>
      <w:pPr>
        <w:ind w:left="420" w:right="480" w:hanging="7"/>
        <w:spacing w:after="0" w:line="282" w:lineRule="auto"/>
        <w:tabs>
          <w:tab w:leader="none" w:pos="735" w:val="left"/>
        </w:tabs>
        <w:numPr>
          <w:ilvl w:val="0"/>
          <w:numId w:val="6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78"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Access to Corporate Records</w:t>
      </w:r>
    </w:p>
    <w:p>
      <w:pPr>
        <w:spacing w:after="0" w:line="22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79" w:name="page80"/>
    <w:bookmarkEnd w:id="79"/>
    <w:p>
      <w:pPr>
        <w:ind w:left="420"/>
        <w:spacing w:after="0"/>
        <w:rPr>
          <w:sz w:val="20"/>
          <w:szCs w:val="20"/>
          <w:color w:val="auto"/>
        </w:rPr>
      </w:pPr>
      <w:r>
        <w:rPr>
          <w:rFonts w:ascii="Times New Roman" w:cs="Times New Roman" w:eastAsia="Times New Roman" w:hAnsi="Times New Roman"/>
          <w:sz w:val="18"/>
          <w:szCs w:val="18"/>
          <w:b w:val="1"/>
          <w:bCs w:val="1"/>
          <w:color w:val="auto"/>
        </w:rPr>
        <w:t>Modification of Class Rights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Full Tender Offer</w:t>
      </w:r>
    </w:p>
    <w:p>
      <w:pPr>
        <w:spacing w:after="0" w:line="229"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Special Tender Offer</w:t>
      </w:r>
    </w:p>
    <w:p>
      <w:pPr>
        <w:spacing w:after="0" w:line="22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9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80" w:name="page81"/>
    <w:bookmarkEnd w:id="80"/>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7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88"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76"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Measures under Israeli Law</w:t>
      </w:r>
    </w:p>
    <w:p>
      <w:pPr>
        <w:spacing w:after="0" w:line="2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transfer agent in the United States will be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9,248,300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8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180-day lock-up period described in the preceding paragraph will be extended if:</w:t>
      </w:r>
    </w:p>
    <w:p>
      <w:pPr>
        <w:spacing w:after="0" w:line="225" w:lineRule="exact"/>
        <w:rPr>
          <w:sz w:val="20"/>
          <w:szCs w:val="20"/>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17 days of the 180-day lock-up period, we release earnings results or announce material news or a material event; or</w:t>
      </w:r>
    </w:p>
    <w:p>
      <w:pPr>
        <w:spacing w:after="0" w:line="225"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180-day lock-up period, we announce that we will release earnings results during the 15-day period following the last day of the 180-day period,</w:t>
      </w:r>
    </w:p>
    <w:p>
      <w:pPr>
        <w:spacing w:after="0" w:line="16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84"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76" w:lineRule="exact"/>
        <w:rPr>
          <w:sz w:val="20"/>
          <w:szCs w:val="20"/>
          <w:color w:val="auto"/>
        </w:rPr>
      </w:pPr>
    </w:p>
    <w:p>
      <w:pPr>
        <w:ind w:left="820" w:hanging="407"/>
        <w:spacing w:after="0"/>
        <w:tabs>
          <w:tab w:leader="none" w:pos="820" w:val="left"/>
        </w:tabs>
        <w:numPr>
          <w:ilvl w:val="0"/>
          <w:numId w:val="7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one percent of the number of ordinary shares then outstanding, which will equal 92,483 shares; or</w:t>
      </w:r>
    </w:p>
    <w:p>
      <w:pPr>
        <w:spacing w:after="0" w:line="225" w:lineRule="exact"/>
        <w:rPr>
          <w:rFonts w:ascii="Times New Roman" w:cs="Times New Roman" w:eastAsia="Times New Roman" w:hAnsi="Times New Roman"/>
          <w:sz w:val="18"/>
          <w:szCs w:val="18"/>
          <w:color w:val="A6A6A6"/>
        </w:rPr>
      </w:pPr>
    </w:p>
    <w:p>
      <w:pPr>
        <w:ind w:left="820" w:right="60" w:hanging="407"/>
        <w:spacing w:after="0" w:line="282" w:lineRule="auto"/>
        <w:tabs>
          <w:tab w:leader="none" w:pos="820" w:val="left"/>
        </w:tabs>
        <w:numPr>
          <w:ilvl w:val="0"/>
          <w:numId w:val="7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average weekly trading volume of our ordinary shares on the NASDAQ Capital Market during the four calendar weeks preceding the filing of a notice on Form 144 with respect to the sale.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an affiliate acquires “restricted securities,” those securities will also be subject to holding period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83" w:name="page84"/>
    <w:bookmarkEnd w:id="83"/>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tax structure in Israel</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Israeli resident companies, such as the Company, are generally subject to corporate tax at the rate of 25% of their taxable income in 2013.</w:t>
      </w:r>
    </w:p>
    <w:p>
      <w:pPr>
        <w:spacing w:after="0" w:line="22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Israeli individual shareholders on receipt of dividends</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76"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76"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80"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85" w:name="page86"/>
    <w:bookmarkEnd w:id="8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Taxation of Israeli Resident Corporations on Receipt of Dividends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Israeli resident corporations are generally exempt from Israeli corporate income tax with respect to dividends paid on our ordinary shares.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 Gains Taxes Applicable to Israeli Resident Shareholders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84"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Non-Israeli Shareholders on Receipt of Dividends</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76"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 gains income taxes applicable to non-Israeli shareholders.</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8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86" w:name="page87"/>
    <w:bookmarkEnd w:id="86"/>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21" w:lineRule="exact"/>
        <w:rPr>
          <w:sz w:val="20"/>
          <w:szCs w:val="20"/>
          <w:color w:val="auto"/>
        </w:rPr>
      </w:pPr>
    </w:p>
    <w:p>
      <w:pPr>
        <w:jc w:val="both"/>
        <w:ind w:right="24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9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8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87" w:name="page88"/>
    <w:bookmarkEnd w:id="87"/>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85"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the ordinary shares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8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consequences</w:t>
      </w:r>
    </w:p>
    <w:p>
      <w:pPr>
        <w:spacing w:after="0" w:line="22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8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9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8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9" w:name="page90"/>
    <w:bookmarkEnd w:id="89"/>
    <w:p>
      <w:pPr>
        <w:ind w:firstLine="405"/>
        <w:spacing w:after="0" w:line="266" w:lineRule="auto"/>
        <w:rPr>
          <w:sz w:val="20"/>
          <w:szCs w:val="20"/>
          <w:color w:val="auto"/>
        </w:rPr>
      </w:pPr>
      <w:r>
        <w:rPr>
          <w:rFonts w:ascii="Times New Roman" w:cs="Times New Roman" w:eastAsia="Times New Roman" w:hAnsi="Times New Roman"/>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7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7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6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20" w:type="dxa"/>
            <w:vAlign w:val="bottom"/>
            <w:gridSpan w:val="3"/>
          </w:tcPr>
          <w:p>
            <w:pPr>
              <w:ind w:left="276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37"/>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7820" w:type="dxa"/>
            <w:vAlign w:val="bottom"/>
            <w:tcBorders>
              <w:right w:val="single" w:sz="8" w:color="CCFFCC"/>
            </w:tcBorders>
            <w:gridSpan w:val="5"/>
            <w:shd w:val="clear" w:color="auto" w:fill="CCFFCC"/>
          </w:tcPr>
          <w:p>
            <w:pPr>
              <w:ind w:left="100"/>
              <w:spacing w:after="0" w:line="202" w:lineRule="exact"/>
              <w:rPr>
                <w:sz w:val="20"/>
                <w:szCs w:val="20"/>
                <w:color w:val="auto"/>
              </w:rPr>
            </w:pPr>
            <w:r>
              <w:rPr>
                <w:rFonts w:ascii="Times New Roman" w:cs="Times New Roman" w:eastAsia="Times New Roman" w:hAnsi="Times New Roman"/>
                <w:sz w:val="18"/>
                <w:szCs w:val="18"/>
                <w:color w:val="auto"/>
              </w:rPr>
              <w:t>Aegis Capital Corp.</w:t>
            </w:r>
          </w:p>
        </w:tc>
        <w:tc>
          <w:tcPr>
            <w:tcW w:w="44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93"/>
              </w:rPr>
              <w:t>_____</w:t>
            </w: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6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3"/>
              </w:rPr>
              <w:t>_____</w:t>
            </w:r>
          </w:p>
        </w:tc>
        <w:tc>
          <w:tcPr>
            <w:tcW w:w="27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500" w:type="dxa"/>
            <w:vAlign w:val="bottom"/>
            <w:tcBorders>
              <w:right w:val="single" w:sz="8" w:color="CCFFCC"/>
            </w:tcBorders>
            <w:shd w:val="clear" w:color="auto" w:fill="CCFFCC"/>
          </w:tcPr>
          <w:p>
            <w:pPr>
              <w:spacing w:after="0"/>
              <w:rPr>
                <w:sz w:val="18"/>
                <w:szCs w:val="18"/>
                <w:color w:val="auto"/>
              </w:rPr>
            </w:pPr>
          </w:p>
        </w:tc>
        <w:tc>
          <w:tcPr>
            <w:tcW w:w="44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93"/>
              </w:rPr>
              <w:t>_____</w:t>
            </w: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6"/>
        </w:trPr>
        <w:tc>
          <w:tcPr>
            <w:tcW w:w="160" w:type="dxa"/>
            <w:vAlign w:val="bottom"/>
            <w:shd w:val="clear" w:color="auto" w:fill="CCFFCC"/>
          </w:tcPr>
          <w:p>
            <w:pPr>
              <w:spacing w:after="0"/>
              <w:rPr>
                <w:sz w:val="15"/>
                <w:szCs w:val="15"/>
                <w:color w:val="auto"/>
              </w:rPr>
            </w:pPr>
          </w:p>
        </w:tc>
        <w:tc>
          <w:tcPr>
            <w:tcW w:w="7660" w:type="dxa"/>
            <w:vAlign w:val="bottom"/>
            <w:tcBorders>
              <w:right w:val="single" w:sz="8" w:color="CCFFCC"/>
            </w:tcBorders>
            <w:gridSpan w:val="4"/>
            <w:shd w:val="clear" w:color="auto" w:fill="CCFFCC"/>
          </w:tcPr>
          <w:p>
            <w:pPr>
              <w:ind w:left="360"/>
              <w:spacing w:after="0" w:line="176" w:lineRule="exact"/>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3"/>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1,365,000</w:t>
            </w:r>
          </w:p>
        </w:tc>
        <w:tc>
          <w:tcPr>
            <w:tcW w:w="140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r>
      <w:tr>
        <w:trPr>
          <w:trHeight w:val="21"/>
        </w:trPr>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jc w:val="both"/>
        <w:ind w:right="120" w:firstLine="405"/>
        <w:spacing w:after="0" w:line="289" w:lineRule="auto"/>
        <w:rPr>
          <w:sz w:val="20"/>
          <w:szCs w:val="20"/>
          <w:color w:val="auto"/>
        </w:rPr>
      </w:pPr>
      <w:r>
        <w:rPr>
          <w:rFonts w:ascii="Times New Roman" w:cs="Times New Roman" w:eastAsia="Times New Roman" w:hAnsi="Times New Roman"/>
          <w:sz w:val="17"/>
          <w:szCs w:val="17"/>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Times New Roman" w:cs="Times New Roman" w:eastAsia="Times New Roman" w:hAnsi="Times New Roman"/>
          <w:sz w:val="17"/>
          <w:szCs w:val="17"/>
          <w:color w:val="auto"/>
          <w:highlight w:val="yellow"/>
        </w:rPr>
        <w:t>_____</w:t>
      </w:r>
      <w:r>
        <w:rPr>
          <w:rFonts w:ascii="Times New Roman" w:cs="Times New Roman" w:eastAsia="Times New Roman" w:hAnsi="Times New Roman"/>
          <w:sz w:val="17"/>
          <w:szCs w:val="17"/>
          <w:color w:val="auto"/>
        </w:rPr>
        <w:t xml:space="preserve"> per share. If all of the shares offered by us are not sold at the public offering price, the underwriters may change the offering price and other selling terms by means of a supplement to this prospectus.</w:t>
      </w:r>
    </w:p>
    <w:p>
      <w:pPr>
        <w:spacing w:after="0" w:line="15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7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6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7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over-allotment option. This option, which is exercisable for up to 45 days after the date of this prospectus, permits the underwriters to purchase a maximum of 204,750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$17,267,250, and the total proceeds to us, before expenses, will be $16,058,543.</w:t>
      </w:r>
    </w:p>
    <w:p>
      <w:pPr>
        <w:spacing w:after="0" w:line="182"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Underwriting Discounts and Commissions. </w:t>
      </w:r>
      <w:r>
        <w:rPr>
          <w:rFonts w:ascii="Times New Roman" w:cs="Times New Roman" w:eastAsia="Times New Roman" w:hAnsi="Times New Roman"/>
          <w:sz w:val="18"/>
          <w:szCs w:val="18"/>
          <w:color w:val="auto"/>
        </w:rPr>
        <w:t>We have agreed to pay underwriting discounts and commissions of 7% of the gross proceeds of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to 7% of 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Without over-</w:t>
            </w:r>
          </w:p>
        </w:tc>
        <w:tc>
          <w:tcPr>
            <w:tcW w:w="1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With full over-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8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allotment exercise</w:t>
            </w: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allotment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15,015,000</w:t>
            </w:r>
          </w:p>
        </w:tc>
        <w:tc>
          <w:tcPr>
            <w:tcW w:w="3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17,267,250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Times New Roman" w:cs="Times New Roman" w:eastAsia="Times New Roman" w:hAnsi="Times New Roman"/>
                <w:sz w:val="18"/>
                <w:szCs w:val="18"/>
                <w:color w:val="auto"/>
              </w:rPr>
              <w:t>Underwriting discounts and commissions paid by us (per ordinary share)</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Times New Roman" w:cs="Times New Roman" w:eastAsia="Times New Roman" w:hAnsi="Times New Roman"/>
                <w:sz w:val="18"/>
                <w:szCs w:val="18"/>
                <w:color w:val="auto"/>
              </w:rPr>
              <w:t>Underwriting discounts and commissions paid by us (total)</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Times New Roman" w:cs="Times New Roman" w:eastAsia="Times New Roman" w:hAnsi="Times New Roman"/>
                <w:sz w:val="18"/>
                <w:szCs w:val="18"/>
                <w:color w:val="auto"/>
              </w:rPr>
              <w:t>Proceeds before other expenses (1)</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yellow"/>
                <w:w w:val="9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660" w:right="2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underwriters a non-accountable expense allowance in the amount of 1% of the total public offering price of the shares sold (excluding the over-allotment option).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76"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8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estimated expenses of the offering, including the registration, filing and listing fees, printing fees and legal and accounting expenses, but excluding underwriting discounts, commissions and non-accountable expense allowances, are approximately $806,000 and are payable by us.</w:t>
      </w:r>
    </w:p>
    <w:p>
      <w:pPr>
        <w:spacing w:after="0" w:line="16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 of First Refusal </w:t>
      </w:r>
      <w:r>
        <w:rPr>
          <w:rFonts w:ascii="Times New Roman" w:cs="Times New Roman" w:eastAsia="Times New Roman" w:hAnsi="Times New Roman"/>
          <w:sz w:val="18"/>
          <w:szCs w:val="18"/>
          <w:color w:val="auto"/>
        </w:rPr>
        <w:t>. We have agreed to grant to the Representative the right of first refusal to act as co-manger/co-book runner on customary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transactions 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8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Representative’s Warrants</w:t>
      </w:r>
      <w:r>
        <w:rPr>
          <w:rFonts w:ascii="Times New Roman" w:cs="Times New Roman" w:eastAsia="Times New Roman" w:hAnsi="Times New Roman"/>
          <w:sz w:val="18"/>
          <w:szCs w:val="18"/>
          <w:color w:val="auto"/>
        </w:rPr>
        <w:t>. We have also agreed to issue to the Representative or its designees, at the closing of this offering, warrants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Warrants”) to 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96" w:lineRule="exact"/>
        <w:rPr>
          <w:sz w:val="20"/>
          <w:szCs w:val="20"/>
          <w:color w:val="auto"/>
        </w:rPr>
      </w:pPr>
    </w:p>
    <w:p>
      <w:pPr>
        <w:ind w:right="76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Accounts. </w:t>
      </w:r>
      <w:r>
        <w:rPr>
          <w:rFonts w:ascii="Times New Roman" w:cs="Times New Roman" w:eastAsia="Times New Roman" w:hAnsi="Times New Roman"/>
          <w:sz w:val="18"/>
          <w:szCs w:val="18"/>
          <w:color w:val="auto"/>
        </w:rPr>
        <w:t>The underwriters do not intend to confirm sales of the shares offered hereby to any accounts over which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authority.</w:t>
      </w:r>
    </w:p>
    <w:p>
      <w:pPr>
        <w:spacing w:after="0" w:line="15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Lock-Up Agreements. </w:t>
      </w:r>
      <w:r>
        <w:rPr>
          <w:rFonts w:ascii="Times New Roman" w:cs="Times New Roman" w:eastAsia="Times New Roman" w:hAnsi="Times New Roman"/>
          <w:sz w:val="18"/>
          <w:szCs w:val="18"/>
          <w:color w:val="auto"/>
        </w:rPr>
        <w:t>We, our officers and directors and holders of all of our outstanding ordinary shares have entered into lock-up agreements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82" w:lineRule="exact"/>
        <w:rPr>
          <w:sz w:val="20"/>
          <w:szCs w:val="20"/>
          <w:color w:val="auto"/>
        </w:rPr>
      </w:pPr>
    </w:p>
    <w:p>
      <w:pPr>
        <w:ind w:left="900" w:right="60" w:hanging="325"/>
        <w:spacing w:after="0" w:line="266"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76" w:lineRule="exact"/>
        <w:rPr>
          <w:rFonts w:ascii="Times New Roman" w:cs="Times New Roman" w:eastAsia="Times New Roman" w:hAnsi="Times New Roman"/>
          <w:sz w:val="18"/>
          <w:szCs w:val="18"/>
          <w:color w:val="auto"/>
        </w:rPr>
      </w:pPr>
    </w:p>
    <w:p>
      <w:pPr>
        <w:ind w:left="900" w:right="320" w:hanging="325"/>
        <w:spacing w:after="0" w:line="266"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455"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ordinary shares or other securities, in cash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restrictions described above, applicable to us, do not apply to:</w:t>
      </w:r>
    </w:p>
    <w:p>
      <w:pPr>
        <w:spacing w:after="0" w:line="225" w:lineRule="exact"/>
        <w:rPr>
          <w:sz w:val="20"/>
          <w:szCs w:val="20"/>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common stock to the underwriters pursuant to the underwriting agreement;</w:t>
      </w:r>
    </w:p>
    <w:p>
      <w:pPr>
        <w:spacing w:after="0" w:line="225"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61"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8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62"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8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Electronic Offer, Sale and Distribution of Shares. </w:t>
      </w:r>
      <w:r>
        <w:rPr>
          <w:rFonts w:ascii="Times New Roman" w:cs="Times New Roman" w:eastAsia="Times New Roman" w:hAnsi="Times New Roman"/>
          <w:sz w:val="18"/>
          <w:szCs w:val="18"/>
          <w:color w:val="auto"/>
        </w:rPr>
        <w:t>A prospectus in electronic format may be made available on the websites maintained by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Relationships. </w:t>
      </w:r>
      <w:r>
        <w:rPr>
          <w:rFonts w:ascii="Times New Roman" w:cs="Times New Roman" w:eastAsia="Times New Roman" w:hAnsi="Times New Roman"/>
          <w:sz w:val="18"/>
          <w:szCs w:val="18"/>
          <w:color w:val="auto"/>
        </w:rPr>
        <w:t>Certain of the underwriters and their affiliates may in the future provide various investment banking, commercial banking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financial services 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80" w:lineRule="exact"/>
        <w:rPr>
          <w:sz w:val="20"/>
          <w:szCs w:val="20"/>
          <w:color w:val="auto"/>
        </w:rPr>
      </w:pPr>
    </w:p>
    <w:p>
      <w:pPr>
        <w:ind w:right="2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In connection with this offering, the underwriters may engage in stabilizing transactions, overallotment transactions, syndicate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penalty bids and purchases to cover positions created by short sales.</w:t>
      </w:r>
    </w:p>
    <w:p>
      <w:pPr>
        <w:spacing w:after="0" w:line="160" w:lineRule="exact"/>
        <w:rPr>
          <w:sz w:val="20"/>
          <w:szCs w:val="20"/>
          <w:color w:val="auto"/>
        </w:rPr>
      </w:pPr>
    </w:p>
    <w:p>
      <w:pPr>
        <w:ind w:left="420" w:right="120" w:hanging="7"/>
        <w:spacing w:after="0" w:line="282" w:lineRule="auto"/>
        <w:tabs>
          <w:tab w:leader="none" w:pos="1140" w:val="left"/>
        </w:tabs>
        <w:numPr>
          <w:ilvl w:val="0"/>
          <w:numId w:val="7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61" w:lineRule="exact"/>
        <w:rPr>
          <w:rFonts w:ascii="Times New Roman" w:cs="Times New Roman" w:eastAsia="Times New Roman" w:hAnsi="Times New Roman"/>
          <w:sz w:val="18"/>
          <w:szCs w:val="18"/>
          <w:color w:val="A6A6A6"/>
        </w:rPr>
      </w:pPr>
    </w:p>
    <w:p>
      <w:pPr>
        <w:ind w:left="420" w:right="100" w:hanging="7"/>
        <w:spacing w:after="0" w:line="258" w:lineRule="auto"/>
        <w:tabs>
          <w:tab w:leader="none" w:pos="1140" w:val="left"/>
        </w:tabs>
        <w:numPr>
          <w:ilvl w:val="0"/>
          <w:numId w:val="7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ind w:left="420" w:hanging="7"/>
        <w:spacing w:after="0" w:line="255" w:lineRule="auto"/>
        <w:tabs>
          <w:tab w:leader="none" w:pos="1140" w:val="left"/>
        </w:tabs>
        <w:numPr>
          <w:ilvl w:val="0"/>
          <w:numId w:val="7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89" w:lineRule="exact"/>
        <w:rPr>
          <w:rFonts w:ascii="Times New Roman" w:cs="Times New Roman" w:eastAsia="Times New Roman" w:hAnsi="Times New Roman"/>
          <w:sz w:val="18"/>
          <w:szCs w:val="18"/>
          <w:color w:val="A6A6A6"/>
        </w:rPr>
      </w:pPr>
    </w:p>
    <w:p>
      <w:pPr>
        <w:ind w:left="420" w:right="560" w:hanging="7"/>
        <w:spacing w:after="0" w:line="282" w:lineRule="auto"/>
        <w:tabs>
          <w:tab w:leader="none" w:pos="1185" w:val="left"/>
        </w:tabs>
        <w:numPr>
          <w:ilvl w:val="0"/>
          <w:numId w:val="7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of ordinary shares</w:t>
      </w:r>
    </w:p>
    <w:p>
      <w:pPr>
        <w:spacing w:after="0" w:line="22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76" w:lineRule="exact"/>
        <w:rPr>
          <w:sz w:val="20"/>
          <w:szCs w:val="20"/>
          <w:color w:val="auto"/>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information set forth in this prospectus and otherwise available to the representative;</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assessment of our management;</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our prospects for future earnings;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general condition of the securities markets at the time of this offering;</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Restrictions Outside the United States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80" w:lineRule="exact"/>
        <w:rPr>
          <w:sz w:val="20"/>
          <w:szCs w:val="20"/>
          <w:color w:val="auto"/>
        </w:rPr>
      </w:pPr>
    </w:p>
    <w:p>
      <w:pPr>
        <w:ind w:left="720" w:hanging="307"/>
        <w:spacing w:after="0"/>
        <w:tabs>
          <w:tab w:leader="none" w:pos="720" w:val="left"/>
        </w:tabs>
        <w:numPr>
          <w:ilvl w:val="0"/>
          <w:numId w:val="7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7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w:t>
      </w:r>
    </w:p>
    <w:p>
      <w:pPr>
        <w:spacing w:after="0" w:line="27" w:lineRule="exact"/>
        <w:rPr>
          <w:rFonts w:ascii="Times New Roman" w:cs="Times New Roman" w:eastAsia="Times New Roman" w:hAnsi="Times New Roman"/>
          <w:sz w:val="18"/>
          <w:szCs w:val="18"/>
          <w:color w:val="A6A6A6"/>
        </w:rPr>
      </w:pPr>
    </w:p>
    <w:p>
      <w:pPr>
        <w:ind w:left="420" w:right="20"/>
        <w:spacing w:after="0" w:line="261" w:lineRule="auto"/>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legal persons (other than qualified investors as defined in the Prospectus Directive), as permitted under the Prospectus Directive, subject to obtaining the prior consent of the representative for any such offer; or</w:t>
      </w:r>
    </w:p>
    <w:p>
      <w:pPr>
        <w:spacing w:after="0" w:line="179" w:lineRule="exact"/>
        <w:rPr>
          <w:rFonts w:ascii="Times New Roman" w:cs="Times New Roman" w:eastAsia="Times New Roman" w:hAnsi="Times New Roman"/>
          <w:sz w:val="18"/>
          <w:szCs w:val="18"/>
          <w:color w:val="A6A6A6"/>
        </w:rPr>
      </w:pPr>
    </w:p>
    <w:p>
      <w:pPr>
        <w:ind w:left="420" w:right="40" w:hanging="7"/>
        <w:spacing w:after="0" w:line="282" w:lineRule="auto"/>
        <w:tabs>
          <w:tab w:leader="none" w:pos="735" w:val="left"/>
        </w:tabs>
        <w:numPr>
          <w:ilvl w:val="0"/>
          <w:numId w:val="7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6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25" w:lineRule="exact"/>
        <w:rPr>
          <w:sz w:val="20"/>
          <w:szCs w:val="20"/>
          <w:color w:val="auto"/>
        </w:rPr>
      </w:pPr>
    </w:p>
    <w:p>
      <w:pPr>
        <w:ind w:left="420" w:right="240" w:hanging="7"/>
        <w:spacing w:after="0" w:line="266" w:lineRule="auto"/>
        <w:tabs>
          <w:tab w:leader="none" w:pos="735" w:val="left"/>
        </w:tabs>
        <w:numPr>
          <w:ilvl w:val="0"/>
          <w:numId w:val="7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76" w:lineRule="exact"/>
        <w:rPr>
          <w:rFonts w:ascii="Times New Roman" w:cs="Times New Roman" w:eastAsia="Times New Roman" w:hAnsi="Times New Roman"/>
          <w:sz w:val="18"/>
          <w:szCs w:val="18"/>
          <w:color w:val="A6A6A6"/>
        </w:rPr>
      </w:pPr>
    </w:p>
    <w:p>
      <w:pPr>
        <w:ind w:left="420" w:right="100" w:hanging="7"/>
        <w:spacing w:after="0" w:line="282" w:lineRule="auto"/>
        <w:tabs>
          <w:tab w:leader="none" w:pos="735" w:val="left"/>
        </w:tabs>
        <w:numPr>
          <w:ilvl w:val="0"/>
          <w:numId w:val="79"/>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in, from or otherwise involving the United Kingdom.</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420" w:right="840" w:hanging="7"/>
        <w:spacing w:after="0" w:line="282" w:lineRule="auto"/>
        <w:tabs>
          <w:tab w:leader="none" w:pos="735" w:val="left"/>
        </w:tabs>
        <w:numPr>
          <w:ilvl w:val="0"/>
          <w:numId w:val="8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fund for joint investments in trust (i.e., mutual fund), as such term is defined in the Law for Joint Investments in Trust, 5754-1994, or a management company of such a fund;</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provident fund as defined in the Control of the Financial Services (Provident Funds) Law 5765-2005, or a management company of such a fund;</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insurer, as defined in the Law for Oversight of Insurance Transactions, 5741-1981;</w:t>
      </w:r>
    </w:p>
    <w:p>
      <w:pPr>
        <w:spacing w:after="0" w:line="225" w:lineRule="exact"/>
        <w:rPr>
          <w:rFonts w:ascii="Times New Roman" w:cs="Times New Roman" w:eastAsia="Times New Roman" w:hAnsi="Times New Roman"/>
          <w:sz w:val="18"/>
          <w:szCs w:val="18"/>
          <w:color w:val="A6A6A6"/>
        </w:rPr>
      </w:pPr>
    </w:p>
    <w:p>
      <w:pPr>
        <w:ind w:left="420" w:hanging="7"/>
        <w:spacing w:after="0" w:line="282" w:lineRule="auto"/>
        <w:tabs>
          <w:tab w:leader="none" w:pos="735" w:val="left"/>
        </w:tabs>
        <w:numPr>
          <w:ilvl w:val="0"/>
          <w:numId w:val="80"/>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5" w:name="page96"/>
    <w:bookmarkEnd w:id="95"/>
    <w:p>
      <w:pPr>
        <w:ind w:left="420" w:right="60" w:hanging="7"/>
        <w:spacing w:after="0" w:line="266" w:lineRule="auto"/>
        <w:tabs>
          <w:tab w:leader="none" w:pos="735"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76" w:lineRule="exact"/>
        <w:rPr>
          <w:rFonts w:ascii="Times New Roman" w:cs="Times New Roman" w:eastAsia="Times New Roman" w:hAnsi="Times New Roman"/>
          <w:sz w:val="18"/>
          <w:szCs w:val="18"/>
          <w:color w:val="A6A6A6"/>
        </w:rPr>
      </w:pPr>
    </w:p>
    <w:p>
      <w:pPr>
        <w:ind w:left="420" w:right="240" w:hanging="7"/>
        <w:spacing w:after="0" w:line="282" w:lineRule="auto"/>
        <w:tabs>
          <w:tab w:leader="none" w:pos="735"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61" w:lineRule="exact"/>
        <w:rPr>
          <w:rFonts w:ascii="Times New Roman" w:cs="Times New Roman" w:eastAsia="Times New Roman" w:hAnsi="Times New Roman"/>
          <w:sz w:val="18"/>
          <w:szCs w:val="18"/>
          <w:color w:val="A6A6A6"/>
        </w:rPr>
      </w:pPr>
    </w:p>
    <w:p>
      <w:pPr>
        <w:ind w:left="420" w:right="460" w:hanging="7"/>
        <w:spacing w:after="0" w:line="282" w:lineRule="auto"/>
        <w:tabs>
          <w:tab w:leader="none" w:pos="735"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member of the Tel Aviv Stock Exchange, acting on its own account or for the account of investors of the type listed in Section 15A(b) of the Securities Law, 1968;</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underwriter fulfilling the conditions of Section 56(c) of the Securities Law, 5728-1968, acting on its own account;</w:t>
      </w:r>
    </w:p>
    <w:p>
      <w:pPr>
        <w:spacing w:after="0" w:line="225" w:lineRule="exact"/>
        <w:rPr>
          <w:rFonts w:ascii="Times New Roman" w:cs="Times New Roman" w:eastAsia="Times New Roman" w:hAnsi="Times New Roman"/>
          <w:sz w:val="18"/>
          <w:szCs w:val="18"/>
          <w:color w:val="A6A6A6"/>
        </w:rPr>
      </w:pPr>
    </w:p>
    <w:p>
      <w:pPr>
        <w:ind w:left="420" w:right="540" w:hanging="7"/>
        <w:spacing w:after="0" w:line="282" w:lineRule="auto"/>
        <w:tabs>
          <w:tab w:leader="none" w:pos="735"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entity fully owned by investors of the type listed in Section 15A(b) of the Securities Law, 1968;</w:t>
      </w:r>
    </w:p>
    <w:p>
      <w:pPr>
        <w:spacing w:after="0" w:line="225" w:lineRule="exact"/>
        <w:rPr>
          <w:rFonts w:ascii="Times New Roman" w:cs="Times New Roman" w:eastAsia="Times New Roman" w:hAnsi="Times New Roman"/>
          <w:sz w:val="18"/>
          <w:szCs w:val="18"/>
          <w:color w:val="A6A6A6"/>
        </w:rPr>
      </w:pPr>
    </w:p>
    <w:p>
      <w:pPr>
        <w:ind w:left="420" w:right="140" w:hanging="7"/>
        <w:spacing w:after="0" w:line="282" w:lineRule="auto"/>
        <w:tabs>
          <w:tab w:leader="none" w:pos="735"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entity, other than an entity formed for the purpose of purchasing securities in this offering, in which the shareholders’ equity is in excess of NIS 50 million; and</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1"/>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individual fulfilling the conditions of Section 9 to the supplement to the Law for the Regulation of Investment Advisors and Portfolio Managers,</w:t>
      </w:r>
    </w:p>
    <w:p>
      <w:pPr>
        <w:spacing w:after="0" w:line="27" w:lineRule="exact"/>
        <w:rPr>
          <w:rFonts w:ascii="Times New Roman" w:cs="Times New Roman" w:eastAsia="Times New Roman" w:hAnsi="Times New Roman"/>
          <w:sz w:val="18"/>
          <w:szCs w:val="18"/>
          <w:color w:val="A6A6A6"/>
        </w:rPr>
      </w:pPr>
    </w:p>
    <w:p>
      <w:pPr>
        <w:ind w:left="420" w:right="1000"/>
        <w:spacing w:after="0" w:line="261" w:lineRule="auto"/>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5755-1995, acting on its own account (for this matter, Section 9 to the supplement shall be referred to as “as an investor for the meaning of Section15A(b)(1) of the Securities Law 1968” instead of “as an eligible client for the meaning of this law”).</w:t>
      </w:r>
    </w:p>
    <w:p>
      <w:pPr>
        <w:spacing w:after="0" w:line="180"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8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_____________</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address of Aegis Capital Corp. is 810 Seventh Avenue, 18th Floor, New York, New York 10019.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estimate that the total expenses of this offering payable by us, excluding the underwriting discounts and commissions and expenses, will be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follows:</w:t>
            </w:r>
          </w:p>
        </w:tc>
        <w:tc>
          <w:tcPr>
            <w:tcW w:w="28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SEC filing fee</w:t>
            </w:r>
          </w:p>
        </w:tc>
        <w:tc>
          <w:tcPr>
            <w:tcW w:w="28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Printer fees and expenses</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320" w:firstLine="405"/>
        <w:spacing w:after="0" w:line="277" w:lineRule="auto"/>
        <w:rPr>
          <w:sz w:val="20"/>
          <w:szCs w:val="20"/>
          <w:color w:val="auto"/>
        </w:rPr>
      </w:pPr>
      <w:r>
        <w:rPr>
          <w:rFonts w:ascii="Times New Roman" w:cs="Times New Roman" w:eastAsia="Times New Roman" w:hAnsi="Times New Roman"/>
          <w:sz w:val="17"/>
          <w:szCs w:val="17"/>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8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8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76" w:lineRule="exact"/>
        <w:rPr>
          <w:sz w:val="20"/>
          <w:szCs w:val="20"/>
          <w:color w:val="auto"/>
        </w:rPr>
      </w:pPr>
    </w:p>
    <w:p>
      <w:pPr>
        <w:ind w:left="420" w:hanging="7"/>
        <w:spacing w:after="0" w:line="282" w:lineRule="auto"/>
        <w:tabs>
          <w:tab w:leader="none" w:pos="735" w:val="left"/>
        </w:tabs>
        <w:numPr>
          <w:ilvl w:val="0"/>
          <w:numId w:val="8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61"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2"/>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judgment is final and is not subject to any right of appeal;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97" w:name="page98"/>
    <w:bookmarkEnd w:id="97"/>
    <w:p>
      <w:pPr>
        <w:ind w:left="720" w:hanging="307"/>
        <w:spacing w:after="0"/>
        <w:tabs>
          <w:tab w:leader="none" w:pos="720" w:val="left"/>
        </w:tabs>
        <w:numPr>
          <w:ilvl w:val="0"/>
          <w:numId w:val="8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prevailing law of the foreign state in which the judgment was rendered allows for the enforcement of judgments of Israeli courts;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225" w:lineRule="exact"/>
        <w:rPr>
          <w:rFonts w:ascii="Times New Roman" w:cs="Times New Roman" w:eastAsia="Times New Roman" w:hAnsi="Times New Roman"/>
          <w:sz w:val="18"/>
          <w:szCs w:val="18"/>
          <w:color w:val="A6A6A6"/>
        </w:rPr>
      </w:pPr>
    </w:p>
    <w:p>
      <w:pPr>
        <w:ind w:left="420" w:right="440" w:hanging="7"/>
        <w:spacing w:after="0" w:line="313" w:lineRule="auto"/>
        <w:tabs>
          <w:tab w:leader="none" w:pos="735" w:val="left"/>
        </w:tabs>
        <w:numPr>
          <w:ilvl w:val="0"/>
          <w:numId w:val="83"/>
        </w:numPr>
        <w:rPr>
          <w:rFonts w:ascii="Times New Roman" w:cs="Times New Roman" w:eastAsia="Times New Roman" w:hAnsi="Times New Roman"/>
          <w:sz w:val="17"/>
          <w:szCs w:val="17"/>
          <w:color w:val="A6A6A6"/>
        </w:rPr>
      </w:pPr>
      <w:r>
        <w:rPr>
          <w:rFonts w:ascii="Times New Roman" w:cs="Times New Roman" w:eastAsia="Times New Roman" w:hAnsi="Times New Roman"/>
          <w:sz w:val="17"/>
          <w:szCs w:val="17"/>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38" w:lineRule="exact"/>
        <w:rPr>
          <w:rFonts w:ascii="Times New Roman" w:cs="Times New Roman" w:eastAsia="Times New Roman" w:hAnsi="Times New Roman"/>
          <w:sz w:val="17"/>
          <w:szCs w:val="17"/>
          <w:color w:val="A6A6A6"/>
        </w:rPr>
      </w:pPr>
    </w:p>
    <w:p>
      <w:pPr>
        <w:ind w:left="720" w:hanging="307"/>
        <w:spacing w:after="0"/>
        <w:tabs>
          <w:tab w:leader="none" w:pos="720" w:val="left"/>
        </w:tabs>
        <w:numPr>
          <w:ilvl w:val="0"/>
          <w:numId w:val="8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judgment was not obtained by fraud and do not conflict with any other valid judgments in the same matter between the same parties;</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action between the same parties in the same matter is not pending in any Israeli court at the time the lawsuit is instituted in the foreign court; and</w:t>
      </w:r>
    </w:p>
    <w:p>
      <w:pPr>
        <w:spacing w:after="0" w:line="225" w:lineRule="exact"/>
        <w:rPr>
          <w:rFonts w:ascii="Times New Roman" w:cs="Times New Roman" w:eastAsia="Times New Roman" w:hAnsi="Times New Roman"/>
          <w:sz w:val="18"/>
          <w:szCs w:val="18"/>
          <w:color w:val="A6A6A6"/>
        </w:rPr>
      </w:pPr>
    </w:p>
    <w:p>
      <w:pPr>
        <w:ind w:left="720" w:hanging="307"/>
        <w:spacing w:after="0"/>
        <w:tabs>
          <w:tab w:leader="none" w:pos="720" w:val="left"/>
        </w:tabs>
        <w:numPr>
          <w:ilvl w:val="0"/>
          <w:numId w:val="83"/>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the judgment is enforceable according to the law of the foreign state in which the relief was granted.</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88" w:lineRule="exact"/>
        <w:rPr>
          <w:sz w:val="20"/>
          <w:szCs w:val="20"/>
          <w:color w:val="auto"/>
        </w:rPr>
      </w:pPr>
    </w:p>
    <w:p>
      <w:pPr>
        <w:ind w:right="140" w:firstLine="405"/>
        <w:spacing w:after="0" w:line="277" w:lineRule="auto"/>
        <w:rPr>
          <w:sz w:val="20"/>
          <w:szCs w:val="20"/>
          <w:color w:val="auto"/>
        </w:rPr>
      </w:pPr>
      <w:r>
        <w:rPr>
          <w:rFonts w:ascii="Times New Roman" w:cs="Times New Roman" w:eastAsia="Times New Roman" w:hAnsi="Times New Roman"/>
          <w:sz w:val="17"/>
          <w:szCs w:val="17"/>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6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89"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FINANCIAL STATEMENTS</w:t>
            </w:r>
          </w:p>
        </w:tc>
        <w:tc>
          <w:tcPr>
            <w:tcW w:w="1600" w:type="dxa"/>
            <w:vAlign w:val="bottom"/>
          </w:tcPr>
          <w:p>
            <w:pPr>
              <w:spacing w:after="0"/>
              <w:rPr>
                <w:sz w:val="20"/>
                <w:szCs w:val="20"/>
                <w:color w:val="auto"/>
              </w:rPr>
            </w:pPr>
          </w:p>
        </w:tc>
      </w:tr>
      <w:tr>
        <w:trPr>
          <w:trHeight w:val="648"/>
        </w:trPr>
        <w:tc>
          <w:tcPr>
            <w:tcW w:w="97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AS OF DECEMBER 31, 2012</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600" w:type="dxa"/>
            <w:vAlign w:val="bottom"/>
          </w:tcPr>
          <w:p>
            <w:pPr>
              <w:spacing w:after="0"/>
              <w:rPr>
                <w:sz w:val="24"/>
                <w:szCs w:val="24"/>
                <w:color w:val="auto"/>
              </w:rPr>
            </w:pPr>
          </w:p>
        </w:tc>
      </w:tr>
      <w:tr>
        <w:trPr>
          <w:trHeight w:val="648"/>
        </w:trPr>
        <w:tc>
          <w:tcPr>
            <w:tcW w:w="976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6"/>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F-2</w:t>
            </w: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F-3 - F-4</w:t>
            </w: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F-5</w:t>
            </w: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Equity (Deficiency)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F-6</w:t>
            </w: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F-7</w:t>
            </w: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0" w:right="2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586105</wp:posOffset>
            </wp:positionV>
            <wp:extent cx="7031990" cy="14408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7" w:lineRule="exact"/>
        <w:rPr>
          <w:sz w:val="20"/>
          <w:szCs w:val="20"/>
          <w:color w:val="auto"/>
        </w:rPr>
      </w:pPr>
    </w:p>
    <w:p>
      <w:pPr>
        <w:jc w:val="both"/>
        <w:ind w:left="20" w:firstLine="51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w:t>
      </w:r>
    </w:p>
    <w:p>
      <w:pPr>
        <w:jc w:val="both"/>
        <w:ind w:firstLine="8"/>
        <w:spacing w:after="0" w:line="254" w:lineRule="auto"/>
        <w:tabs>
          <w:tab w:leader="none" w:pos="1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Note 9(a) and Note 13 to which the date is XX,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KOST FORER GABBAY &amp; KASIERER</w:t>
      </w:r>
    </w:p>
    <w:p>
      <w:pPr>
        <w:spacing w:after="0" w:line="3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416" w:lineRule="exact"/>
        <w:rPr>
          <w:sz w:val="20"/>
          <w:szCs w:val="20"/>
          <w:color w:val="auto"/>
        </w:rPr>
      </w:pPr>
    </w:p>
    <w:p>
      <w:pPr>
        <w:sectPr>
          <w:pgSz w:w="11900" w:h="16838" w:orient="portrait"/>
          <w:cols w:equalWidth="0" w:num="2">
            <w:col w:w="6660" w:space="720"/>
            <w:col w:w="4040"/>
          </w:cols>
          <w:pgMar w:left="240" w:top="1440" w:right="239" w:bottom="1440" w:gutter="0" w:footer="0" w:header="0"/>
          <w:type w:val="continuous"/>
        </w:sect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report is in the form that will be signed upon completion of the bonus shares described in Note 9(a) to the financial statements.</w:t>
      </w:r>
    </w:p>
    <w:p>
      <w:pPr>
        <w:spacing w:after="0" w:line="22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00" w:lineRule="exact"/>
        <w:rPr>
          <w:sz w:val="20"/>
          <w:szCs w:val="20"/>
          <w:color w:val="auto"/>
        </w:rPr>
      </w:pPr>
    </w:p>
    <w:p>
      <w:pPr>
        <w:spacing w:after="0" w:line="36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KOST FORER GABBAY &amp; KASIERER</w:t>
      </w:r>
    </w:p>
    <w:p>
      <w:pPr>
        <w:ind w:left="60"/>
        <w:spacing w:after="0"/>
        <w:rPr>
          <w:sz w:val="20"/>
          <w:szCs w:val="20"/>
          <w:color w:val="auto"/>
        </w:rPr>
      </w:pPr>
      <w:r>
        <w:rPr>
          <w:rFonts w:ascii="Times New Roman" w:cs="Times New Roman" w:eastAsia="Times New Roman" w:hAnsi="Times New Roman"/>
          <w:sz w:val="18"/>
          <w:szCs w:val="18"/>
          <w:color w:val="auto"/>
        </w:rPr>
        <w:t>Tel-Aviv, Israel</w:t>
      </w:r>
    </w:p>
    <w:p>
      <w:pPr>
        <w:ind w:left="7780"/>
        <w:spacing w:after="0" w:line="214" w:lineRule="auto"/>
        <w:rPr>
          <w:sz w:val="20"/>
          <w:szCs w:val="20"/>
          <w:color w:val="auto"/>
        </w:rPr>
      </w:pPr>
      <w:r>
        <w:rPr>
          <w:rFonts w:ascii="Times New Roman" w:cs="Times New Roman" w:eastAsia="Times New Roman" w:hAnsi="Times New Roman"/>
          <w:sz w:val="18"/>
          <w:szCs w:val="18"/>
          <w:color w:val="auto"/>
        </w:rPr>
        <w:t>A Member of Ernst &amp; Young Global</w:t>
      </w:r>
    </w:p>
    <w:p>
      <w:pPr>
        <w:spacing w:after="0"/>
        <w:rPr>
          <w:sz w:val="20"/>
          <w:szCs w:val="20"/>
          <w:color w:val="auto"/>
        </w:rPr>
      </w:pPr>
      <w:r>
        <w:rPr>
          <w:rFonts w:ascii="Times New Roman" w:cs="Times New Roman" w:eastAsia="Times New Roman" w:hAnsi="Times New Roman"/>
          <w:sz w:val="18"/>
          <w:szCs w:val="18"/>
          <w:color w:val="auto"/>
        </w:rPr>
        <w:t>April 5, 2013</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Pr>
          <w:p>
            <w:pPr>
              <w:jc w:val="center"/>
              <w:ind w:right="6690"/>
              <w:spacing w:after="0"/>
              <w:rPr>
                <w:sz w:val="20"/>
                <w:szCs w:val="20"/>
                <w:color w:val="auto"/>
              </w:rPr>
            </w:pPr>
            <w:r>
              <w:rPr>
                <w:rFonts w:ascii="Times New Roman" w:cs="Times New Roman" w:eastAsia="Times New Roman" w:hAnsi="Times New Roman"/>
                <w:sz w:val="18"/>
                <w:szCs w:val="18"/>
                <w:color w:val="auto"/>
                <w:w w:val="98"/>
              </w:rPr>
              <w:t>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jc w:val="center"/>
              <w:ind w:right="6310"/>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FFC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bank deposit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Receivables and prepaid expenses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667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Restricted bank deposits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deposit</w:t>
            </w:r>
          </w:p>
        </w:tc>
        <w:tc>
          <w:tcPr>
            <w:tcW w:w="10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Total 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537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shd w:val="clear" w:color="auto" w:fill="CCFFC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620" w:type="dxa"/>
            <w:vAlign w:val="bottom"/>
            <w:gridSpan w:val="2"/>
            <w:shd w:val="clear" w:color="auto" w:fill="CCFFC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r>
      <w:tr>
        <w:trPr>
          <w:trHeight w:val="20"/>
        </w:trPr>
        <w:tc>
          <w:tcPr>
            <w:tcW w:w="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58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LIABILITIES AND SHAREHOLDERS' EQUITY (DEFICIENCY)</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Trade payables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accounts payable</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Convertible Notes</w:t>
            </w:r>
          </w:p>
        </w:tc>
        <w:tc>
          <w:tcPr>
            <w:tcW w:w="9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768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CCFFCC"/>
            </w:tcBorders>
          </w:tcPr>
          <w:p>
            <w:pPr>
              <w:spacing w:after="0" w:line="20" w:lineRule="exact"/>
              <w:rPr>
                <w:sz w:val="1"/>
                <w:szCs w:val="1"/>
                <w:color w:val="auto"/>
              </w:rPr>
            </w:pPr>
          </w:p>
        </w:tc>
        <w:tc>
          <w:tcPr>
            <w:tcW w:w="7620" w:type="dxa"/>
            <w:vAlign w:val="bottom"/>
            <w:tcBorders>
              <w:bottom w:val="single" w:sz="8" w:color="CC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 (DEFICIENCY):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gridSpan w:val="2"/>
            <w:shd w:val="clear" w:color="auto" w:fill="CCFFCC"/>
          </w:tcPr>
          <w:p>
            <w:pPr>
              <w:ind w:left="160"/>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w:t>
            </w:r>
          </w:p>
        </w:tc>
        <w:tc>
          <w:tcPr>
            <w:tcW w:w="9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10,000,000 shares authorized at December 31, 2012 and 2011; 8,098,581 and 8,096,109 issued shares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at December 31, 2012 and 2011, respectively; 7,794,256 and 8,096,109 shares outstanding at</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December 31, 2012 and 2011, respectively</w:t>
            </w:r>
          </w:p>
        </w:tc>
        <w:tc>
          <w:tcPr>
            <w:tcW w:w="98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 (304,324 Ordinary shares as of December 31, 2012)</w:t>
            </w:r>
          </w:p>
        </w:tc>
        <w:tc>
          <w:tcPr>
            <w:tcW w:w="9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shareholders' equity (deficiency)</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CCFFCC"/>
            </w:tcBorders>
          </w:tcPr>
          <w:p>
            <w:pPr>
              <w:spacing w:after="0" w:line="20" w:lineRule="exact"/>
              <w:rPr>
                <w:sz w:val="1"/>
                <w:szCs w:val="1"/>
                <w:color w:val="auto"/>
              </w:rPr>
            </w:pPr>
          </w:p>
        </w:tc>
        <w:tc>
          <w:tcPr>
            <w:tcW w:w="7620" w:type="dxa"/>
            <w:vAlign w:val="bottom"/>
            <w:tcBorders>
              <w:bottom w:val="single" w:sz="8" w:color="CC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 (DEFICIENCY)</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Represents an amount lower than $ 1.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200"/>
              <w:spacing w:after="0"/>
              <w:rPr>
                <w:sz w:val="20"/>
                <w:szCs w:val="20"/>
                <w:color w:val="auto"/>
              </w:rPr>
            </w:pPr>
            <w:r>
              <w:rPr>
                <w:rFonts w:ascii="Times New Roman" w:cs="Times New Roman" w:eastAsia="Times New Roman" w:hAnsi="Times New Roman"/>
                <w:sz w:val="18"/>
                <w:szCs w:val="18"/>
                <w:color w:val="auto"/>
              </w:rPr>
              <w:t>F-4</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7, 2008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of inception)</w:t>
            </w:r>
          </w:p>
        </w:tc>
      </w:tr>
      <w:tr>
        <w:trPr>
          <w:trHeight w:val="238"/>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December 31,</w:t>
            </w:r>
          </w:p>
        </w:tc>
      </w:tr>
      <w:tr>
        <w:trPr>
          <w:trHeight w:val="223"/>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00" w:type="dxa"/>
            <w:vAlign w:val="bottom"/>
          </w:tcPr>
          <w:p>
            <w:pPr>
              <w:spacing w:after="0"/>
              <w:rPr>
                <w:sz w:val="19"/>
                <w:szCs w:val="19"/>
                <w:color w:val="auto"/>
              </w:rPr>
            </w:pPr>
          </w:p>
        </w:tc>
      </w:tr>
      <w:tr>
        <w:trPr>
          <w:trHeight w:val="210"/>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818</w:t>
            </w:r>
          </w:p>
        </w:tc>
        <w:tc>
          <w:tcPr>
            <w:tcW w:w="440" w:type="dxa"/>
            <w:vAlign w:val="bottom"/>
            <w:shd w:val="clear" w:color="auto" w:fill="CCFFC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1,822</w:t>
            </w:r>
          </w:p>
        </w:tc>
        <w:tc>
          <w:tcPr>
            <w:tcW w:w="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3,768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683</w:t>
            </w: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3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3,906</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7,810</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Financial expenses, net</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comprehensive loss</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8,006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Deemed dividend</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loss attributable to holders of Ordinary shares</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4,109</w:t>
            </w:r>
          </w:p>
        </w:tc>
        <w:tc>
          <w:tcPr>
            <w:tcW w:w="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8,186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basic and diluted loss per share</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shd w:val="clear" w:color="auto" w:fill="CCFFC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180" w:type="dxa"/>
            <w:vAlign w:val="bottom"/>
            <w:shd w:val="clear" w:color="auto" w:fill="CCFFCC"/>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in computing basic and</w:t>
            </w: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61"/>
        </w:trPr>
        <w:tc>
          <w:tcPr>
            <w:tcW w:w="618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20" w:type="dxa"/>
            <w:vAlign w:val="bottom"/>
            <w:shd w:val="clear" w:color="auto" w:fill="CCFFCC"/>
          </w:tcPr>
          <w:p>
            <w:pPr>
              <w:spacing w:after="0"/>
              <w:rPr>
                <w:sz w:val="22"/>
                <w:szCs w:val="22"/>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7,791,932</w:t>
            </w:r>
          </w:p>
        </w:tc>
        <w:tc>
          <w:tcPr>
            <w:tcW w:w="36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7,843,388</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7"/>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3"/>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7"/>
              </w:rPr>
              <w:t>during the</w:t>
            </w:r>
          </w:p>
        </w:tc>
        <w:tc>
          <w:tcPr>
            <w:tcW w:w="80" w:type="dxa"/>
            <w:vAlign w:val="bottom"/>
          </w:tcPr>
          <w:p>
            <w:pPr>
              <w:spacing w:after="0"/>
              <w:rPr>
                <w:sz w:val="11"/>
                <w:szCs w:val="11"/>
                <w:color w:val="auto"/>
              </w:rPr>
            </w:pPr>
          </w:p>
        </w:tc>
        <w:tc>
          <w:tcPr>
            <w:tcW w:w="8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shareholders'</w:t>
            </w:r>
          </w:p>
        </w:tc>
      </w:tr>
      <w:tr>
        <w:trPr>
          <w:trHeight w:val="153"/>
        </w:trPr>
        <w:tc>
          <w:tcPr>
            <w:tcW w:w="3220" w:type="dxa"/>
            <w:vAlign w:val="bottom"/>
          </w:tcPr>
          <w:p>
            <w:pPr>
              <w:spacing w:after="0"/>
              <w:rPr>
                <w:sz w:val="13"/>
                <w:szCs w:val="13"/>
                <w:color w:val="auto"/>
              </w:rPr>
            </w:pP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Ordinary shares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5"/>
          </w:tcPr>
          <w:p>
            <w:pPr>
              <w:jc w:val="right"/>
              <w:ind w:right="157"/>
              <w:spacing w:after="0"/>
              <w:rPr>
                <w:sz w:val="20"/>
                <w:szCs w:val="20"/>
                <w:color w:val="auto"/>
              </w:rPr>
            </w:pPr>
            <w:r>
              <w:rPr>
                <w:rFonts w:ascii="Times New Roman" w:cs="Times New Roman" w:eastAsia="Times New Roman" w:hAnsi="Times New Roman"/>
                <w:sz w:val="13"/>
                <w:szCs w:val="13"/>
                <w:color w:val="auto"/>
              </w:rPr>
              <w:t>Preferred A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4"/>
          </w:tcPr>
          <w:p>
            <w:pPr>
              <w:jc w:val="right"/>
              <w:ind w:right="157"/>
              <w:spacing w:after="0"/>
              <w:rPr>
                <w:sz w:val="20"/>
                <w:szCs w:val="20"/>
                <w:color w:val="auto"/>
              </w:rPr>
            </w:pPr>
            <w:r>
              <w:rPr>
                <w:rFonts w:ascii="Times New Roman" w:cs="Times New Roman" w:eastAsia="Times New Roman" w:hAnsi="Times New Roman"/>
                <w:sz w:val="13"/>
                <w:szCs w:val="13"/>
                <w:color w:val="auto"/>
              </w:rPr>
              <w:t>Preferred B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development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equity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220" w:type="dxa"/>
            <w:vAlign w:val="bottom"/>
            <w:tcBorders>
              <w:top w:val="single" w:sz="8" w:color="CCFFCC"/>
            </w:tcBorders>
            <w:shd w:val="clear" w:color="auto" w:fill="CCFFCC"/>
          </w:tcPr>
          <w:p>
            <w:pPr>
              <w:spacing w:after="0"/>
              <w:rPr>
                <w:sz w:val="12"/>
                <w:szCs w:val="12"/>
                <w:color w:val="auto"/>
              </w:rPr>
            </w:pPr>
          </w:p>
        </w:tc>
        <w:tc>
          <w:tcPr>
            <w:tcW w:w="840" w:type="dxa"/>
            <w:vAlign w:val="bottom"/>
            <w:tcBorders>
              <w:top w:val="single" w:sz="8" w:color="auto"/>
            </w:tcBorders>
            <w:gridSpan w:val="2"/>
            <w:shd w:val="clear" w:color="auto" w:fill="CCFFCC"/>
          </w:tcPr>
          <w:p>
            <w:pPr>
              <w:jc w:val="right"/>
              <w:ind w:right="140"/>
              <w:spacing w:after="0" w:line="143" w:lineRule="exact"/>
              <w:rPr>
                <w:sz w:val="20"/>
                <w:szCs w:val="20"/>
                <w:color w:val="auto"/>
              </w:rPr>
            </w:pPr>
            <w:r>
              <w:rPr>
                <w:rFonts w:ascii="Times New Roman" w:cs="Times New Roman" w:eastAsia="Times New Roman" w:hAnsi="Times New Roman"/>
                <w:sz w:val="13"/>
                <w:szCs w:val="13"/>
                <w:color w:val="auto"/>
              </w:rPr>
              <w:t>Number</w:t>
            </w:r>
          </w:p>
        </w:tc>
        <w:tc>
          <w:tcPr>
            <w:tcW w:w="100" w:type="dxa"/>
            <w:vAlign w:val="bottom"/>
            <w:tcBorders>
              <w:top w:val="single" w:sz="8" w:color="auto"/>
            </w:tcBorders>
            <w:shd w:val="clear" w:color="auto" w:fill="CCFFCC"/>
          </w:tcPr>
          <w:p>
            <w:pPr>
              <w:spacing w:after="0"/>
              <w:rPr>
                <w:sz w:val="12"/>
                <w:szCs w:val="12"/>
                <w:color w:val="auto"/>
              </w:rPr>
            </w:pPr>
          </w:p>
        </w:tc>
        <w:tc>
          <w:tcPr>
            <w:tcW w:w="300" w:type="dxa"/>
            <w:vAlign w:val="bottom"/>
            <w:tcBorders>
              <w:top w:val="single" w:sz="8" w:color="auto"/>
            </w:tcBorders>
            <w:shd w:val="clear" w:color="auto" w:fill="CCFFCC"/>
          </w:tcPr>
          <w:p>
            <w:pPr>
              <w:spacing w:after="0"/>
              <w:rPr>
                <w:sz w:val="12"/>
                <w:szCs w:val="12"/>
                <w:color w:val="auto"/>
              </w:rPr>
            </w:pPr>
          </w:p>
        </w:tc>
        <w:tc>
          <w:tcPr>
            <w:tcW w:w="400" w:type="dxa"/>
            <w:vAlign w:val="bottom"/>
            <w:tcBorders>
              <w:top w:val="single" w:sz="8" w:color="auto"/>
            </w:tcBorders>
            <w:gridSpan w:val="2"/>
            <w:shd w:val="clear" w:color="auto" w:fill="CCFFCC"/>
          </w:tcPr>
          <w:p>
            <w:pPr>
              <w:spacing w:after="0" w:line="143" w:lineRule="exact"/>
              <w:rPr>
                <w:sz w:val="20"/>
                <w:szCs w:val="20"/>
                <w:color w:val="auto"/>
              </w:rPr>
            </w:pPr>
            <w:r>
              <w:rPr>
                <w:rFonts w:ascii="Times New Roman" w:cs="Times New Roman" w:eastAsia="Times New Roman" w:hAnsi="Times New Roman"/>
                <w:sz w:val="13"/>
                <w:szCs w:val="13"/>
                <w:color w:val="auto"/>
                <w:w w:val="89"/>
              </w:rPr>
              <w:t>Amount</w:t>
            </w:r>
          </w:p>
        </w:tc>
        <w:tc>
          <w:tcPr>
            <w:tcW w:w="260" w:type="dxa"/>
            <w:vAlign w:val="bottom"/>
            <w:tcBorders>
              <w:top w:val="single" w:sz="8" w:color="CCFFCC"/>
            </w:tcBorders>
            <w:shd w:val="clear" w:color="auto" w:fill="CCFFCC"/>
          </w:tcPr>
          <w:p>
            <w:pPr>
              <w:spacing w:after="0"/>
              <w:rPr>
                <w:sz w:val="12"/>
                <w:szCs w:val="12"/>
                <w:color w:val="auto"/>
              </w:rPr>
            </w:pPr>
          </w:p>
        </w:tc>
        <w:tc>
          <w:tcPr>
            <w:tcW w:w="820" w:type="dxa"/>
            <w:vAlign w:val="bottom"/>
            <w:tcBorders>
              <w:top w:val="single" w:sz="8" w:color="auto"/>
            </w:tcBorders>
            <w:gridSpan w:val="2"/>
            <w:shd w:val="clear" w:color="auto" w:fill="CCFFCC"/>
          </w:tcPr>
          <w:p>
            <w:pPr>
              <w:jc w:val="right"/>
              <w:ind w:right="140"/>
              <w:spacing w:after="0" w:line="143" w:lineRule="exact"/>
              <w:rPr>
                <w:sz w:val="20"/>
                <w:szCs w:val="20"/>
                <w:color w:val="auto"/>
              </w:rPr>
            </w:pPr>
            <w:r>
              <w:rPr>
                <w:rFonts w:ascii="Times New Roman" w:cs="Times New Roman" w:eastAsia="Times New Roman" w:hAnsi="Times New Roman"/>
                <w:sz w:val="13"/>
                <w:szCs w:val="13"/>
                <w:color w:val="auto"/>
              </w:rPr>
              <w:t>Number</w:t>
            </w:r>
          </w:p>
        </w:tc>
        <w:tc>
          <w:tcPr>
            <w:tcW w:w="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Times New Roman" w:cs="Times New Roman" w:eastAsia="Times New Roman" w:hAnsi="Times New Roman"/>
                <w:sz w:val="13"/>
                <w:szCs w:val="13"/>
                <w:color w:val="auto"/>
              </w:rPr>
              <w:t>Amount</w:t>
            </w:r>
          </w:p>
        </w:tc>
        <w:tc>
          <w:tcPr>
            <w:tcW w:w="2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gridSpan w:val="2"/>
            <w:shd w:val="clear" w:color="auto" w:fill="CCFFCC"/>
          </w:tcPr>
          <w:p>
            <w:pPr>
              <w:jc w:val="right"/>
              <w:ind w:right="220"/>
              <w:spacing w:after="0" w:line="143" w:lineRule="exact"/>
              <w:rPr>
                <w:sz w:val="20"/>
                <w:szCs w:val="20"/>
                <w:color w:val="auto"/>
              </w:rPr>
            </w:pPr>
            <w:r>
              <w:rPr>
                <w:rFonts w:ascii="Times New Roman" w:cs="Times New Roman" w:eastAsia="Times New Roman" w:hAnsi="Times New Roman"/>
                <w:sz w:val="13"/>
                <w:szCs w:val="13"/>
                <w:color w:val="auto"/>
              </w:rPr>
              <w:t>Number</w:t>
            </w: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Times New Roman" w:cs="Times New Roman" w:eastAsia="Times New Roman" w:hAnsi="Times New Roman"/>
                <w:sz w:val="13"/>
                <w:szCs w:val="13"/>
                <w:color w:val="auto"/>
              </w:rPr>
              <w:t>Amount</w:t>
            </w:r>
          </w:p>
        </w:tc>
        <w:tc>
          <w:tcPr>
            <w:tcW w:w="2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60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Times New Roman" w:cs="Times New Roman" w:eastAsia="Times New Roman" w:hAnsi="Times New Roman"/>
                <w:sz w:val="13"/>
                <w:szCs w:val="13"/>
                <w:color w:val="auto"/>
              </w:rPr>
              <w:t>capital</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ind w:left="460"/>
              <w:spacing w:after="0" w:line="143" w:lineRule="exact"/>
              <w:rPr>
                <w:sz w:val="20"/>
                <w:szCs w:val="20"/>
                <w:color w:val="auto"/>
              </w:rPr>
            </w:pPr>
            <w:r>
              <w:rPr>
                <w:rFonts w:ascii="Times New Roman" w:cs="Times New Roman" w:eastAsia="Times New Roman" w:hAnsi="Times New Roman"/>
                <w:sz w:val="13"/>
                <w:szCs w:val="13"/>
                <w:color w:val="auto"/>
                <w:w w:val="89"/>
              </w:rPr>
              <w:t>stage</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Times New Roman" w:cs="Times New Roman" w:eastAsia="Times New Roman" w:hAnsi="Times New Roman"/>
                <w:sz w:val="13"/>
                <w:szCs w:val="13"/>
                <w:color w:val="auto"/>
                <w:w w:val="98"/>
              </w:rPr>
              <w:t>(deficiency)</w:t>
            </w:r>
          </w:p>
        </w:tc>
        <w:tc>
          <w:tcPr>
            <w:tcW w:w="100" w:type="dxa"/>
            <w:vAlign w:val="bottom"/>
            <w:tcBorders>
              <w:top w:val="single" w:sz="8" w:color="CCFFCC"/>
            </w:tcBorders>
            <w:shd w:val="clear" w:color="auto" w:fill="CCFFCC"/>
          </w:tcPr>
          <w:p>
            <w:pPr>
              <w:spacing w:after="0"/>
              <w:rPr>
                <w:sz w:val="12"/>
                <w:szCs w:val="12"/>
                <w:color w:val="auto"/>
              </w:rPr>
            </w:pP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Times New Roman" w:cs="Times New Roman" w:eastAsia="Times New Roman" w:hAnsi="Times New Roman"/>
                <w:sz w:val="13"/>
                <w:szCs w:val="13"/>
                <w:color w:val="auto"/>
              </w:rPr>
              <w:t>Balance as of February 7, 2008 (date of inception)</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Ordinary shares at par share</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5,752,600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Preferred A shares, net ($0.92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747,339</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17"/>
        </w:trPr>
        <w:tc>
          <w:tcPr>
            <w:tcW w:w="32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Preferred A shares issued to service provider ($0.92 per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81,528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75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75</w:t>
            </w:r>
          </w:p>
        </w:tc>
      </w:tr>
      <w:tr>
        <w:trPr>
          <w:trHeight w:val="117"/>
        </w:trPr>
        <w:tc>
          <w:tcPr>
            <w:tcW w:w="3220" w:type="dxa"/>
            <w:vAlign w:val="bottom"/>
            <w:shd w:val="clear" w:color="auto" w:fill="CCFFCC"/>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 based compensation related to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53"/>
        </w:trPr>
        <w:tc>
          <w:tcPr>
            <w:tcW w:w="322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3"/>
                <w:szCs w:val="13"/>
                <w:color w:val="auto"/>
              </w:rPr>
              <w:t>consultant</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w w:val="76"/>
              </w:rPr>
              <w:t>28</w:t>
            </w:r>
          </w:p>
        </w:tc>
        <w:tc>
          <w:tcPr>
            <w:tcW w:w="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w w:val="91"/>
              </w:rPr>
              <w:t>28</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(666)</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Balance as of December 31, 2008</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5,752,600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828,867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w w:val="91"/>
              </w:rPr>
              <w:t>97</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Preferred A shares, net ($0.92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203,818</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187</w:t>
            </w:r>
          </w:p>
        </w:tc>
      </w:tr>
      <w:tr>
        <w:trPr>
          <w:trHeight w:val="117"/>
        </w:trPr>
        <w:tc>
          <w:tcPr>
            <w:tcW w:w="32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Issuance of Preferred A shares granted to service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provider ($0.92 per share)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190,229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175</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Times New Roman" w:cs="Times New Roman" w:eastAsia="Times New Roman" w:hAnsi="Times New Roman"/>
                <w:sz w:val="13"/>
                <w:szCs w:val="13"/>
                <w:color w:val="auto"/>
              </w:rPr>
              <w:t>Conversion of Preferred A shares into Ordinary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461,987</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(461,987)</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(608)</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Balance as of December 31, 2009</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6,214,587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760,927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(149)</w:t>
            </w:r>
          </w:p>
        </w:tc>
      </w:tr>
      <w:tr>
        <w:trPr>
          <w:trHeight w:val="117"/>
        </w:trPr>
        <w:tc>
          <w:tcPr>
            <w:tcW w:w="3220" w:type="dxa"/>
            <w:vAlign w:val="bottom"/>
            <w:shd w:val="clear" w:color="auto" w:fill="CCFFCC"/>
          </w:tcPr>
          <w:p>
            <w:pPr>
              <w:ind w:left="220"/>
              <w:spacing w:after="0" w:line="117" w:lineRule="exact"/>
              <w:rPr>
                <w:sz w:val="20"/>
                <w:szCs w:val="20"/>
                <w:color w:val="auto"/>
              </w:rPr>
            </w:pPr>
            <w:r>
              <w:rPr>
                <w:rFonts w:ascii="Times New Roman" w:cs="Times New Roman" w:eastAsia="Times New Roman" w:hAnsi="Times New Roman"/>
                <w:sz w:val="13"/>
                <w:szCs w:val="13"/>
                <w:color w:val="auto"/>
              </w:rPr>
              <w:t>Issuance of Preferred B shares and warrants, net ($2.18</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53"/>
        </w:trPr>
        <w:tc>
          <w:tcPr>
            <w:tcW w:w="322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3"/>
                <w:szCs w:val="13"/>
                <w:color w:val="auto"/>
              </w:rPr>
              <w:t>per unit of 1 share and 0.25 warrant)</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342,691</w:t>
            </w: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3"/>
                <w:szCs w:val="13"/>
                <w:color w:val="auto"/>
              </w:rPr>
            </w:pPr>
          </w:p>
        </w:tc>
        <w:tc>
          <w:tcPr>
            <w:tcW w:w="74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723</w:t>
            </w:r>
          </w:p>
        </w:tc>
        <w:tc>
          <w:tcPr>
            <w:tcW w:w="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7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723</w:t>
            </w:r>
          </w:p>
        </w:tc>
      </w:tr>
      <w:tr>
        <w:trPr>
          <w:trHeight w:val="117"/>
        </w:trPr>
        <w:tc>
          <w:tcPr>
            <w:tcW w:w="32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Issuance of Preferred B shares and warrants upon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2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color w:val="auto"/>
              </w:rPr>
              <w:t>conversion of convertible notes ($1.75 per unit of 1</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 and 0.25 warrant)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128,512</w:t>
            </w: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279</w:t>
            </w:r>
          </w:p>
        </w:tc>
      </w:tr>
      <w:tr>
        <w:trPr>
          <w:trHeight w:val="117"/>
        </w:trPr>
        <w:tc>
          <w:tcPr>
            <w:tcW w:w="3220" w:type="dxa"/>
            <w:vAlign w:val="bottom"/>
            <w:shd w:val="clear" w:color="auto" w:fill="CCFFCC"/>
          </w:tcPr>
          <w:p>
            <w:pPr>
              <w:ind w:left="220"/>
              <w:spacing w:after="0" w:line="117" w:lineRule="exact"/>
              <w:rPr>
                <w:sz w:val="20"/>
                <w:szCs w:val="20"/>
                <w:color w:val="auto"/>
              </w:rPr>
            </w:pPr>
            <w:r>
              <w:rPr>
                <w:rFonts w:ascii="Times New Roman" w:cs="Times New Roman" w:eastAsia="Times New Roman" w:hAnsi="Times New Roman"/>
                <w:sz w:val="13"/>
                <w:szCs w:val="13"/>
                <w:color w:val="auto"/>
              </w:rPr>
              <w:t>Issuance of Preferred B shares and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53"/>
        </w:trPr>
        <w:tc>
          <w:tcPr>
            <w:tcW w:w="322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3"/>
                <w:szCs w:val="13"/>
                <w:color w:val="auto"/>
              </w:rPr>
              <w:t>service provider</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55,008</w:t>
            </w: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3"/>
                <w:szCs w:val="13"/>
                <w:color w:val="auto"/>
              </w:rPr>
            </w:pPr>
          </w:p>
        </w:tc>
        <w:tc>
          <w:tcPr>
            <w:tcW w:w="74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7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120</w:t>
            </w:r>
          </w:p>
        </w:tc>
      </w:tr>
      <w:tr>
        <w:trPr>
          <w:trHeight w:val="117"/>
        </w:trPr>
        <w:tc>
          <w:tcPr>
            <w:tcW w:w="32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 based compensation related to options granted to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service provider and employees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242</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288,681</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(1,224)</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Balance as of December 31, 2010</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6,503,268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760,927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526,211</w:t>
            </w: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w:t>
            </w:r>
          </w:p>
        </w:tc>
      </w:tr>
      <w:tr>
        <w:trPr>
          <w:trHeight w:val="117"/>
        </w:trPr>
        <w:tc>
          <w:tcPr>
            <w:tcW w:w="3220" w:type="dxa"/>
            <w:vAlign w:val="bottom"/>
            <w:shd w:val="clear" w:color="auto" w:fill="CCFFCC"/>
          </w:tcPr>
          <w:p>
            <w:pPr>
              <w:ind w:left="220"/>
              <w:spacing w:after="0" w:line="117" w:lineRule="exact"/>
              <w:rPr>
                <w:sz w:val="20"/>
                <w:szCs w:val="20"/>
                <w:color w:val="auto"/>
              </w:rPr>
            </w:pPr>
            <w:r>
              <w:rPr>
                <w:rFonts w:ascii="Times New Roman" w:cs="Times New Roman" w:eastAsia="Times New Roman" w:hAnsi="Times New Roman"/>
                <w:sz w:val="13"/>
                <w:szCs w:val="13"/>
                <w:color w:val="auto"/>
              </w:rPr>
              <w:t>Conversion of Preferred A and B shares into Ordinary</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53"/>
        </w:trPr>
        <w:tc>
          <w:tcPr>
            <w:tcW w:w="322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3"/>
                <w:szCs w:val="13"/>
                <w:color w:val="auto"/>
              </w:rPr>
              <w:t>shares</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1,287,138</w:t>
            </w:r>
          </w:p>
        </w:tc>
        <w:tc>
          <w:tcPr>
            <w:tcW w:w="100" w:type="dxa"/>
            <w:vAlign w:val="bottom"/>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1</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(760,927)</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3"/>
                <w:szCs w:val="13"/>
                <w:color w:val="auto"/>
              </w:rPr>
              <w:t>(526,211)</w:t>
            </w: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Deemed dividend in respect of equity restructuring</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220" w:type="dxa"/>
            <w:vAlign w:val="bottom"/>
            <w:shd w:val="clear" w:color="auto" w:fill="CCFFCC"/>
          </w:tcPr>
          <w:p>
            <w:pPr>
              <w:ind w:left="220"/>
              <w:spacing w:after="0" w:line="117" w:lineRule="exact"/>
              <w:rPr>
                <w:sz w:val="20"/>
                <w:szCs w:val="20"/>
                <w:color w:val="auto"/>
              </w:rPr>
            </w:pPr>
            <w:r>
              <w:rPr>
                <w:rFonts w:ascii="Times New Roman" w:cs="Times New Roman" w:eastAsia="Times New Roman" w:hAnsi="Times New Roman"/>
                <w:sz w:val="13"/>
                <w:szCs w:val="13"/>
                <w:color w:val="auto"/>
              </w:rPr>
              <w:t>Issuance of Ordinary shares upon conversion of loan</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53"/>
        </w:trPr>
        <w:tc>
          <w:tcPr>
            <w:tcW w:w="322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3"/>
                <w:szCs w:val="13"/>
                <w:color w:val="auto"/>
              </w:rPr>
              <w:t>into Ordinary shares net ($11.5 per share)</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104,345</w:t>
            </w:r>
          </w:p>
        </w:tc>
        <w:tc>
          <w:tcPr>
            <w:tcW w:w="100" w:type="dxa"/>
            <w:vAlign w:val="bottom"/>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3"/>
                <w:szCs w:val="13"/>
                <w:color w:val="auto"/>
              </w:rPr>
            </w:pPr>
          </w:p>
        </w:tc>
        <w:tc>
          <w:tcPr>
            <w:tcW w:w="74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7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r>
      <w:tr>
        <w:trPr>
          <w:trHeight w:val="135"/>
        </w:trPr>
        <w:tc>
          <w:tcPr>
            <w:tcW w:w="32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Ordinary shares, net ($11.5 per share)</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199,979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2,170</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1,379</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2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1,553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1,553</w:t>
            </w:r>
          </w:p>
        </w:tc>
      </w:tr>
      <w:tr>
        <w:trPr>
          <w:trHeight w:val="149"/>
        </w:trPr>
        <w:tc>
          <w:tcPr>
            <w:tcW w:w="32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(3,929)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3"/>
                <w:szCs w:val="13"/>
                <w:color w:val="auto"/>
              </w:rPr>
              <w:t>(3,929)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Times New Roman" w:cs="Times New Roman" w:eastAsia="Times New Roman" w:hAnsi="Times New Roman"/>
                <w:sz w:val="13"/>
                <w:szCs w:val="13"/>
                <w:color w:val="auto"/>
              </w:rPr>
              <w:t>Balance as of December 31, 2011</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8,096,109</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7,588</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(6,607)</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985</w:t>
            </w:r>
          </w:p>
        </w:tc>
      </w:tr>
      <w:tr>
        <w:trPr>
          <w:trHeight w:val="135"/>
        </w:trPr>
        <w:tc>
          <w:tcPr>
            <w:tcW w:w="32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Treasury shares</w:t>
            </w: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(304,324)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2,471</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r>
      <w:tr>
        <w:trPr>
          <w:trHeight w:val="117"/>
        </w:trPr>
        <w:tc>
          <w:tcPr>
            <w:tcW w:w="32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26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26</w:t>
            </w:r>
          </w:p>
        </w:tc>
      </w:tr>
      <w:tr>
        <w:trPr>
          <w:trHeight w:val="149"/>
        </w:trPr>
        <w:tc>
          <w:tcPr>
            <w:tcW w:w="32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3"/>
                <w:szCs w:val="13"/>
                <w:color w:val="auto"/>
              </w:rPr>
              <w:t>(1,579)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2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3"/>
                <w:szCs w:val="13"/>
                <w:color w:val="auto"/>
              </w:rPr>
              <w:t>Balance as of December 31, 2012</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7,794,256</w:t>
            </w: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FFCC"/>
          </w:tcPr>
          <w:p>
            <w:pPr>
              <w:spacing w:after="0"/>
              <w:rPr>
                <w:sz w:val="14"/>
                <w:szCs w:val="14"/>
                <w:color w:val="auto"/>
              </w:rPr>
            </w:pPr>
          </w:p>
        </w:tc>
        <w:tc>
          <w:tcPr>
            <w:tcW w:w="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FFCC"/>
          </w:tcPr>
          <w:p>
            <w:pPr>
              <w:spacing w:after="0"/>
              <w:rPr>
                <w:sz w:val="14"/>
                <w:szCs w:val="14"/>
                <w:color w:val="auto"/>
              </w:rPr>
            </w:pPr>
          </w:p>
        </w:tc>
        <w:tc>
          <w:tcPr>
            <w:tcW w:w="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FFC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FFCC"/>
          </w:tcPr>
          <w:p>
            <w:pPr>
              <w:spacing w:after="0"/>
              <w:rPr>
                <w:sz w:val="14"/>
                <w:szCs w:val="14"/>
                <w:color w:val="auto"/>
              </w:rPr>
            </w:pPr>
          </w:p>
        </w:tc>
        <w:tc>
          <w:tcPr>
            <w:tcW w:w="3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3"/>
                <w:szCs w:val="13"/>
                <w:color w:val="auto"/>
              </w:rPr>
              <w:t>7,615</w:t>
            </w:r>
          </w:p>
        </w:tc>
        <w:tc>
          <w:tcPr>
            <w:tcW w:w="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FFCC"/>
          </w:tcPr>
          <w:p>
            <w:pPr>
              <w:jc w:val="right"/>
              <w:ind w:right="100"/>
              <w:spacing w:after="0" w:line="162" w:lineRule="exact"/>
              <w:rPr>
                <w:sz w:val="20"/>
                <w:szCs w:val="20"/>
                <w:color w:val="auto"/>
              </w:rPr>
            </w:pPr>
            <w:r>
              <w:rPr>
                <w:rFonts w:ascii="Times New Roman" w:cs="Times New Roman" w:eastAsia="Times New Roman" w:hAnsi="Times New Roman"/>
                <w:sz w:val="10"/>
                <w:szCs w:val="10"/>
                <w:color w:val="auto"/>
              </w:rPr>
              <w:t>(8,186</w:t>
            </w:r>
            <w:r>
              <w:rPr>
                <w:rFonts w:ascii="Times New Roman" w:cs="Times New Roman" w:eastAsia="Times New Roman" w:hAnsi="Times New Roman"/>
                <w:sz w:val="18"/>
                <w:szCs w:val="18"/>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FFCC"/>
          </w:tcPr>
          <w:p>
            <w:pPr>
              <w:jc w:val="right"/>
              <w:ind w:right="60"/>
              <w:spacing w:after="0" w:line="162" w:lineRule="exact"/>
              <w:rPr>
                <w:sz w:val="20"/>
                <w:szCs w:val="20"/>
                <w:color w:val="auto"/>
              </w:rPr>
            </w:pPr>
            <w:r>
              <w:rPr>
                <w:rFonts w:ascii="Times New Roman" w:cs="Times New Roman" w:eastAsia="Times New Roman" w:hAnsi="Times New Roman"/>
                <w:sz w:val="10"/>
                <w:szCs w:val="10"/>
                <w:color w:val="auto"/>
              </w:rPr>
              <w:t>(567</w:t>
            </w:r>
            <w:r>
              <w:rPr>
                <w:rFonts w:ascii="Times New Roman" w:cs="Times New Roman" w:eastAsia="Times New Roman" w:hAnsi="Times New Roman"/>
                <w:sz w:val="18"/>
                <w:szCs w:val="18"/>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tc>
        <w:tc>
          <w:tcPr>
            <w:tcW w:w="0" w:type="dxa"/>
            <w:vAlign w:val="bottom"/>
          </w:tcPr>
          <w:p>
            <w:pPr>
              <w:spacing w:after="0"/>
              <w:rPr>
                <w:sz w:val="1"/>
                <w:szCs w:val="1"/>
                <w:color w:val="auto"/>
              </w:rPr>
            </w:pPr>
          </w:p>
        </w:tc>
      </w:tr>
      <w:tr>
        <w:trPr>
          <w:trHeight w:val="439"/>
        </w:trPr>
        <w:tc>
          <w:tcPr>
            <w:tcW w:w="6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February 7,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of inception)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December 31,</w:t>
            </w:r>
          </w:p>
        </w:tc>
        <w:tc>
          <w:tcPr>
            <w:tcW w:w="0" w:type="dxa"/>
            <w:vAlign w:val="bottom"/>
          </w:tcPr>
          <w:p>
            <w:pPr>
              <w:spacing w:after="0"/>
              <w:rPr>
                <w:sz w:val="1"/>
                <w:szCs w:val="1"/>
                <w:color w:val="auto"/>
              </w:rPr>
            </w:pPr>
          </w:p>
        </w:tc>
      </w:tr>
      <w:tr>
        <w:trPr>
          <w:trHeight w:val="210"/>
        </w:trPr>
        <w:tc>
          <w:tcPr>
            <w:tcW w:w="6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560" w:type="dxa"/>
            <w:vAlign w:val="bottom"/>
            <w:gridSpan w:val="2"/>
            <w:shd w:val="clear" w:color="auto" w:fill="CCFFC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Decrease (increase) in receivables and prepaid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Increase (decrease) in other accounts payable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 on convertible notes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Stock base compensation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Investment in (proceeds from) short-term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Decrease (increase) in long-term deposit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Investment in (proceeds from) restricted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Proceeds from loan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Issuance of shares,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560" w:type="dxa"/>
            <w:vAlign w:val="bottom"/>
            <w:gridSpan w:val="2"/>
            <w:shd w:val="clear" w:color="auto" w:fill="CCFFC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80" w:type="dxa"/>
            <w:vAlign w:val="bottom"/>
            <w:gridSpan w:val="4"/>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Issuance of Preferred B shares and warrants upon conversion of convertible notes</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FFC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bottom w:val="single" w:sz="8" w:color="CCFFCC"/>
            </w:tcBorders>
            <w:gridSpan w:val="4"/>
            <w:vMerge w:val="restart"/>
          </w:tcPr>
          <w:p>
            <w:pPr>
              <w:ind w:left="160"/>
              <w:spacing w:after="0"/>
              <w:rPr>
                <w:sz w:val="20"/>
                <w:szCs w:val="20"/>
                <w:color w:val="auto"/>
              </w:rPr>
            </w:pPr>
            <w:r>
              <w:rPr>
                <w:rFonts w:ascii="Times New Roman" w:cs="Times New Roman" w:eastAsia="Times New Roman" w:hAnsi="Times New Roman"/>
                <w:sz w:val="18"/>
                <w:szCs w:val="18"/>
                <w:color w:val="auto"/>
              </w:rPr>
              <w:t>Issuance of Ordinary shares upon conversion of loans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gridSpan w:val="4"/>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ind w:left="1520" w:right="20" w:hanging="499"/>
        <w:spacing w:after="0" w:line="273" w:lineRule="auto"/>
        <w:tabs>
          <w:tab w:leader="none" w:pos="15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72" w:lineRule="exact"/>
        <w:rPr>
          <w:rFonts w:ascii="Times New Roman" w:cs="Times New Roman" w:eastAsia="Times New Roman" w:hAnsi="Times New Roman"/>
          <w:sz w:val="17"/>
          <w:szCs w:val="17"/>
          <w:color w:val="auto"/>
        </w:rPr>
      </w:pPr>
    </w:p>
    <w:p>
      <w:pPr>
        <w:jc w:val="both"/>
        <w:ind w:left="1520" w:hanging="499"/>
        <w:spacing w:after="0" w:line="253" w:lineRule="auto"/>
        <w:tabs>
          <w:tab w:leader="none" w:pos="1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March 31, 2013. The Company plans to have its securities listed on the NASDAQ Stock Market (the "NASDAQ") early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("U.S. GAAP").</w:t>
      </w:r>
    </w:p>
    <w:p>
      <w:pPr>
        <w:spacing w:after="0" w:line="225" w:lineRule="exact"/>
        <w:rPr>
          <w:sz w:val="20"/>
          <w:szCs w:val="20"/>
          <w:color w:val="auto"/>
        </w:rPr>
      </w:pPr>
    </w:p>
    <w:p>
      <w:pPr>
        <w:ind w:left="1520" w:hanging="499"/>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ind w:left="1540"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 U.S. dollars:</w:t>
      </w:r>
    </w:p>
    <w:p>
      <w:pPr>
        <w:spacing w:after="0" w:line="225" w:lineRule="exact"/>
        <w:rPr>
          <w:rFonts w:ascii="Times New Roman" w:cs="Times New Roman" w:eastAsia="Times New Roman" w:hAnsi="Times New Roman"/>
          <w:sz w:val="18"/>
          <w:szCs w:val="18"/>
          <w:color w:val="auto"/>
        </w:rPr>
      </w:pPr>
    </w:p>
    <w:p>
      <w:pPr>
        <w:ind w:left="154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80" w:lineRule="exact"/>
        <w:rPr>
          <w:rFonts w:ascii="Times New Roman" w:cs="Times New Roman" w:eastAsia="Times New Roman" w:hAnsi="Times New Roman"/>
          <w:sz w:val="18"/>
          <w:szCs w:val="18"/>
          <w:color w:val="auto"/>
        </w:rPr>
      </w:pPr>
    </w:p>
    <w:p>
      <w:pPr>
        <w:ind w:left="15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80"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acquisition.</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w:t>
      </w:r>
    </w:p>
    <w:p>
      <w:pPr>
        <w:spacing w:after="0" w:line="225" w:lineRule="exact"/>
        <w:rPr>
          <w:rFonts w:ascii="Times New Roman" w:cs="Times New Roman" w:eastAsia="Times New Roman" w:hAnsi="Times New Roman"/>
          <w:sz w:val="18"/>
          <w:szCs w:val="18"/>
          <w:color w:val="auto"/>
        </w:rPr>
      </w:pPr>
    </w:p>
    <w:p>
      <w:pPr>
        <w:jc w:val="both"/>
        <w:ind w:left="15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76"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bank deposits:</w:t>
      </w:r>
    </w:p>
    <w:p>
      <w:pPr>
        <w:spacing w:after="0" w:line="225"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bank deposits are pledged in favor of the bank which provides to the Company guarantees with respect to office lease agreements and credit card usage.</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w:t>
      </w:r>
    </w:p>
    <w:p>
      <w:pPr>
        <w:spacing w:after="0" w:line="225" w:lineRule="exact"/>
        <w:rPr>
          <w:rFonts w:ascii="Times New Roman" w:cs="Times New Roman" w:eastAsia="Times New Roman" w:hAnsi="Times New Roman"/>
          <w:sz w:val="18"/>
          <w:szCs w:val="18"/>
          <w:color w:val="auto"/>
        </w:rPr>
      </w:pPr>
    </w:p>
    <w:p>
      <w:pPr>
        <w:ind w:left="154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160" w:type="dxa"/>
            <w:vAlign w:val="bottom"/>
          </w:tcPr>
          <w:p>
            <w:pPr>
              <w:spacing w:after="0"/>
              <w:rPr>
                <w:sz w:val="20"/>
                <w:szCs w:val="20"/>
                <w:color w:val="auto"/>
              </w:rPr>
            </w:pPr>
          </w:p>
        </w:tc>
      </w:tr>
      <w:tr>
        <w:trPr>
          <w:trHeight w:val="407"/>
        </w:trPr>
        <w:tc>
          <w:tcPr>
            <w:tcW w:w="49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2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15-33</w:t>
            </w:r>
          </w:p>
        </w:tc>
        <w:tc>
          <w:tcPr>
            <w:tcW w:w="4160" w:type="dxa"/>
            <w:vAlign w:val="bottom"/>
          </w:tcPr>
          <w:p>
            <w:pPr>
              <w:spacing w:after="0"/>
              <w:rPr>
                <w:sz w:val="24"/>
                <w:szCs w:val="24"/>
                <w:color w:val="auto"/>
              </w:rPr>
            </w:pPr>
          </w:p>
        </w:tc>
      </w:tr>
      <w:tr>
        <w:trPr>
          <w:trHeight w:val="216"/>
        </w:trPr>
        <w:tc>
          <w:tcPr>
            <w:tcW w:w="49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6</w:t>
            </w:r>
          </w:p>
        </w:tc>
        <w:tc>
          <w:tcPr>
            <w:tcW w:w="4160" w:type="dxa"/>
            <w:vAlign w:val="bottom"/>
          </w:tcPr>
          <w:p>
            <w:pPr>
              <w:spacing w:after="0"/>
              <w:rPr>
                <w:sz w:val="18"/>
                <w:szCs w:val="18"/>
                <w:color w:val="auto"/>
              </w:rPr>
            </w:pPr>
          </w:p>
        </w:tc>
      </w:tr>
      <w:tr>
        <w:trPr>
          <w:trHeight w:val="234"/>
        </w:trPr>
        <w:tc>
          <w:tcPr>
            <w:tcW w:w="49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Clinical and medical equipment</w:t>
            </w:r>
          </w:p>
        </w:tc>
        <w:tc>
          <w:tcPr>
            <w:tcW w:w="2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15-33</w:t>
            </w:r>
          </w:p>
        </w:tc>
        <w:tc>
          <w:tcPr>
            <w:tcW w:w="4160" w:type="dxa"/>
            <w:vAlign w:val="bottom"/>
          </w:tcPr>
          <w:p>
            <w:pPr>
              <w:spacing w:after="0"/>
              <w:rPr>
                <w:sz w:val="20"/>
                <w:szCs w:val="20"/>
                <w:color w:val="auto"/>
              </w:rPr>
            </w:pPr>
          </w:p>
        </w:tc>
      </w:tr>
      <w:tr>
        <w:trPr>
          <w:trHeight w:val="648"/>
        </w:trPr>
        <w:tc>
          <w:tcPr>
            <w:tcW w:w="49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F-9</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40" w:right="40"/>
        <w:spacing w:after="0" w:line="256" w:lineRule="auto"/>
        <w:rPr>
          <w:sz w:val="20"/>
          <w:szCs w:val="20"/>
          <w:color w:val="auto"/>
        </w:rPr>
      </w:pPr>
      <w:r>
        <w:rPr>
          <w:rFonts w:ascii="Times New Roman" w:cs="Times New Roman" w:eastAsia="Times New Roman" w:hAnsi="Times New Roman"/>
          <w:sz w:val="18"/>
          <w:szCs w:val="18"/>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88" w:lineRule="exact"/>
        <w:rPr>
          <w:sz w:val="20"/>
          <w:szCs w:val="20"/>
          <w:color w:val="auto"/>
        </w:rPr>
      </w:pPr>
    </w:p>
    <w:p>
      <w:pPr>
        <w:ind w:left="1520" w:hanging="499"/>
        <w:spacing w:after="0"/>
        <w:tabs>
          <w:tab w:leader="none" w:pos="1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deposits:</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deposits include long-term deposits for motor vehicles under operating leases, presented at their cost.</w:t>
      </w:r>
    </w:p>
    <w:p>
      <w:pPr>
        <w:spacing w:after="0" w:line="225"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225"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76"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w:t>
      </w:r>
    </w:p>
    <w:p>
      <w:pPr>
        <w:spacing w:after="0" w:line="225" w:lineRule="exact"/>
        <w:rPr>
          <w:rFonts w:ascii="Times New Roman" w:cs="Times New Roman" w:eastAsia="Times New Roman" w:hAnsi="Times New Roman"/>
          <w:sz w:val="18"/>
          <w:szCs w:val="18"/>
          <w:color w:val="auto"/>
        </w:rPr>
      </w:pPr>
    </w:p>
    <w:p>
      <w:pPr>
        <w:jc w:val="both"/>
        <w:ind w:left="15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8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rFonts w:ascii="Times New Roman" w:cs="Times New Roman" w:eastAsia="Times New Roman" w:hAnsi="Times New Roman"/>
          <w:sz w:val="18"/>
          <w:szCs w:val="18"/>
          <w:color w:val="auto"/>
        </w:rPr>
      </w:pPr>
    </w:p>
    <w:p>
      <w:pPr>
        <w:jc w:val="both"/>
        <w:ind w:left="154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3" w:lineRule="exact"/>
        <w:rPr>
          <w:rFonts w:ascii="Times New Roman" w:cs="Times New Roman" w:eastAsia="Times New Roman" w:hAnsi="Times New Roman"/>
          <w:sz w:val="18"/>
          <w:szCs w:val="18"/>
          <w:color w:val="auto"/>
        </w:rPr>
      </w:pPr>
    </w:p>
    <w:p>
      <w:pPr>
        <w:jc w:val="both"/>
        <w:ind w:left="154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3"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risk:</w:t>
      </w:r>
    </w:p>
    <w:p>
      <w:pPr>
        <w:spacing w:after="0" w:line="225"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short term bank deposit and restricted bank deposits.</w:t>
      </w:r>
    </w:p>
    <w:p>
      <w:pPr>
        <w:spacing w:after="0" w:line="161"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76"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off-balance-sheet concentration of credit risk such as foreign exchange contracts, option contracts or other foreign hedging arrangements.</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w:t>
      </w:r>
    </w:p>
    <w:p>
      <w:pPr>
        <w:spacing w:after="0" w:line="225"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40"/>
        <w:spacing w:after="0" w:line="256" w:lineRule="auto"/>
        <w:rPr>
          <w:sz w:val="20"/>
          <w:szCs w:val="20"/>
          <w:color w:val="auto"/>
        </w:rPr>
      </w:pPr>
      <w:r>
        <w:rPr>
          <w:rFonts w:ascii="Times New Roman" w:cs="Times New Roman" w:eastAsia="Times New Roman" w:hAnsi="Times New Roman"/>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88"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As a basis for considering such assumptions, ASC 820 establishes a three-tier value hierarchy, which prioritizes the inputs used in the valuation methodologies in measuring fair value:</w:t>
      </w:r>
    </w:p>
    <w:p>
      <w:pPr>
        <w:spacing w:after="0" w:line="162" w:lineRule="exact"/>
        <w:rPr>
          <w:sz w:val="20"/>
          <w:szCs w:val="20"/>
          <w:color w:val="auto"/>
        </w:rPr>
      </w:pPr>
    </w:p>
    <w:p>
      <w:pPr>
        <w:jc w:val="both"/>
        <w:ind w:left="2640" w:hanging="1147"/>
        <w:spacing w:after="0" w:line="261" w:lineRule="auto"/>
        <w:tabs>
          <w:tab w:leader="none" w:pos="262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0" w:lineRule="exact"/>
        <w:rPr>
          <w:sz w:val="20"/>
          <w:szCs w:val="20"/>
          <w:color w:val="auto"/>
        </w:rPr>
      </w:pPr>
    </w:p>
    <w:p>
      <w:pPr>
        <w:jc w:val="both"/>
        <w:ind w:left="2640" w:hanging="1147"/>
        <w:spacing w:after="0" w:line="282" w:lineRule="auto"/>
        <w:tabs>
          <w:tab w:leader="none" w:pos="262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Valuations based on one or more quoted prices in markets that are not active or for which all significant inputs are observable, either directly or indirectly.</w:t>
      </w:r>
    </w:p>
    <w:p>
      <w:pPr>
        <w:spacing w:after="0" w:line="162"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Valuations based on inputs that are unobservable and significant to the overall fair value measurement.</w:t>
      </w:r>
    </w:p>
    <w:p>
      <w:pPr>
        <w:spacing w:after="0" w:line="225" w:lineRule="exact"/>
        <w:rPr>
          <w:sz w:val="20"/>
          <w:szCs w:val="20"/>
          <w:color w:val="auto"/>
        </w:rPr>
      </w:pPr>
    </w:p>
    <w:p>
      <w:pPr>
        <w:ind w:left="1540"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62" w:lineRule="exact"/>
        <w:rPr>
          <w:sz w:val="20"/>
          <w:szCs w:val="20"/>
          <w:color w:val="auto"/>
        </w:rPr>
      </w:pPr>
    </w:p>
    <w:p>
      <w:pPr>
        <w:ind w:left="1520" w:hanging="499"/>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w:t>
      </w:r>
    </w:p>
    <w:p>
      <w:pPr>
        <w:spacing w:after="0" w:line="225"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76" w:lineRule="exact"/>
        <w:rPr>
          <w:sz w:val="20"/>
          <w:szCs w:val="20"/>
          <w:color w:val="auto"/>
        </w:rPr>
      </w:pPr>
    </w:p>
    <w:p>
      <w:pPr>
        <w:ind w:left="1540" w:right="20"/>
        <w:spacing w:after="0" w:line="282" w:lineRule="auto"/>
        <w:rPr>
          <w:sz w:val="20"/>
          <w:szCs w:val="20"/>
          <w:color w:val="auto"/>
        </w:rPr>
      </w:pPr>
      <w:r>
        <w:rPr>
          <w:rFonts w:ascii="Times New Roman" w:cs="Times New Roman" w:eastAsia="Times New Roman" w:hAnsi="Times New Roman"/>
          <w:sz w:val="18"/>
          <w:szCs w:val="18"/>
          <w:color w:val="auto"/>
        </w:rPr>
        <w:t>All outstanding stock options and warrants have been excluded from the calculation of the diluted net loss per share because all such securities are anti-dilutive for all periods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stock-based compensation:</w:t>
      </w:r>
    </w:p>
    <w:p>
      <w:pPr>
        <w:spacing w:after="0" w:line="225" w:lineRule="exact"/>
        <w:rPr>
          <w:rFonts w:ascii="Times New Roman" w:cs="Times New Roman" w:eastAsia="Times New Roman" w:hAnsi="Times New Roman"/>
          <w:sz w:val="18"/>
          <w:szCs w:val="18"/>
          <w:color w:val="auto"/>
        </w:rPr>
      </w:pPr>
    </w:p>
    <w:p>
      <w:pPr>
        <w:jc w:val="both"/>
        <w:ind w:left="15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3"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59" w:lineRule="exact"/>
        <w:rPr>
          <w:rFonts w:ascii="Times New Roman" w:cs="Times New Roman" w:eastAsia="Times New Roman" w:hAnsi="Times New Roman"/>
          <w:sz w:val="18"/>
          <w:szCs w:val="18"/>
          <w:color w:val="auto"/>
        </w:rPr>
      </w:pPr>
    </w:p>
    <w:p>
      <w:pPr>
        <w:jc w:val="both"/>
        <w:ind w:left="15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expected dividend yield assumption is based on the Company's historical experience and expectation of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dividend payouts. The Company has historically not paid cash dividends and has no foreseeable plans to pay cash dividends in the future.</w:t>
      </w:r>
    </w:p>
    <w:p>
      <w:pPr>
        <w:spacing w:after="0" w:line="173" w:lineRule="exact"/>
        <w:rPr>
          <w:rFonts w:ascii="Times New Roman" w:cs="Times New Roman" w:eastAsia="Times New Roman" w:hAnsi="Times New Roman"/>
          <w:sz w:val="18"/>
          <w:szCs w:val="18"/>
          <w:color w:val="auto"/>
        </w:rPr>
      </w:pPr>
    </w:p>
    <w:p>
      <w:pPr>
        <w:jc w:val="both"/>
        <w:ind w:left="1540" w:right="5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Since the Company is not traded on any stock exchange market, quoted prices of the Company's share are unavailable.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ASC 718, due to insufficient or no historical data for a company, the expected volatility determination was based on similar companies' stock volatility.</w:t>
      </w:r>
    </w:p>
    <w:p>
      <w:pPr>
        <w:spacing w:after="0" w:line="17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 The risk free interest rate is based on the yield of U.S Treasury bonds with equivalent terms.</w:t>
      </w:r>
    </w:p>
    <w:p>
      <w:pPr>
        <w:spacing w:after="0" w:line="225" w:lineRule="exact"/>
        <w:rPr>
          <w:rFonts w:ascii="Times New Roman" w:cs="Times New Roman" w:eastAsia="Times New Roman" w:hAnsi="Times New Roman"/>
          <w:sz w:val="18"/>
          <w:szCs w:val="18"/>
          <w:color w:val="auto"/>
        </w:rPr>
      </w:pPr>
    </w:p>
    <w:p>
      <w:pPr>
        <w:jc w:val="both"/>
        <w:ind w:left="15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ASC 718 provides the factors to consider when estimating the expected term of an option: An option's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1" w:name="page112"/>
    <w:bookmarkEnd w:id="111"/>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40" w:right="80"/>
        <w:spacing w:after="0" w:line="261" w:lineRule="auto"/>
        <w:rPr>
          <w:sz w:val="20"/>
          <w:szCs w:val="20"/>
          <w:color w:val="auto"/>
        </w:rPr>
      </w:pPr>
      <w:r>
        <w:rPr>
          <w:rFonts w:ascii="Times New Roman" w:cs="Times New Roman" w:eastAsia="Times New Roman" w:hAnsi="Times New Roman"/>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RECEIVABLES AND PREPAID EXPENSES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Government authorities</w:t>
            </w:r>
          </w:p>
        </w:tc>
        <w:tc>
          <w:tcPr>
            <w:tcW w:w="22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Advance to suppliers</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shd w:val="clear" w:color="auto" w:fill="CCFFCC"/>
          </w:tcPr>
          <w:p>
            <w:pPr>
              <w:spacing w:after="0" w:line="20" w:lineRule="exact"/>
              <w:rPr>
                <w:sz w:val="1"/>
                <w:szCs w:val="1"/>
                <w:color w:val="auto"/>
              </w:rPr>
            </w:pPr>
          </w:p>
        </w:tc>
        <w:tc>
          <w:tcPr>
            <w:tcW w:w="196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Cost:</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22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6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Depreciated cost</w:t>
            </w:r>
          </w:p>
        </w:tc>
        <w:tc>
          <w:tcPr>
            <w:tcW w:w="22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FFCC"/>
            </w:tcBorders>
          </w:tcPr>
          <w:p>
            <w:pPr>
              <w:spacing w:after="0" w:line="20" w:lineRule="exact"/>
              <w:rPr>
                <w:sz w:val="1"/>
                <w:szCs w:val="1"/>
                <w:color w:val="auto"/>
              </w:rPr>
            </w:pPr>
          </w:p>
        </w:tc>
        <w:tc>
          <w:tcPr>
            <w:tcW w:w="19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Represents an amount lower than $ 1.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2012 and 2011 were $7 and $6, respectively.</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0" w:right="179" w:bottom="1440" w:gutter="0" w:footer="0" w:header="0"/>
        </w:sectPr>
      </w:pPr>
    </w:p>
    <w:bookmarkStart w:id="112" w:name="page113"/>
    <w:bookmarkEnd w:id="112"/>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OTHER ACCOUNTS PAYABLE</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6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3380" w:type="dxa"/>
            <w:vAlign w:val="bottom"/>
            <w:gridSpan w:val="2"/>
            <w:shd w:val="clear" w:color="auto" w:fill="CCFFC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CFFC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FFCC"/>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18"/>
                <w:szCs w:val="18"/>
                <w:color w:val="auto"/>
              </w:rPr>
            </w:pPr>
          </w:p>
        </w:tc>
        <w:tc>
          <w:tcPr>
            <w:tcW w:w="24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CONVERTIBLE NOTES</w:t>
      </w:r>
    </w:p>
    <w:p>
      <w:pPr>
        <w:spacing w:after="0" w:line="229" w:lineRule="exact"/>
        <w:rPr>
          <w:sz w:val="20"/>
          <w:szCs w:val="20"/>
          <w:color w:val="auto"/>
        </w:rPr>
      </w:pPr>
    </w:p>
    <w:p>
      <w:pPr>
        <w:jc w:val="both"/>
        <w:ind w:left="1520" w:right="80" w:hanging="499"/>
        <w:spacing w:after="0" w:line="256" w:lineRule="auto"/>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87" w:lineRule="exact"/>
        <w:rPr>
          <w:rFonts w:ascii="Times New Roman" w:cs="Times New Roman" w:eastAsia="Times New Roman" w:hAnsi="Times New Roman"/>
          <w:sz w:val="18"/>
          <w:szCs w:val="18"/>
          <w:color w:val="auto"/>
        </w:rPr>
      </w:pPr>
    </w:p>
    <w:p>
      <w:pPr>
        <w:jc w:val="both"/>
        <w:ind w:left="1520" w:right="60" w:hanging="499"/>
        <w:spacing w:after="0" w:line="255" w:lineRule="auto"/>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89" w:lineRule="exact"/>
        <w:rPr>
          <w:sz w:val="20"/>
          <w:szCs w:val="20"/>
          <w:color w:val="auto"/>
        </w:rPr>
      </w:pPr>
    </w:p>
    <w:p>
      <w:pPr>
        <w:jc w:val="both"/>
        <w:ind w:left="1020" w:right="60"/>
        <w:spacing w:after="0" w:line="256" w:lineRule="auto"/>
        <w:rPr>
          <w:sz w:val="20"/>
          <w:szCs w:val="20"/>
          <w:color w:val="auto"/>
        </w:rPr>
      </w:pPr>
      <w:r>
        <w:rPr>
          <w:rFonts w:ascii="Times New Roman" w:cs="Times New Roman" w:eastAsia="Times New Roman" w:hAnsi="Times New Roman"/>
          <w:sz w:val="18"/>
          <w:szCs w:val="18"/>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88" w:lineRule="exact"/>
        <w:rPr>
          <w:sz w:val="20"/>
          <w:szCs w:val="20"/>
          <w:color w:val="auto"/>
        </w:rPr>
      </w:pPr>
    </w:p>
    <w:p>
      <w:pPr>
        <w:jc w:val="both"/>
        <w:ind w:left="1020" w:right="60"/>
        <w:spacing w:after="0" w:line="282" w:lineRule="auto"/>
        <w:rPr>
          <w:sz w:val="20"/>
          <w:szCs w:val="20"/>
          <w:color w:val="auto"/>
        </w:rPr>
      </w:pPr>
      <w:r>
        <w:rPr>
          <w:rFonts w:ascii="Times New Roman" w:cs="Times New Roman" w:eastAsia="Times New Roman" w:hAnsi="Times New Roman"/>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0" w:right="179" w:bottom="1440" w:gutter="0" w:footer="0" w:header="0"/>
        </w:sectPr>
      </w:pPr>
    </w:p>
    <w:bookmarkStart w:id="113" w:name="page114"/>
    <w:bookmarkEnd w:id="113"/>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9" w:lineRule="exact"/>
        <w:rPr>
          <w:sz w:val="20"/>
          <w:szCs w:val="20"/>
          <w:color w:val="auto"/>
        </w:rPr>
      </w:pPr>
    </w:p>
    <w:p>
      <w:pPr>
        <w:ind w:left="1520" w:hanging="499"/>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applicable to the Company:</w:t>
      </w:r>
    </w:p>
    <w:p>
      <w:pPr>
        <w:spacing w:after="0" w:line="225" w:lineRule="exact"/>
        <w:rPr>
          <w:rFonts w:ascii="Times New Roman" w:cs="Times New Roman" w:eastAsia="Times New Roman" w:hAnsi="Times New Roman"/>
          <w:sz w:val="18"/>
          <w:szCs w:val="18"/>
          <w:color w:val="auto"/>
        </w:rPr>
      </w:pPr>
    </w:p>
    <w:p>
      <w:pPr>
        <w:ind w:left="154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incorporated in Israel. Taxable income of Israeli companies is subject to tax at the rate of 24% in 2011 and 25% in 2012 and onwards.</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losses carry forward:</w:t>
      </w:r>
    </w:p>
    <w:p>
      <w:pPr>
        <w:spacing w:after="0" w:line="225" w:lineRule="exact"/>
        <w:rPr>
          <w:rFonts w:ascii="Times New Roman" w:cs="Times New Roman" w:eastAsia="Times New Roman" w:hAnsi="Times New Roman"/>
          <w:sz w:val="18"/>
          <w:szCs w:val="18"/>
          <w:color w:val="auto"/>
        </w:rPr>
      </w:pPr>
    </w:p>
    <w:p>
      <w:pPr>
        <w:ind w:left="154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225" w:lineRule="exact"/>
        <w:rPr>
          <w:rFonts w:ascii="Times New Roman" w:cs="Times New Roman" w:eastAsia="Times New Roman" w:hAnsi="Times New Roman"/>
          <w:sz w:val="18"/>
          <w:szCs w:val="18"/>
          <w:color w:val="auto"/>
        </w:rPr>
      </w:pPr>
    </w:p>
    <w:p>
      <w:pPr>
        <w:jc w:val="both"/>
        <w:ind w:left="154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2"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80" w:type="dxa"/>
            <w:vAlign w:val="bottom"/>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loss carryforward</w:t>
            </w:r>
          </w:p>
        </w:tc>
        <w:tc>
          <w:tcPr>
            <w:tcW w:w="840" w:type="dxa"/>
            <w:vAlign w:val="bottom"/>
            <w:shd w:val="clear" w:color="auto" w:fill="CCFFCC"/>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1,153</w:t>
            </w:r>
          </w:p>
        </w:tc>
        <w:tc>
          <w:tcPr>
            <w:tcW w:w="440" w:type="dxa"/>
            <w:vAlign w:val="bottom"/>
            <w:shd w:val="clear" w:color="auto" w:fill="CCFFC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Reserves and allowances</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r>
      <w:tr>
        <w:trPr>
          <w:trHeight w:val="210"/>
        </w:trPr>
        <w:tc>
          <w:tcPr>
            <w:tcW w:w="696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 before valuation allowance</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1,461</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6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w w:val="95"/>
              </w:rPr>
              <w:t>(1,461)</w:t>
            </w: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r>
      <w:tr>
        <w:trPr>
          <w:trHeight w:val="210"/>
        </w:trPr>
        <w:tc>
          <w:tcPr>
            <w:tcW w:w="69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840" w:type="dxa"/>
            <w:vAlign w:val="bottom"/>
            <w:shd w:val="clear" w:color="auto" w:fill="CCFFCC"/>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FFC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198" w:lineRule="exact"/>
        <w:rPr>
          <w:sz w:val="20"/>
          <w:szCs w:val="20"/>
          <w:color w:val="auto"/>
        </w:rPr>
      </w:pPr>
    </w:p>
    <w:p>
      <w:pPr>
        <w:jc w:val="both"/>
        <w:ind w:left="1540" w:right="60"/>
        <w:spacing w:after="0" w:line="261" w:lineRule="auto"/>
        <w:rPr>
          <w:sz w:val="20"/>
          <w:szCs w:val="20"/>
          <w:color w:val="auto"/>
        </w:rPr>
      </w:pPr>
      <w:r>
        <w:rPr>
          <w:rFonts w:ascii="Times New Roman" w:cs="Times New Roman" w:eastAsia="Times New Roman" w:hAnsi="Times New Roman"/>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0" w:lineRule="exact"/>
        <w:rPr>
          <w:sz w:val="20"/>
          <w:szCs w:val="20"/>
          <w:color w:val="auto"/>
        </w:rPr>
      </w:pPr>
    </w:p>
    <w:p>
      <w:pPr>
        <w:ind w:left="1520" w:hanging="499"/>
        <w:spacing w:after="0"/>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liability for uncertain tax positions was recorded as a result of implementation of ASC 740.</w:t>
      </w:r>
    </w:p>
    <w:p>
      <w:pPr>
        <w:spacing w:after="0" w:line="225" w:lineRule="exact"/>
        <w:rPr>
          <w:rFonts w:ascii="Times New Roman" w:cs="Times New Roman" w:eastAsia="Times New Roman" w:hAnsi="Times New Roman"/>
          <w:sz w:val="18"/>
          <w:szCs w:val="18"/>
          <w:color w:val="auto"/>
        </w:rPr>
      </w:pPr>
    </w:p>
    <w:p>
      <w:pPr>
        <w:jc w:val="both"/>
        <w:ind w:left="1520" w:right="80" w:hanging="499"/>
        <w:spacing w:after="0" w:line="266" w:lineRule="auto"/>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0" w:right="1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CONTINGENT LIABILITIES AND COMMITMENTS</w:t>
      </w:r>
    </w:p>
    <w:p>
      <w:pPr>
        <w:spacing w:after="0" w:line="229" w:lineRule="exact"/>
        <w:rPr>
          <w:sz w:val="20"/>
          <w:szCs w:val="20"/>
          <w:color w:val="auto"/>
        </w:rPr>
      </w:pPr>
    </w:p>
    <w:p>
      <w:pPr>
        <w:ind w:left="1520" w:hanging="499"/>
        <w:spacing w:after="0" w:line="282" w:lineRule="auto"/>
        <w:tabs>
          <w:tab w:leader="none" w:pos="1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61" w:lineRule="exact"/>
        <w:rPr>
          <w:rFonts w:ascii="Times New Roman" w:cs="Times New Roman" w:eastAsia="Times New Roman" w:hAnsi="Times New Roman"/>
          <w:sz w:val="18"/>
          <w:szCs w:val="18"/>
          <w:color w:val="auto"/>
        </w:rPr>
      </w:pPr>
    </w:p>
    <w:p>
      <w:pPr>
        <w:ind w:left="1520" w:hanging="499"/>
        <w:spacing w:after="0" w:line="282" w:lineRule="auto"/>
        <w:tabs>
          <w:tab w:leader="none" w:pos="1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29"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196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60" w:type="dxa"/>
            <w:vAlign w:val="bottom"/>
            <w:shd w:val="clear" w:color="auto" w:fill="CCFFCC"/>
          </w:tcPr>
          <w:p>
            <w:pPr>
              <w:jc w:val="right"/>
              <w:ind w:right="1450"/>
              <w:spacing w:after="0"/>
              <w:rPr>
                <w:sz w:val="20"/>
                <w:szCs w:val="20"/>
                <w:color w:val="auto"/>
              </w:rPr>
            </w:pPr>
            <w:r>
              <w:rPr>
                <w:rFonts w:ascii="Times New Roman" w:cs="Times New Roman" w:eastAsia="Times New Roman" w:hAnsi="Times New Roman"/>
                <w:sz w:val="18"/>
                <w:szCs w:val="18"/>
                <w:color w:val="auto"/>
              </w:rPr>
              <w:t>2013</w:t>
            </w:r>
          </w:p>
        </w:tc>
        <w:tc>
          <w:tcPr>
            <w:tcW w:w="45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FFCC"/>
          </w:tcPr>
          <w:p>
            <w:pPr>
              <w:spacing w:after="0"/>
              <w:rPr>
                <w:sz w:val="18"/>
                <w:szCs w:val="18"/>
                <w:color w:val="auto"/>
              </w:rPr>
            </w:pPr>
          </w:p>
        </w:tc>
      </w:tr>
      <w:tr>
        <w:trPr>
          <w:trHeight w:val="230"/>
        </w:trPr>
        <w:tc>
          <w:tcPr>
            <w:tcW w:w="19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2014</w:t>
            </w:r>
          </w:p>
        </w:tc>
        <w:tc>
          <w:tcPr>
            <w:tcW w:w="4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1960" w:type="dxa"/>
            <w:vAlign w:val="bottom"/>
            <w:tcBorders>
              <w:top w:val="single" w:sz="8" w:color="CCFFCC"/>
            </w:tcBorders>
            <w:shd w:val="clear" w:color="auto" w:fill="CCFFCC"/>
          </w:tcPr>
          <w:p>
            <w:pPr>
              <w:spacing w:after="0"/>
              <w:rPr>
                <w:sz w:val="18"/>
                <w:szCs w:val="18"/>
                <w:color w:val="auto"/>
              </w:rPr>
            </w:pPr>
          </w:p>
        </w:tc>
        <w:tc>
          <w:tcPr>
            <w:tcW w:w="45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19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20" w:hanging="499"/>
        <w:spacing w:after="0"/>
        <w:tabs>
          <w:tab w:leader="none" w:pos="1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bearing Government grants:</w:t>
      </w:r>
    </w:p>
    <w:p>
      <w:pPr>
        <w:spacing w:after="0" w:line="225"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61" w:lineRule="exact"/>
        <w:rPr>
          <w:rFonts w:ascii="Times New Roman" w:cs="Times New Roman" w:eastAsia="Times New Roman" w:hAnsi="Times New Roman"/>
          <w:sz w:val="18"/>
          <w:szCs w:val="18"/>
          <w:color w:val="auto"/>
        </w:rPr>
      </w:pPr>
    </w:p>
    <w:p>
      <w:pPr>
        <w:jc w:val="both"/>
        <w:ind w:left="15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(DEFICIENCY)</w:t>
      </w:r>
    </w:p>
    <w:p>
      <w:pPr>
        <w:spacing w:after="0" w:line="229" w:lineRule="exact"/>
        <w:rPr>
          <w:sz w:val="20"/>
          <w:szCs w:val="20"/>
          <w:color w:val="auto"/>
        </w:rPr>
      </w:pPr>
    </w:p>
    <w:p>
      <w:pPr>
        <w:ind w:left="1520" w:hanging="499"/>
        <w:spacing w:after="0"/>
        <w:tabs>
          <w:tab w:leader="none" w:pos="1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225" w:lineRule="exact"/>
        <w:rPr>
          <w:rFonts w:ascii="Times New Roman" w:cs="Times New Roman" w:eastAsia="Times New Roman" w:hAnsi="Times New Roman"/>
          <w:sz w:val="18"/>
          <w:szCs w:val="18"/>
          <w:color w:val="auto"/>
        </w:rPr>
      </w:pPr>
    </w:p>
    <w:p>
      <w:pPr>
        <w:jc w:val="both"/>
        <w:ind w:left="1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to be effective immediately prior to the effectiveness of the registration statement.</w:t>
      </w:r>
    </w:p>
    <w:p>
      <w:pPr>
        <w:spacing w:after="0" w:line="176"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w:t>
      </w:r>
    </w:p>
    <w:p>
      <w:pPr>
        <w:spacing w:after="0" w:line="225" w:lineRule="exact"/>
        <w:rPr>
          <w:rFonts w:ascii="Times New Roman" w:cs="Times New Roman" w:eastAsia="Times New Roman" w:hAnsi="Times New Roman"/>
          <w:sz w:val="18"/>
          <w:szCs w:val="18"/>
          <w:color w:val="auto"/>
        </w:rPr>
      </w:pPr>
    </w:p>
    <w:p>
      <w:pPr>
        <w:ind w:left="1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61" w:lineRule="exact"/>
        <w:rPr>
          <w:rFonts w:ascii="Times New Roman" w:cs="Times New Roman" w:eastAsia="Times New Roman" w:hAnsi="Times New Roman"/>
          <w:sz w:val="18"/>
          <w:szCs w:val="18"/>
          <w:color w:val="auto"/>
        </w:rPr>
      </w:pPr>
    </w:p>
    <w:p>
      <w:pPr>
        <w:ind w:left="1520" w:hanging="499"/>
        <w:spacing w:after="0"/>
        <w:tabs>
          <w:tab w:leader="none" w:pos="1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shares:</w:t>
      </w:r>
    </w:p>
    <w:p>
      <w:pPr>
        <w:spacing w:after="0" w:line="225" w:lineRule="exact"/>
        <w:rPr>
          <w:rFonts w:ascii="Times New Roman" w:cs="Times New Roman" w:eastAsia="Times New Roman" w:hAnsi="Times New Roman"/>
          <w:sz w:val="18"/>
          <w:szCs w:val="18"/>
          <w:color w:val="auto"/>
        </w:rPr>
      </w:pPr>
    </w:p>
    <w:p>
      <w:pPr>
        <w:ind w:left="2040" w:hanging="506"/>
        <w:spacing w:after="0"/>
        <w:tabs>
          <w:tab w:leader="none" w:pos="20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2008, (inception day) the Company issued 5,752,600 Ordinary shares in consideration of their par value.</w:t>
      </w:r>
    </w:p>
    <w:p>
      <w:pPr>
        <w:spacing w:after="0" w:line="225" w:lineRule="exact"/>
        <w:rPr>
          <w:rFonts w:ascii="Times New Roman" w:cs="Times New Roman" w:eastAsia="Times New Roman" w:hAnsi="Times New Roman"/>
          <w:sz w:val="18"/>
          <w:szCs w:val="18"/>
          <w:color w:val="auto"/>
        </w:rPr>
      </w:pPr>
    </w:p>
    <w:p>
      <w:pPr>
        <w:ind w:left="2040" w:right="20" w:hanging="506"/>
        <w:spacing w:after="0" w:line="282" w:lineRule="auto"/>
        <w:tabs>
          <w:tab w:leader="none" w:pos="20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2008, the Company entered into an investment agreement, according to the agreement, the Company issued 434,814 Preferred A shares in consideration of $400.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(DEFICIENCY) (Cont.)</w:t>
      </w:r>
    </w:p>
    <w:p>
      <w:pPr>
        <w:spacing w:after="0" w:line="229" w:lineRule="exact"/>
        <w:rPr>
          <w:sz w:val="20"/>
          <w:szCs w:val="20"/>
          <w:color w:val="auto"/>
        </w:rPr>
      </w:pPr>
    </w:p>
    <w:p>
      <w:pPr>
        <w:jc w:val="both"/>
        <w:ind w:left="2040" w:right="20" w:hanging="506"/>
        <w:spacing w:after="0" w:line="266" w:lineRule="auto"/>
        <w:tabs>
          <w:tab w:leader="none" w:pos="2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76" w:lineRule="exact"/>
        <w:rPr>
          <w:rFonts w:ascii="Times New Roman" w:cs="Times New Roman" w:eastAsia="Times New Roman" w:hAnsi="Times New Roman"/>
          <w:sz w:val="18"/>
          <w:szCs w:val="18"/>
          <w:color w:val="auto"/>
        </w:rPr>
      </w:pPr>
    </w:p>
    <w:p>
      <w:pPr>
        <w:jc w:val="both"/>
        <w:ind w:left="20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76"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2009, the Investor carried out the rest of the services and an additional 190,229 Preferred A shares were issued.</w:t>
      </w:r>
    </w:p>
    <w:p>
      <w:pPr>
        <w:spacing w:after="0" w:line="225" w:lineRule="exact"/>
        <w:rPr>
          <w:rFonts w:ascii="Times New Roman" w:cs="Times New Roman" w:eastAsia="Times New Roman" w:hAnsi="Times New Roman"/>
          <w:sz w:val="18"/>
          <w:szCs w:val="18"/>
          <w:color w:val="auto"/>
        </w:rPr>
      </w:pPr>
    </w:p>
    <w:p>
      <w:pPr>
        <w:jc w:val="both"/>
        <w:ind w:left="2040" w:right="20" w:hanging="506"/>
        <w:spacing w:after="0" w:line="313" w:lineRule="auto"/>
        <w:tabs>
          <w:tab w:leader="none" w:pos="20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38" w:lineRule="exact"/>
        <w:rPr>
          <w:rFonts w:ascii="Times New Roman" w:cs="Times New Roman" w:eastAsia="Times New Roman" w:hAnsi="Times New Roman"/>
          <w:sz w:val="17"/>
          <w:szCs w:val="17"/>
          <w:color w:val="auto"/>
        </w:rPr>
      </w:pPr>
    </w:p>
    <w:p>
      <w:pPr>
        <w:ind w:left="2040" w:hanging="506"/>
        <w:spacing w:after="0" w:line="282" w:lineRule="auto"/>
        <w:tabs>
          <w:tab w:leader="none" w:pos="2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61" w:lineRule="exact"/>
        <w:rPr>
          <w:rFonts w:ascii="Times New Roman" w:cs="Times New Roman" w:eastAsia="Times New Roman" w:hAnsi="Times New Roman"/>
          <w:sz w:val="18"/>
          <w:szCs w:val="18"/>
          <w:color w:val="auto"/>
        </w:rPr>
      </w:pPr>
    </w:p>
    <w:p>
      <w:pPr>
        <w:jc w:val="both"/>
        <w:ind w:left="2040" w:right="20" w:hanging="506"/>
        <w:spacing w:after="0" w:line="261" w:lineRule="auto"/>
        <w:tabs>
          <w:tab w:leader="none" w:pos="2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80" w:lineRule="exact"/>
        <w:rPr>
          <w:rFonts w:ascii="Times New Roman" w:cs="Times New Roman" w:eastAsia="Times New Roman" w:hAnsi="Times New Roman"/>
          <w:sz w:val="18"/>
          <w:szCs w:val="18"/>
          <w:color w:val="auto"/>
        </w:rPr>
      </w:pPr>
    </w:p>
    <w:p>
      <w:pPr>
        <w:jc w:val="both"/>
        <w:ind w:left="20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80" w:lineRule="exact"/>
        <w:rPr>
          <w:rFonts w:ascii="Times New Roman" w:cs="Times New Roman" w:eastAsia="Times New Roman" w:hAnsi="Times New Roman"/>
          <w:sz w:val="18"/>
          <w:szCs w:val="18"/>
          <w:color w:val="auto"/>
        </w:rPr>
      </w:pPr>
    </w:p>
    <w:p>
      <w:pPr>
        <w:ind w:left="20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2010, additional 159,335 preferred B shares and 39,834 warrants to preferred B-3 were issued for a total consideration of $323 (net of $26 issuance expenses).</w:t>
      </w:r>
    </w:p>
    <w:p>
      <w:pPr>
        <w:spacing w:after="0" w:line="161" w:lineRule="exact"/>
        <w:rPr>
          <w:rFonts w:ascii="Times New Roman" w:cs="Times New Roman" w:eastAsia="Times New Roman" w:hAnsi="Times New Roman"/>
          <w:sz w:val="18"/>
          <w:szCs w:val="18"/>
          <w:color w:val="auto"/>
        </w:rPr>
      </w:pPr>
    </w:p>
    <w:p>
      <w:pPr>
        <w:jc w:val="both"/>
        <w:ind w:left="2040" w:hanging="506"/>
        <w:spacing w:after="0" w:line="256" w:lineRule="auto"/>
        <w:tabs>
          <w:tab w:leader="none" w:pos="2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(DEFICIENCY) (Cont.)</w:t>
      </w:r>
    </w:p>
    <w:p>
      <w:pPr>
        <w:spacing w:after="0" w:line="229" w:lineRule="exact"/>
        <w:rPr>
          <w:sz w:val="20"/>
          <w:szCs w:val="20"/>
          <w:color w:val="auto"/>
        </w:rPr>
      </w:pPr>
    </w:p>
    <w:p>
      <w:pPr>
        <w:jc w:val="both"/>
        <w:ind w:left="2040" w:right="20"/>
        <w:spacing w:after="0" w:line="256" w:lineRule="auto"/>
        <w:rPr>
          <w:sz w:val="20"/>
          <w:szCs w:val="20"/>
          <w:color w:val="auto"/>
        </w:rPr>
      </w:pPr>
      <w:r>
        <w:rPr>
          <w:rFonts w:ascii="Times New Roman" w:cs="Times New Roman" w:eastAsia="Times New Roman" w:hAnsi="Times New Roman"/>
          <w:sz w:val="18"/>
          <w:szCs w:val="18"/>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88" w:lineRule="exact"/>
        <w:rPr>
          <w:sz w:val="20"/>
          <w:szCs w:val="20"/>
          <w:color w:val="auto"/>
        </w:rPr>
      </w:pPr>
    </w:p>
    <w:p>
      <w:pPr>
        <w:jc w:val="both"/>
        <w:ind w:left="2040"/>
        <w:spacing w:after="0" w:line="255" w:lineRule="auto"/>
        <w:rPr>
          <w:sz w:val="20"/>
          <w:szCs w:val="20"/>
          <w:color w:val="auto"/>
        </w:rPr>
      </w:pPr>
      <w:r>
        <w:rPr>
          <w:rFonts w:ascii="Times New Roman" w:cs="Times New Roman" w:eastAsia="Times New Roman" w:hAnsi="Times New Roman"/>
          <w:sz w:val="18"/>
          <w:szCs w:val="18"/>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 $ 180 for the year ended December 31, 2011.</w:t>
      </w:r>
    </w:p>
    <w:p>
      <w:pPr>
        <w:spacing w:after="0" w:line="189" w:lineRule="exact"/>
        <w:rPr>
          <w:sz w:val="20"/>
          <w:szCs w:val="20"/>
          <w:color w:val="auto"/>
        </w:rPr>
      </w:pPr>
    </w:p>
    <w:p>
      <w:pPr>
        <w:ind w:left="1520" w:hanging="499"/>
        <w:spacing w:after="0"/>
        <w:tabs>
          <w:tab w:leader="none" w:pos="1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2010 incentive option plan:</w:t>
      </w:r>
    </w:p>
    <w:p>
      <w:pPr>
        <w:spacing w:after="0" w:line="225" w:lineRule="exact"/>
        <w:rPr>
          <w:rFonts w:ascii="Times New Roman" w:cs="Times New Roman" w:eastAsia="Times New Roman" w:hAnsi="Times New Roman"/>
          <w:sz w:val="18"/>
          <w:szCs w:val="18"/>
          <w:color w:val="auto"/>
        </w:rPr>
      </w:pPr>
    </w:p>
    <w:p>
      <w:pPr>
        <w:jc w:val="both"/>
        <w:ind w:left="1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9:- SHAREHOLDERS' EQUITY (DEFICIENCY) (Cont.)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44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465,520</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544,472</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0.33</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r>
      <w:tr>
        <w:trPr>
          <w:trHeight w:val="230"/>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(77,572)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461,118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465,520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461,118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465,520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366,464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305,017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540" w:right="20"/>
        <w:spacing w:after="0" w:line="266" w:lineRule="auto"/>
        <w:rPr>
          <w:sz w:val="20"/>
          <w:szCs w:val="20"/>
          <w:color w:val="auto"/>
        </w:rPr>
      </w:pPr>
      <w:r>
        <w:rPr>
          <w:rFonts w:ascii="Times New Roman" w:cs="Times New Roman" w:eastAsia="Times New Roman" w:hAnsi="Times New Roman"/>
          <w:sz w:val="18"/>
          <w:szCs w:val="18"/>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76" w:lineRule="exact"/>
        <w:rPr>
          <w:sz w:val="20"/>
          <w:szCs w:val="20"/>
          <w:color w:val="auto"/>
        </w:rPr>
      </w:pPr>
    </w:p>
    <w:p>
      <w:pPr>
        <w:jc w:val="both"/>
        <w:ind w:left="1520"/>
        <w:spacing w:after="0" w:line="258" w:lineRule="auto"/>
        <w:rPr>
          <w:sz w:val="20"/>
          <w:szCs w:val="20"/>
          <w:color w:val="auto"/>
        </w:rPr>
      </w:pPr>
      <w:r>
        <w:rPr>
          <w:rFonts w:ascii="Times New Roman" w:cs="Times New Roman" w:eastAsia="Times New Roman" w:hAnsi="Times New Roman"/>
          <w:sz w:val="18"/>
          <w:szCs w:val="18"/>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84" w:lineRule="exact"/>
        <w:rPr>
          <w:sz w:val="20"/>
          <w:szCs w:val="20"/>
          <w:color w:val="auto"/>
        </w:rPr>
      </w:pPr>
    </w:p>
    <w:p>
      <w:pPr>
        <w:jc w:val="both"/>
        <w:ind w:left="1520" w:right="20"/>
        <w:spacing w:after="0" w:line="282" w:lineRule="auto"/>
        <w:rPr>
          <w:sz w:val="20"/>
          <w:szCs w:val="20"/>
          <w:color w:val="auto"/>
        </w:rPr>
      </w:pPr>
      <w:r>
        <w:rPr>
          <w:rFonts w:ascii="Times New Roman" w:cs="Times New Roman" w:eastAsia="Times New Roman" w:hAnsi="Times New Roman"/>
          <w:sz w:val="18"/>
          <w:szCs w:val="18"/>
          <w:color w:val="auto"/>
        </w:rPr>
        <w:t>According to ASC-718-10-20, compensation cost will be recognized if the performance condition is satisfied. As of December 31, 2012, no compensation cost was recognized.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(DEFICIENCY) (Cont.)</w:t>
      </w:r>
    </w:p>
    <w:p>
      <w:pPr>
        <w:spacing w:after="0" w:line="229" w:lineRule="exact"/>
        <w:rPr>
          <w:sz w:val="20"/>
          <w:szCs w:val="20"/>
          <w:color w:val="auto"/>
        </w:rPr>
      </w:pPr>
    </w:p>
    <w:p>
      <w:pPr>
        <w:jc w:val="both"/>
        <w:ind w:left="1520" w:right="20"/>
        <w:spacing w:after="0" w:line="258" w:lineRule="auto"/>
        <w:rPr>
          <w:sz w:val="20"/>
          <w:szCs w:val="20"/>
          <w:color w:val="auto"/>
        </w:rPr>
      </w:pPr>
      <w:r>
        <w:rPr>
          <w:rFonts w:ascii="Times New Roman" w:cs="Times New Roman" w:eastAsia="Times New Roman" w:hAnsi="Times New Roman"/>
          <w:sz w:val="18"/>
          <w:szCs w:val="18"/>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4" w:lineRule="exact"/>
        <w:rPr>
          <w:sz w:val="20"/>
          <w:szCs w:val="20"/>
          <w:color w:val="auto"/>
        </w:rPr>
      </w:pPr>
    </w:p>
    <w:p>
      <w:pPr>
        <w:jc w:val="both"/>
        <w:ind w:left="1520" w:right="20"/>
        <w:spacing w:after="0" w:line="282" w:lineRule="auto"/>
        <w:rPr>
          <w:sz w:val="20"/>
          <w:szCs w:val="20"/>
          <w:color w:val="auto"/>
        </w:rPr>
      </w:pPr>
      <w:r>
        <w:rPr>
          <w:rFonts w:ascii="Times New Roman" w:cs="Times New Roman" w:eastAsia="Times New Roman" w:hAnsi="Times New Roman"/>
          <w:sz w:val="18"/>
          <w:szCs w:val="18"/>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62" w:lineRule="exact"/>
        <w:rPr>
          <w:sz w:val="20"/>
          <w:szCs w:val="20"/>
          <w:color w:val="auto"/>
        </w:rPr>
      </w:pPr>
    </w:p>
    <w:p>
      <w:pPr>
        <w:ind w:left="1520" w:hanging="499"/>
        <w:spacing w:after="0"/>
        <w:tabs>
          <w:tab w:leader="none" w:pos="1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consultants:</w:t>
      </w:r>
    </w:p>
    <w:p>
      <w:pPr>
        <w:spacing w:after="0" w:line="225" w:lineRule="exact"/>
        <w:rPr>
          <w:rFonts w:ascii="Times New Roman" w:cs="Times New Roman" w:eastAsia="Times New Roman" w:hAnsi="Times New Roman"/>
          <w:sz w:val="18"/>
          <w:szCs w:val="18"/>
          <w:color w:val="auto"/>
        </w:rPr>
      </w:pPr>
    </w:p>
    <w:p>
      <w:pPr>
        <w:ind w:left="1540" w:right="98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80" w:type="dxa"/>
            <w:vAlign w:val="bottom"/>
          </w:tcPr>
          <w:p>
            <w:pPr>
              <w:spacing w:after="0"/>
              <w:rPr>
                <w:sz w:val="20"/>
                <w:szCs w:val="20"/>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30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April 2, 2008</w:t>
            </w:r>
          </w:p>
        </w:tc>
        <w:tc>
          <w:tcPr>
            <w:tcW w:w="1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230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0.0005</w:t>
            </w:r>
          </w:p>
        </w:tc>
        <w:tc>
          <w:tcPr>
            <w:tcW w:w="3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February 28, 2010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2.184</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February 13, 2011</w:t>
            </w:r>
          </w:p>
        </w:tc>
        <w:tc>
          <w:tcPr>
            <w:tcW w:w="1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30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0.0005</w:t>
            </w:r>
          </w:p>
        </w:tc>
        <w:tc>
          <w:tcPr>
            <w:tcW w:w="3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300" w:type="dxa"/>
            <w:vAlign w:val="bottom"/>
            <w:tcBorders>
              <w:bottom w:val="single" w:sz="8" w:color="CCFFCC"/>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0.0005</w:t>
            </w:r>
          </w:p>
        </w:tc>
        <w:tc>
          <w:tcPr>
            <w:tcW w:w="30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8"/>
                <w:szCs w:val="18"/>
                <w:color w:val="auto"/>
              </w:rPr>
              <w:t>February 17,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72,483*)</w:t>
            </w: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w:t>
      </w:r>
    </w:p>
    <w:p>
      <w:pPr>
        <w:spacing w:after="0" w:line="225"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based expense recognized in the financial statements for services received from employees and non-employees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February 7, 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 of inception)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 December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0" w:type="dxa"/>
            <w:vAlign w:val="bottom"/>
            <w:gridSpan w:val="2"/>
            <w:shd w:val="clear" w:color="auto" w:fill="CCFFC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FFC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Represents an amount lower than $ 1.</w:t>
            </w: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60" w:type="dxa"/>
            <w:vAlign w:val="bottom"/>
            <w:gridSpan w:val="2"/>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F-21</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jc w:val="center"/>
        <w:ind w:right="6080"/>
        <w:spacing w:after="0"/>
        <w:rPr>
          <w:sz w:val="20"/>
          <w:szCs w:val="20"/>
          <w:color w:val="auto"/>
        </w:rPr>
      </w:pPr>
      <w:r>
        <w:rPr>
          <w:rFonts w:ascii="Times New Roman" w:cs="Times New Roman" w:eastAsia="Times New Roman" w:hAnsi="Times New Roman"/>
          <w:sz w:val="17"/>
          <w:szCs w:val="17"/>
          <w:b w:val="1"/>
          <w:bCs w:val="1"/>
          <w:color w:val="auto"/>
        </w:rPr>
        <w:t>NOTE 10:- RELATED PARTY BALANCES AND TRANSACTIONS</w:t>
      </w:r>
    </w:p>
    <w:p>
      <w:pPr>
        <w:spacing w:after="0" w:line="24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Balances with related parties: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Convertible Notes (Note 6 (b))</w:t>
            </w:r>
          </w:p>
        </w:tc>
        <w:tc>
          <w:tcPr>
            <w:tcW w:w="1420" w:type="dxa"/>
            <w:vAlign w:val="bottom"/>
            <w:shd w:val="clear" w:color="auto" w:fill="CCFFC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610</w:t>
            </w:r>
          </w:p>
        </w:tc>
        <w:tc>
          <w:tcPr>
            <w:tcW w:w="640" w:type="dxa"/>
            <w:vAlign w:val="bottom"/>
            <w:shd w:val="clear" w:color="auto" w:fill="CCFFC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Other accounts payable (c)</w:t>
            </w:r>
          </w:p>
        </w:tc>
        <w:tc>
          <w:tcPr>
            <w:tcW w:w="1420" w:type="dxa"/>
            <w:vAlign w:val="bottom"/>
            <w:shd w:val="clear" w:color="auto" w:fill="CCFFC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shd w:val="clear" w:color="auto" w:fill="CCFFC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FFC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bottom w:val="single" w:sz="8" w:color="CCFFCC"/>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Amounts charged to: *)</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 (a) (b) (c) (d)</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0" w:type="dxa"/>
            <w:vAlign w:val="bottom"/>
            <w:tcBorders>
              <w:top w:val="single" w:sz="8" w:color="CCFFCC"/>
            </w:tcBorders>
            <w:shd w:val="clear" w:color="auto" w:fill="CCFFCC"/>
          </w:tcPr>
          <w:p>
            <w:pPr>
              <w:spacing w:after="0"/>
              <w:rPr>
                <w:sz w:val="17"/>
                <w:szCs w:val="17"/>
                <w:color w:val="auto"/>
              </w:rPr>
            </w:pPr>
          </w:p>
        </w:tc>
        <w:tc>
          <w:tcPr>
            <w:tcW w:w="4620" w:type="dxa"/>
            <w:vAlign w:val="bottom"/>
            <w:tcBorders>
              <w:top w:val="single" w:sz="8" w:color="CCFFCC"/>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6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640" w:type="dxa"/>
            <w:vAlign w:val="bottom"/>
            <w:tcBorders>
              <w:top w:val="single" w:sz="8" w:color="auto"/>
            </w:tcBorders>
            <w:shd w:val="clear" w:color="auto" w:fill="CCFFCC"/>
          </w:tcPr>
          <w:p>
            <w:pPr>
              <w:spacing w:after="0"/>
              <w:rPr>
                <w:sz w:val="17"/>
                <w:szCs w:val="17"/>
                <w:color w:val="auto"/>
              </w:rPr>
            </w:pPr>
          </w:p>
        </w:tc>
        <w:tc>
          <w:tcPr>
            <w:tcW w:w="13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expense (Note 6 (b))</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580" w:hanging="128"/>
        <w:spacing w:after="0"/>
        <w:tabs>
          <w:tab w:leader="none" w:pos="25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1,394, respectively.</w:t>
      </w:r>
    </w:p>
    <w:p>
      <w:pPr>
        <w:spacing w:after="0" w:line="206" w:lineRule="exact"/>
        <w:rPr>
          <w:rFonts w:ascii="Times New Roman" w:cs="Times New Roman" w:eastAsia="Times New Roman" w:hAnsi="Times New Roman"/>
          <w:sz w:val="18"/>
          <w:szCs w:val="18"/>
          <w:color w:val="auto"/>
        </w:rPr>
      </w:pPr>
    </w:p>
    <w:p>
      <w:pPr>
        <w:ind w:left="1520" w:right="20" w:hanging="499"/>
        <w:spacing w:after="0" w:line="282" w:lineRule="auto"/>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61" w:lineRule="exact"/>
        <w:rPr>
          <w:rFonts w:ascii="Times New Roman" w:cs="Times New Roman" w:eastAsia="Times New Roman" w:hAnsi="Times New Roman"/>
          <w:sz w:val="18"/>
          <w:szCs w:val="18"/>
          <w:color w:val="auto"/>
        </w:rPr>
      </w:pPr>
    </w:p>
    <w:p>
      <w:pPr>
        <w:jc w:val="both"/>
        <w:ind w:left="1520" w:right="20" w:hanging="499"/>
        <w:spacing w:after="0" w:line="266" w:lineRule="auto"/>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76" w:lineRule="exact"/>
        <w:rPr>
          <w:rFonts w:ascii="Times New Roman" w:cs="Times New Roman" w:eastAsia="Times New Roman" w:hAnsi="Times New Roman"/>
          <w:sz w:val="18"/>
          <w:szCs w:val="18"/>
          <w:color w:val="auto"/>
        </w:rPr>
      </w:pPr>
    </w:p>
    <w:p>
      <w:pPr>
        <w:ind w:left="1520" w:right="20" w:hanging="499"/>
        <w:spacing w:after="0" w:line="282" w:lineRule="auto"/>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61" w:lineRule="exact"/>
        <w:rPr>
          <w:rFonts w:ascii="Times New Roman" w:cs="Times New Roman" w:eastAsia="Times New Roman" w:hAnsi="Times New Roman"/>
          <w:sz w:val="18"/>
          <w:szCs w:val="18"/>
          <w:color w:val="auto"/>
        </w:rPr>
      </w:pPr>
    </w:p>
    <w:p>
      <w:pPr>
        <w:jc w:val="both"/>
        <w:ind w:left="1520" w:hanging="499"/>
        <w:spacing w:after="0" w:line="261" w:lineRule="auto"/>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ALCOBRA LTD.</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FINANCIAL EXPENSES, NET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February 7, 2008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Exchange rate</w:t>
            </w:r>
          </w:p>
        </w:tc>
        <w:tc>
          <w:tcPr>
            <w:tcW w:w="9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convertible notes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BASIC AND DILUTED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of Ordinary share:</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loss attributable to Ordinary shares as reported</w:t>
            </w:r>
          </w:p>
        </w:tc>
        <w:tc>
          <w:tcPr>
            <w:tcW w:w="10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(1,579)</w:t>
            </w:r>
          </w:p>
        </w:tc>
        <w:tc>
          <w:tcPr>
            <w:tcW w:w="420" w:type="dxa"/>
            <w:vAlign w:val="bottom"/>
            <w:shd w:val="clear" w:color="auto" w:fill="CCFFC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of Ordinary shares, basic and diluted</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7,791,932</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7,843,388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loss per share of Ordinary share, basic and diluted</w:t>
            </w:r>
          </w:p>
        </w:tc>
        <w:tc>
          <w:tcPr>
            <w:tcW w:w="10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FFC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right="2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jc w:val="both"/>
        <w:ind w:left="1340" w:hanging="319"/>
        <w:spacing w:after="0" w:line="266" w:lineRule="auto"/>
        <w:tabs>
          <w:tab w:leader="none" w:pos="1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NOTE 13:- SUBSEQUENT EVENTS (Cont.)</w:t>
      </w:r>
    </w:p>
    <w:p>
      <w:pPr>
        <w:spacing w:after="0" w:line="229" w:lineRule="exact"/>
        <w:rPr>
          <w:sz w:val="20"/>
          <w:szCs w:val="20"/>
          <w:color w:val="auto"/>
        </w:rPr>
      </w:pPr>
    </w:p>
    <w:p>
      <w:pPr>
        <w:ind w:left="1340" w:hanging="319"/>
        <w:spacing w:after="0" w:line="282" w:lineRule="auto"/>
        <w:tabs>
          <w:tab w:leader="none" w:pos="1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61" w:lineRule="exact"/>
        <w:rPr>
          <w:rFonts w:ascii="Times New Roman" w:cs="Times New Roman" w:eastAsia="Times New Roman" w:hAnsi="Times New Roman"/>
          <w:sz w:val="18"/>
          <w:szCs w:val="18"/>
          <w:color w:val="auto"/>
        </w:rPr>
      </w:pPr>
    </w:p>
    <w:p>
      <w:pPr>
        <w:jc w:val="both"/>
        <w:ind w:left="1340" w:hanging="319"/>
        <w:spacing w:after="0" w:line="261" w:lineRule="auto"/>
        <w:tabs>
          <w:tab w:leader="none" w:pos="1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80" w:lineRule="exact"/>
        <w:rPr>
          <w:rFonts w:ascii="Times New Roman" w:cs="Times New Roman" w:eastAsia="Times New Roman" w:hAnsi="Times New Roman"/>
          <w:sz w:val="18"/>
          <w:szCs w:val="18"/>
          <w:color w:val="auto"/>
        </w:rPr>
      </w:pPr>
    </w:p>
    <w:p>
      <w:pPr>
        <w:ind w:left="1340" w:hanging="319"/>
        <w:spacing w:after="0"/>
        <w:tabs>
          <w:tab w:leader="none" w:pos="1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2013, the Company's general meeting resolved to increase the Company’s authorized shares to 50,000,000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122" w:name="page123"/>
    <w:bookmarkEnd w:id="122"/>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1656080</wp:posOffset>
            </wp:positionV>
            <wp:extent cx="18097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713105</wp:posOffset>
            </wp:positionV>
            <wp:extent cx="1534795" cy="4972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196215</wp:posOffset>
            </wp:positionV>
            <wp:extent cx="1809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866140</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1329055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Officers and Employees</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60" w:hanging="328"/>
        <w:spacing w:after="0" w:line="258" w:lineRule="auto"/>
        <w:tabs>
          <w:tab w:leader="none" w:pos="660" w:val="left"/>
        </w:tabs>
        <w:numPr>
          <w:ilvl w:val="0"/>
          <w:numId w:val="10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3" w:lineRule="exact"/>
        <w:rPr>
          <w:rFonts w:ascii="Times New Roman" w:cs="Times New Roman" w:eastAsia="Times New Roman" w:hAnsi="Times New Roman"/>
          <w:sz w:val="18"/>
          <w:szCs w:val="18"/>
          <w:color w:val="A6A6A6"/>
        </w:rPr>
      </w:pPr>
    </w:p>
    <w:p>
      <w:pPr>
        <w:ind w:left="660" w:right="120" w:hanging="328"/>
        <w:spacing w:after="0" w:line="266" w:lineRule="auto"/>
        <w:tabs>
          <w:tab w:leader="none" w:pos="660" w:val="left"/>
        </w:tabs>
        <w:numPr>
          <w:ilvl w:val="0"/>
          <w:numId w:val="10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76"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Israeli company may insure a director or officer against the following liabilities incurred for acts performed as a director or officer:</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duty of care to the Company or to a third party, including a breach arising out of the negligent conduct of an office holder;</w:t>
      </w:r>
    </w:p>
    <w:p>
      <w:pPr>
        <w:spacing w:after="0" w:line="225" w:lineRule="exact"/>
        <w:rPr>
          <w:rFonts w:ascii="Times New Roman" w:cs="Times New Roman" w:eastAsia="Times New Roman" w:hAnsi="Times New Roman"/>
          <w:sz w:val="18"/>
          <w:szCs w:val="18"/>
          <w:color w:val="A6A6A6"/>
        </w:rPr>
      </w:pPr>
    </w:p>
    <w:p>
      <w:pPr>
        <w:ind w:left="660" w:right="440" w:hanging="328"/>
        <w:spacing w:after="0" w:line="282" w:lineRule="auto"/>
        <w:tabs>
          <w:tab w:leader="none" w:pos="660" w:val="left"/>
        </w:tabs>
        <w:numPr>
          <w:ilvl w:val="0"/>
          <w:numId w:val="10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82" w:lineRule="auto"/>
        <w:tabs>
          <w:tab w:leader="none" w:pos="660" w:val="left"/>
        </w:tabs>
        <w:numPr>
          <w:ilvl w:val="0"/>
          <w:numId w:val="10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duty of loyalty, except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breach of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an act or omission committed with intent to derive unlawful personal benefit; or</w:t>
      </w:r>
    </w:p>
    <w:p>
      <w:pPr>
        <w:spacing w:after="0" w:line="225" w:lineRule="exact"/>
        <w:rPr>
          <w:rFonts w:ascii="Times New Roman" w:cs="Times New Roman" w:eastAsia="Times New Roman" w:hAnsi="Times New Roman"/>
          <w:sz w:val="18"/>
          <w:szCs w:val="18"/>
          <w:color w:val="A6A6A6"/>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 fine, monetary sanction, penalty or forfeit levied against the office holder.</w:t>
      </w:r>
    </w:p>
    <w:p>
      <w:pPr>
        <w:spacing w:after="0" w:line="22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4" w:name="page125"/>
    <w:bookmarkEnd w:id="1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Recent Sales of Unregistered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are the sales of all securities by the Company since January 1, 2010.</w:t>
      </w:r>
    </w:p>
    <w:p>
      <w:pPr>
        <w:spacing w:after="0" w:line="225" w:lineRule="exact"/>
        <w:rPr>
          <w:sz w:val="20"/>
          <w:szCs w:val="20"/>
          <w:color w:val="auto"/>
        </w:rPr>
      </w:pPr>
    </w:p>
    <w:p>
      <w:pPr>
        <w:ind w:left="660" w:right="20" w:hanging="328"/>
        <w:spacing w:after="0" w:line="282" w:lineRule="auto"/>
        <w:tabs>
          <w:tab w:leader="none" w:pos="660" w:val="left"/>
        </w:tabs>
        <w:numPr>
          <w:ilvl w:val="0"/>
          <w:numId w:val="10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 February and August 2010 we issued an aggregate of 397,698 Series B1 preferred shares, convertible into ordinary shares on a one-for-one basis. The price per Series B1 preferred share was approximately $2.18 and the aggregate consideration received was approximately $867,000.</w:t>
      </w:r>
    </w:p>
    <w:p>
      <w:pPr>
        <w:spacing w:after="0" w:line="161" w:lineRule="exact"/>
        <w:rPr>
          <w:rFonts w:ascii="Times New Roman" w:cs="Times New Roman" w:eastAsia="Times New Roman" w:hAnsi="Times New Roman"/>
          <w:sz w:val="18"/>
          <w:szCs w:val="18"/>
          <w:color w:val="A6A6A6"/>
        </w:rPr>
      </w:pPr>
    </w:p>
    <w:p>
      <w:pPr>
        <w:ind w:left="640" w:right="160"/>
        <w:spacing w:after="0" w:line="282" w:lineRule="auto"/>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61" w:lineRule="exact"/>
        <w:rPr>
          <w:rFonts w:ascii="Times New Roman" w:cs="Times New Roman" w:eastAsia="Times New Roman" w:hAnsi="Times New Roman"/>
          <w:sz w:val="18"/>
          <w:szCs w:val="18"/>
          <w:color w:val="A6A6A6"/>
        </w:rPr>
      </w:pPr>
    </w:p>
    <w:p>
      <w:pPr>
        <w:ind w:left="640" w:right="20"/>
        <w:spacing w:after="0" w:line="266" w:lineRule="auto"/>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76" w:lineRule="exact"/>
        <w:rPr>
          <w:rFonts w:ascii="Times New Roman" w:cs="Times New Roman" w:eastAsia="Times New Roman" w:hAnsi="Times New Roman"/>
          <w:sz w:val="18"/>
          <w:szCs w:val="18"/>
          <w:color w:val="A6A6A6"/>
        </w:rPr>
      </w:pPr>
    </w:p>
    <w:p>
      <w:pPr>
        <w:ind w:left="660" w:hanging="328"/>
        <w:spacing w:after="0" w:line="282" w:lineRule="auto"/>
        <w:tabs>
          <w:tab w:leader="none" w:pos="660" w:val="left"/>
        </w:tabs>
        <w:numPr>
          <w:ilvl w:val="0"/>
          <w:numId w:val="10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 March 2011 we issued 304,324 ordinary shares, at a price per share of approximately $11.5 and an aggregate consideration of approximately $3.5 million.</w:t>
      </w:r>
    </w:p>
    <w:p>
      <w:pPr>
        <w:spacing w:after="0" w:line="161" w:lineRule="exact"/>
        <w:rPr>
          <w:rFonts w:ascii="Times New Roman" w:cs="Times New Roman" w:eastAsia="Times New Roman" w:hAnsi="Times New Roman"/>
          <w:sz w:val="18"/>
          <w:szCs w:val="18"/>
          <w:color w:val="A6A6A6"/>
        </w:rPr>
      </w:pPr>
    </w:p>
    <w:p>
      <w:pPr>
        <w:jc w:val="both"/>
        <w:ind w:left="660" w:hanging="328"/>
        <w:spacing w:after="0" w:line="261" w:lineRule="auto"/>
        <w:tabs>
          <w:tab w:leader="none" w:pos="660" w:val="left"/>
        </w:tabs>
        <w:numPr>
          <w:ilvl w:val="0"/>
          <w:numId w:val="107"/>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08"/>
        </w:numPr>
        <w:rPr>
          <w:rFonts w:ascii="Times New Roman" w:cs="Times New Roman" w:eastAsia="Times New Roman" w:hAnsi="Times New Roman"/>
          <w:sz w:val="18"/>
          <w:szCs w:val="18"/>
          <w:color w:val="A6A6A6"/>
        </w:rPr>
      </w:pPr>
      <w:r>
        <w:rPr>
          <w:rFonts w:ascii="Times New Roman" w:cs="Times New Roman" w:eastAsia="Times New Roman" w:hAnsi="Times New Roman"/>
          <w:sz w:val="18"/>
          <w:szCs w:val="18"/>
          <w:color w:val="auto"/>
        </w:rPr>
        <w:t>We granted options to employees, directors and consultants under our equity incentive plan covering an aggregate of 1,345,909 ordinary shares, with exercise prices ranging from $0.005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0"/>
        </w:trPr>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238"/>
        </w:trPr>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0" w:type="dxa"/>
            <w:vAlign w:val="bottom"/>
          </w:tcPr>
          <w:p>
            <w:pPr>
              <w:spacing w:after="0"/>
              <w:rPr>
                <w:sz w:val="20"/>
                <w:szCs w:val="20"/>
                <w:color w:val="auto"/>
              </w:rPr>
            </w:pPr>
          </w:p>
        </w:tc>
        <w:tc>
          <w:tcPr>
            <w:tcW w:w="890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26"/>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Form of Underwriting Agreement by and among the Company and the underwriters named therein.</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Amended and Restated Articles of Association of the Company, as currently in effect.</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Articles of Association of the Company, to be in effect upon completion of this offering.</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Form of a Convertible Note.</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Form of Representative’s Warrant.</w:t>
            </w:r>
          </w:p>
        </w:tc>
      </w:tr>
      <w:tr>
        <w:trPr>
          <w:trHeight w:val="414"/>
        </w:trPr>
        <w:tc>
          <w:tcPr>
            <w:tcW w:w="1720" w:type="dxa"/>
            <w:vAlign w:val="bottom"/>
          </w:tcPr>
          <w:p>
            <w:pPr>
              <w:spacing w:after="0"/>
              <w:rPr>
                <w:sz w:val="24"/>
                <w:szCs w:val="24"/>
                <w:color w:val="auto"/>
              </w:rPr>
            </w:pP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Opinion of Zysman, Aharoni, Gayer &amp; Co., Israeli counsel to the Company, as to the validity of the ordinary shares being</w:t>
            </w:r>
          </w:p>
        </w:tc>
      </w:tr>
      <w:tr>
        <w:trPr>
          <w:trHeight w:val="234"/>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offered (including consent).</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Consulting Agreement between the Company and Adler Consulting LLC, dated November 2010.</w:t>
            </w:r>
          </w:p>
        </w:tc>
      </w:tr>
      <w:tr>
        <w:trPr>
          <w:trHeight w:val="414"/>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Addendum to Services Agreement between the Company and Top-Notch Consulting 2009 Ltd., dated June 1, 2010, and as</w:t>
            </w:r>
          </w:p>
        </w:tc>
      </w:tr>
      <w:tr>
        <w:trPr>
          <w:trHeight w:val="234"/>
        </w:trPr>
        <w:tc>
          <w:tcPr>
            <w:tcW w:w="1720" w:type="dxa"/>
            <w:vAlign w:val="bottom"/>
          </w:tcPr>
          <w:p>
            <w:pPr>
              <w:spacing w:after="0"/>
              <w:rPr>
                <w:sz w:val="20"/>
                <w:szCs w:val="20"/>
                <w:color w:val="auto"/>
              </w:rPr>
            </w:pP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an exhibit thereto, Services Agreement between the Company and Top-Notch Finance (2003) Ltd., dated March 1, 2008.</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Alcobra Ltd. 2010 Incentive Option Plan.</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Services Agreement between the Company and Ehud Gilboa, dated March 1, 2008.</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Addendum I to Services Agreement between the Company and Ehud Gilboa, dated March 14, 2013.</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Services Agreement between the Company and Dalia Megiddo, dated June 2, 2011.</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9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Addendum I to Services Agreement between the Company and Dalia Megiddo, dated March 14, 2013.</w:t>
            </w:r>
          </w:p>
        </w:tc>
      </w:tr>
    </w:tbl>
    <w:p>
      <w:pPr>
        <w:sectPr>
          <w:pgSz w:w="11900" w:h="16838" w:orient="portrait"/>
          <w:cols w:equalWidth="0" w:num="1">
            <w:col w:w="11420"/>
          </w:cols>
          <w:pgMar w:left="240" w:top="684" w:right="239" w:bottom="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10.9</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Employment agreement between the Company and Yaron Daniely, dated March 4, 2010.</w:t>
            </w:r>
          </w:p>
        </w:tc>
      </w:tr>
      <w:tr>
        <w:trPr>
          <w:trHeight w:val="432"/>
        </w:trPr>
        <w:tc>
          <w:tcPr>
            <w:tcW w:w="1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10.10** ∞</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Letter of Approval from the Office of Chief Scientist.</w:t>
            </w:r>
          </w:p>
        </w:tc>
      </w:tr>
      <w:tr>
        <w:trPr>
          <w:trHeight w:val="432"/>
        </w:trPr>
        <w:tc>
          <w:tcPr>
            <w:tcW w:w="1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23.1</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Consent of Kost Forer Gabbay &amp; Kasierer (a Member of Ernst &amp; Young Global).</w:t>
            </w:r>
          </w:p>
        </w:tc>
      </w:tr>
      <w:tr>
        <w:trPr>
          <w:trHeight w:val="432"/>
        </w:trPr>
        <w:tc>
          <w:tcPr>
            <w:tcW w:w="1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23.2*</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Consent of Zysman, Aharoni, Gayer, &amp; Co. (included in Exhibit 5.1).</w:t>
            </w:r>
          </w:p>
        </w:tc>
      </w:tr>
      <w:tr>
        <w:trPr>
          <w:trHeight w:val="432"/>
        </w:trPr>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24.1**</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Power of Attorney (included on the signature page of the Registration Statement).</w:t>
            </w:r>
          </w:p>
        </w:tc>
      </w:tr>
      <w:tr>
        <w:trPr>
          <w:trHeight w:val="432"/>
        </w:trPr>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99.1**</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Consent of Daniel E. Geffken (Director Nominee)</w:t>
            </w:r>
          </w:p>
        </w:tc>
      </w:tr>
      <w:tr>
        <w:trPr>
          <w:trHeight w:val="432"/>
        </w:trPr>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99.2**</w:t>
            </w:r>
          </w:p>
        </w:tc>
        <w:tc>
          <w:tcPr>
            <w:tcW w:w="7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Consent of Howard B. Rosen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171450</wp:posOffset>
            </wp:positionV>
            <wp:extent cx="18097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3" w:lineRule="exact"/>
        <w:rPr>
          <w:sz w:val="20"/>
          <w:szCs w:val="20"/>
          <w:color w:val="auto"/>
        </w:rPr>
      </w:pPr>
    </w:p>
    <w:p>
      <w:pPr>
        <w:ind w:left="20" w:right="7659" w:hanging="6"/>
        <w:spacing w:after="0" w:line="276" w:lineRule="auto"/>
        <w:tabs>
          <w:tab w:leader="none" w:pos="15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Previously filed.</w:t>
      </w: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English translation of original Hebrew document.</w:t>
      </w: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26035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29" w:lineRule="exact"/>
        <w:rPr>
          <w:sz w:val="20"/>
          <w:szCs w:val="20"/>
          <w:color w:val="auto"/>
        </w:rPr>
      </w:pPr>
    </w:p>
    <w:p>
      <w:pPr>
        <w:ind w:right="200" w:firstLine="413"/>
        <w:spacing w:after="0" w:line="282" w:lineRule="auto"/>
        <w:tabs>
          <w:tab w:leader="none" w:pos="65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61" w:lineRule="exact"/>
        <w:rPr>
          <w:rFonts w:ascii="Times New Roman" w:cs="Times New Roman" w:eastAsia="Times New Roman" w:hAnsi="Times New Roman"/>
          <w:sz w:val="18"/>
          <w:szCs w:val="18"/>
          <w:color w:val="auto"/>
        </w:rPr>
      </w:pPr>
    </w:p>
    <w:p>
      <w:pPr>
        <w:ind w:right="160" w:firstLine="413"/>
        <w:spacing w:after="0" w:line="273" w:lineRule="auto"/>
        <w:tabs>
          <w:tab w:leader="none" w:pos="6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Times New Roman" w:cs="Times New Roman" w:eastAsia="Times New Roman" w:hAnsi="Times New Roman"/>
          <w:sz w:val="17"/>
          <w:szCs w:val="17"/>
          <w:color w:val="auto"/>
        </w:rPr>
      </w:pPr>
    </w:p>
    <w:p>
      <w:pPr>
        <w:ind w:left="660" w:hanging="247"/>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420" w:hanging="7"/>
        <w:spacing w:after="0" w:line="266" w:lineRule="auto"/>
        <w:tabs>
          <w:tab w:leader="none" w:pos="6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Times New Roman" w:cs="Times New Roman" w:eastAsia="Times New Roman" w:hAnsi="Times New Roman"/>
          <w:sz w:val="18"/>
          <w:szCs w:val="18"/>
          <w:color w:val="auto"/>
        </w:rPr>
      </w:pPr>
    </w:p>
    <w:p>
      <w:pPr>
        <w:ind w:left="420" w:right="20" w:hanging="7"/>
        <w:spacing w:after="0" w:line="266" w:lineRule="auto"/>
        <w:tabs>
          <w:tab w:leader="none" w:pos="6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1" w:right="27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April 5, 2013.</w:t>
      </w:r>
    </w:p>
    <w:p>
      <w:pPr>
        <w:spacing w:after="0" w:line="17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ALCOBRA LTD.</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u w:val="single" w:color="auto"/>
          <w:color w:val="auto"/>
        </w:rPr>
        <w:t>By: /s/ Dr. Yaron Daniely</w:t>
      </w: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Yaron Daniely</w:t>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the registration statement on Form F-1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655"/>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Dr. Yaron Daniely</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April 5, 2013</w:t>
            </w: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Yaron Daniely</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160" w:type="dxa"/>
            <w:vAlign w:val="bottom"/>
          </w:tcPr>
          <w:p>
            <w:pPr>
              <w:spacing w:after="0"/>
              <w:rPr>
                <w:sz w:val="19"/>
                <w:szCs w:val="19"/>
                <w:color w:val="auto"/>
              </w:rPr>
            </w:pPr>
          </w:p>
        </w:tc>
      </w:tr>
      <w:tr>
        <w:trPr>
          <w:trHeight w:val="427"/>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Udi Gilboa*</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April 5, 2013</w:t>
            </w: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Udi Gilboa</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Accounting Officer) and Director</w:t>
            </w:r>
          </w:p>
        </w:tc>
        <w:tc>
          <w:tcPr>
            <w:tcW w:w="2160" w:type="dxa"/>
            <w:vAlign w:val="bottom"/>
          </w:tcPr>
          <w:p>
            <w:pPr>
              <w:spacing w:after="0"/>
              <w:rPr>
                <w:sz w:val="19"/>
                <w:szCs w:val="19"/>
                <w:color w:val="auto"/>
              </w:rPr>
            </w:pPr>
          </w:p>
        </w:tc>
      </w:tr>
      <w:tr>
        <w:trPr>
          <w:trHeight w:val="427"/>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Dr. Aharon Schwartz*</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April 5, 2013</w:t>
            </w: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Aharon Schwartz</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27"/>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Dr. Dalia Megiddo*</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April 5, 2013</w:t>
            </w: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Dalia Megiddo</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Yaron Daniely</w:t>
            </w: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Yaron Daniely, Attorney-in-Fact</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30"/>
        </w:trPr>
        <w:tc>
          <w:tcPr>
            <w:tcW w:w="5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8"/>
                <w:szCs w:val="18"/>
                <w:color w:val="auto"/>
              </w:rPr>
              <w:t>II-4</w:t>
            </w: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28" w:name="page129"/>
    <w:bookmarkEnd w:id="128"/>
    <w:p>
      <w:pPr>
        <w:ind w:left="250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00" w:lineRule="exact"/>
        <w:rPr>
          <w:sz w:val="20"/>
          <w:szCs w:val="20"/>
          <w:color w:val="auto"/>
        </w:rPr>
      </w:pPr>
    </w:p>
    <w:p>
      <w:pPr>
        <w:spacing w:after="0" w:line="24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Zysman, Aharoni, Gayer &amp; Sullivan &amp; Worcester LLP, the duly authorized representative in the United States of Alcobra Ltd., has signed this registration statement on April 5, 2013.</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ZYSMAN, AHARONI, GAYER 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SULLIVAN &amp; WORCESTER LLP</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17240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0" w:right="9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SERVICES AGREEMENT</w:t>
      </w:r>
    </w:p>
    <w:p>
      <w:pPr>
        <w:spacing w:after="0" w:line="233"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This 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of March, 2008, by and between </w:t>
      </w:r>
      <w:r>
        <w:rPr>
          <w:rFonts w:ascii="Times New Roman" w:cs="Times New Roman" w:eastAsia="Times New Roman" w:hAnsi="Times New Roman"/>
          <w:sz w:val="18"/>
          <w:szCs w:val="18"/>
          <w:b w:val="1"/>
          <w:bCs w:val="1"/>
          <w:color w:val="auto"/>
        </w:rPr>
        <w:t>Alcobra Ltd.</w:t>
      </w:r>
      <w:r>
        <w:rPr>
          <w:rFonts w:ascii="Times New Roman" w:cs="Times New Roman" w:eastAsia="Times New Roman" w:hAnsi="Times New Roman"/>
          <w:sz w:val="18"/>
          <w:szCs w:val="18"/>
          <w:color w:val="auto"/>
        </w:rPr>
        <w:t>, maintaining its principal place of business at 53 Hashalom Rd., Givatayim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Mr. Udi Gilboa</w:t>
      </w:r>
      <w:r>
        <w:rPr>
          <w:rFonts w:ascii="Times New Roman" w:cs="Times New Roman" w:eastAsia="Times New Roman" w:hAnsi="Times New Roman"/>
          <w:sz w:val="18"/>
          <w:szCs w:val="18"/>
          <w:color w:val="auto"/>
        </w:rPr>
        <w:t xml:space="preserve"> (or an entity in his control), Residing at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Golani St, Ramat Gan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Consultant declares that he owns the skills and experience necessary to render the Services (as defined therein); and</w:t>
      </w:r>
    </w:p>
    <w:p>
      <w:pPr>
        <w:spacing w:after="0" w:line="225" w:lineRule="exact"/>
        <w:rPr>
          <w:sz w:val="20"/>
          <w:szCs w:val="20"/>
          <w:color w:val="auto"/>
        </w:rPr>
      </w:pPr>
    </w:p>
    <w:p>
      <w:pPr>
        <w:ind w:left="1300" w:hanging="1299"/>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Company wishes to engage the Consultant as an independent contractor to render the Services, all upon the terms and conditions set forth herein;</w:t>
      </w:r>
    </w:p>
    <w:p>
      <w:pPr>
        <w:spacing w:after="0" w:line="16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agreements herein set forth, the parties hereto, intending to be legally 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as follows:</w:t>
      </w:r>
    </w:p>
    <w:p>
      <w:pPr>
        <w:spacing w:after="0" w:line="155"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1.1The preamble to this Agreement, including any statement herein and the annexes attached hereto, form an integral part hereof and shall be binding upon the parties.</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1.2The title headings of the Sections hereof are intended solely for convenience and are not intended and shall not be construed for any other purpose.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232" w:lineRule="exact"/>
        <w:rPr>
          <w:rFonts w:ascii="Times New Roman" w:cs="Times New Roman" w:eastAsia="Times New Roman" w:hAnsi="Times New Roman"/>
          <w:sz w:val="18"/>
          <w:szCs w:val="18"/>
          <w:b w:val="1"/>
          <w:bCs w:val="1"/>
          <w:color w:val="auto"/>
        </w:rPr>
      </w:pPr>
    </w:p>
    <w:p>
      <w:pPr>
        <w:ind w:left="660"/>
        <w:spacing w:after="0" w:line="2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Consultant’s engagement thereunder shall be in effect commencing on March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2008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until terminated in accordance with Section 7 below.</w:t>
      </w:r>
    </w:p>
    <w:p>
      <w:pPr>
        <w:spacing w:after="0" w:line="19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Engagement</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3.1The Company hereby engages the Consultant and the Consultant hereby agrees to hold himself available exclusively for at least 22.50 hours per week or more, as shall be agreed upon by the parties, during the term of this Agreement for providing the Company services as the Company’s CFO and COO which may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Financial planning, BD, operational services, management services and other services required for the future development of the company as shall be requested by the Company from time to time, as an independent contractor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3.2The Consultant shall report and perform other duties as may be assigned to him by the Company’s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0" w:name="page131"/>
    <w:bookmarkEnd w:id="130"/>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Warrants and Undertakings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4.1The Consultant hereby warrants and represents that he: (i) has the required qualifications, experience and know how to perform the Services</w:t>
      </w:r>
    </w:p>
    <w:p>
      <w:pPr>
        <w:spacing w:after="0" w:line="27" w:lineRule="exact"/>
        <w:rPr>
          <w:rFonts w:ascii="Times New Roman" w:cs="Times New Roman" w:eastAsia="Times New Roman" w:hAnsi="Times New Roman"/>
          <w:sz w:val="18"/>
          <w:szCs w:val="18"/>
          <w:b w:val="1"/>
          <w:bCs w:val="1"/>
          <w:color w:val="auto"/>
        </w:rPr>
      </w:pPr>
    </w:p>
    <w:p>
      <w:pPr>
        <w:jc w:val="both"/>
        <w:ind w:left="1300" w:firstLine="5"/>
        <w:spacing w:after="0" w:line="250" w:lineRule="auto"/>
        <w:tabs>
          <w:tab w:leader="none" w:pos="157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perform his duties and responsibilities in rendering the Services with devotion, honesty and fidelity, and to dedicate his best effort, experience qualifications and abilities in performing such duties to the benefit and satisfaction of the Company and for its success;</w:t>
      </w:r>
    </w:p>
    <w:p>
      <w:pPr>
        <w:jc w:val="both"/>
        <w:ind w:left="1300" w:firstLine="5"/>
        <w:spacing w:after="0" w:line="255" w:lineRule="auto"/>
        <w:tabs>
          <w:tab w:leader="none" w:pos="163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require the consent of any other person or entity (iv) shall not utilize during the term of his engagement any proprietary information of any third party; and (v) shall perform his services as an independent contractor and there will be no employer – employee relationship between the Company and the Consultant.</w:t>
      </w:r>
    </w:p>
    <w:p>
      <w:pPr>
        <w:spacing w:after="0" w:line="18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Consultant shall devote all necessary time and attention in order to perform the Service and his duties diligently and promptly for the benefit of the Company and shall not undertake or accept, unless authorized by the Company, any other paid or unpaid employment or occupation or engage in or be associated with, directly or indirectly, any other businesses, duties or pursuits and he shall not, either during or outside such normal business hours engage in any activity inimical to the Company’s best interests</w:t>
      </w:r>
    </w:p>
    <w:p>
      <w:pPr>
        <w:spacing w:after="0" w:line="180"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Consultant may provide the Services through an entity controlled by him, provided however that in such event the Consultant shall continue to personally provide the Services.</w:t>
      </w:r>
    </w:p>
    <w:p>
      <w:pPr>
        <w:spacing w:after="0" w:line="158"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Consideration, Fees, Expenses and Taxes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consideration for the services provided by the Consultant to the Company, the Consultant shall be entitled to compensation and other benefits as detailed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Non-Compete and Proprietary Information</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Consultant has signed a confidentiality, non-compete and proprietary information with the Company, a copy of which is attached hereto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This Agreement shall be effective as of the date first written above.</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7.2Notwithstanding the above, either party may terminate this Agreement at any time without cause upon serving the other party a 60 (Sixty) days (the “</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prior written notice specifying the effective date of termination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7.3During the Notice Period, the Consultant return to the Company all documents, professional literature and equipment belonging to the Company, which may be in his possession at such time.</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Company may terminate this Agreement for Cause (as such term is defined below), with immediate effect. In such case the Company’s sole obligation shall be to pay the Consultant any unpaid consideration through the date of termination. For the purpose of this Agreement, the term “Cause” shall mean:</w:t>
      </w:r>
    </w:p>
    <w:p>
      <w:pPr>
        <w:spacing w:after="0" w:line="176"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7"/>
          <w:szCs w:val="17"/>
          <w:color w:val="auto"/>
        </w:rPr>
        <w:t>Conviction of the Consultant of a dishonorable criminal offense;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31" w:name="page132"/>
    <w:bookmarkEnd w:id="131"/>
    <w:p>
      <w:pPr>
        <w:ind w:left="1292"/>
        <w:spacing w:after="0"/>
        <w:tabs>
          <w:tab w:leader="none" w:pos="1852"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Times New Roman" w:cs="Times New Roman" w:eastAsia="Times New Roman" w:hAnsi="Times New Roman"/>
          <w:sz w:val="17"/>
          <w:szCs w:val="17"/>
          <w:color w:val="auto"/>
        </w:rPr>
        <w:t>The commission by the Consultant of any act involving theft or embezzlement from the Company;</w:t>
      </w:r>
    </w:p>
    <w:p>
      <w:pPr>
        <w:spacing w:after="0" w:line="225" w:lineRule="exact"/>
        <w:rPr>
          <w:sz w:val="20"/>
          <w:szCs w:val="20"/>
          <w:color w:val="auto"/>
        </w:rPr>
      </w:pPr>
    </w:p>
    <w:p>
      <w:pPr>
        <w:ind w:left="1292"/>
        <w:spacing w:after="0"/>
        <w:tabs>
          <w:tab w:leader="none" w:pos="1852"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7"/>
          <w:szCs w:val="17"/>
          <w:color w:val="auto"/>
        </w:rPr>
        <w:t>Actions or omissions of the Consultant which were not made in good faith or were made against the Company’s interests; or</w:t>
      </w:r>
    </w:p>
    <w:p>
      <w:pPr>
        <w:spacing w:after="0" w:line="225" w:lineRule="exact"/>
        <w:rPr>
          <w:sz w:val="20"/>
          <w:szCs w:val="20"/>
          <w:color w:val="auto"/>
        </w:rPr>
      </w:pPr>
    </w:p>
    <w:p>
      <w:pPr>
        <w:ind w:left="1872" w:hanging="566"/>
        <w:spacing w:after="0" w:line="282" w:lineRule="auto"/>
        <w:tabs>
          <w:tab w:leader="none" w:pos="1852" w:val="left"/>
        </w:tabs>
        <w:rPr>
          <w:sz w:val="20"/>
          <w:szCs w:val="20"/>
          <w:color w:val="auto"/>
        </w:rPr>
      </w:pPr>
      <w:r>
        <w:rPr>
          <w:rFonts w:ascii="Times New Roman" w:cs="Times New Roman" w:eastAsia="Times New Roman" w:hAnsi="Times New Roman"/>
          <w:sz w:val="18"/>
          <w:szCs w:val="18"/>
          <w:color w:val="auto"/>
        </w:rPr>
        <w:t>7.4.4</w:t>
        <w:tab/>
        <w:t>A material breach of this Agreement by the Consultant which was not remedied by the Consultant within 7 (seven) days from receipt of a notice regarding such breach.</w:t>
      </w:r>
    </w:p>
    <w:p>
      <w:pPr>
        <w:spacing w:after="0" w:line="158" w:lineRule="exact"/>
        <w:rPr>
          <w:sz w:val="20"/>
          <w:szCs w:val="20"/>
          <w:color w:val="auto"/>
        </w:rPr>
      </w:pPr>
    </w:p>
    <w:p>
      <w:pPr>
        <w:ind w:left="652" w:hanging="652"/>
        <w:spacing w:after="0"/>
        <w:tabs>
          <w:tab w:leader="none" w:pos="65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Relationship of the Parties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8.1In performing his duties and obligations hereunder, the Consultant shall operate as and has the status of an independent contractor and shall not act as or be an agent or an employee of the Company.</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8.2The parties do hereby agree and declare that should any court and/or any other authoritative body decide, in contrary to the explicit desire and intention of the parties (especially the Consultant) hereto, that the Consultant is the Company’s employees and thereof entitled to further benefits and/or social right in addition to the consideration set forth herein (Hereinafter: the “</w:t>
      </w:r>
      <w:r>
        <w:rPr>
          <w:rFonts w:ascii="Times New Roman" w:cs="Times New Roman" w:eastAsia="Times New Roman" w:hAnsi="Times New Roman"/>
          <w:sz w:val="18"/>
          <w:szCs w:val="18"/>
          <w:b w:val="1"/>
          <w:bCs w:val="1"/>
          <w:color w:val="auto"/>
        </w:rPr>
        <w:t>Decision</w:t>
      </w:r>
      <w:r>
        <w:rPr>
          <w:rFonts w:ascii="Times New Roman" w:cs="Times New Roman" w:eastAsia="Times New Roman" w:hAnsi="Times New Roman"/>
          <w:sz w:val="18"/>
          <w:szCs w:val="18"/>
          <w:color w:val="auto"/>
        </w:rPr>
        <w:t>”), then Annex A below shall be revised to stipulate that in consideration for the Services, the Consultant shall have been entitled to 75% (seventy five percent) of the Monthly Fees (as defined below). All amounts paid to the Consultant in access of this 75% of the Monthly Fees shall be deemed a loan given to the Consultant by the Company bearing the Prime interest rate as set by Bank Israel at the date of the Decision and shall be repaid to the Company immediately upon its written request.</w:t>
      </w:r>
    </w:p>
    <w:p>
      <w:pPr>
        <w:spacing w:after="0" w:line="18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9.1No provision of this Agreement may be modified, waived or discharged unless such waiver, modification or discharge is agreed to in writing and signed by the Consultant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provisions of this Agreement shall be deemed severable and the invalidity or unenforceability of any provision shall not affect the validity or enforceability of the other provisions hereof.</w:t>
      </w:r>
    </w:p>
    <w:p>
      <w:pPr>
        <w:spacing w:after="0" w:line="187"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9.2This Agreement shall be governed by and construed and enforced in accordance with the laws of the State of Israel. The competent courts in Tel Aviv shall have the exclusive jurisdiction over any dispute arising from this Agreement.</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has been made either party which is not expressly set forth in this Agreement.</w:t>
      </w:r>
    </w:p>
    <w:p>
      <w:pPr>
        <w:spacing w:after="0" w:line="180"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9.4Neither this Agreement nor any right or interest hereunder shall be assignable or transferable by the Consultant, his beneficiaries or legal representatives, except by will or by the laws of descent and distribution and except as set forth in Section 4.3 above. This Agreement shall inure to the benefit of and be enforceable by the Consultant’s legal personal representative.</w:t>
      </w:r>
    </w:p>
    <w:p>
      <w:pPr>
        <w:spacing w:after="0" w:line="392" w:lineRule="exact"/>
        <w:rPr>
          <w:rFonts w:ascii="Times New Roman" w:cs="Times New Roman" w:eastAsia="Times New Roman" w:hAnsi="Times New Roman"/>
          <w:sz w:val="18"/>
          <w:szCs w:val="18"/>
          <w:b w:val="1"/>
          <w:bCs w:val="1"/>
          <w:color w:val="auto"/>
        </w:rPr>
      </w:pPr>
    </w:p>
    <w:p>
      <w:pPr>
        <w:ind w:left="5652" w:hanging="96"/>
        <w:spacing w:after="0"/>
        <w:tabs>
          <w:tab w:leader="none" w:pos="565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132" w:name="page133"/>
    <w:bookmarkEnd w:id="132"/>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For the purpose of this Agreement, notices and all other communications provided for in the Agreement shall be in writing and shall be deemed to have been duly given when sent via fax, personally delivered or sent by registered mail, postage prepaid, addressed to the respective addresses set forth above or last given by each party to the other, except that notice of change of address shall be effective only upon receipt.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Alcobra Ltd.</w:t>
            </w:r>
          </w:p>
        </w:tc>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Udi Gilboa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Alcobra LTD</w:t>
            </w:r>
          </w:p>
        </w:tc>
        <w:tc>
          <w:tcPr>
            <w:tcW w:w="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Top-Notch Finance 2003 Ltd.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Alcobra LTD</w:t>
            </w:r>
          </w:p>
        </w:tc>
        <w:tc>
          <w:tcPr>
            <w:tcW w:w="44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Top-Notch Finance 2003 Ltd.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18"/>
                <w:szCs w:val="18"/>
                <w:color w:val="auto"/>
              </w:rPr>
            </w:pPr>
          </w:p>
        </w:tc>
        <w:tc>
          <w:tcPr>
            <w:tcW w:w="4580" w:type="dxa"/>
            <w:vAlign w:val="bottom"/>
            <w:tcBorders>
              <w:top w:val="single" w:sz="8" w:color="auto"/>
              <w:bottom w:val="single" w:sz="8" w:color="auto"/>
            </w:tcBorders>
          </w:tcPr>
          <w:p>
            <w:pPr>
              <w:spacing w:after="0"/>
              <w:rPr>
                <w:sz w:val="18"/>
                <w:szCs w:val="18"/>
                <w:color w:val="auto"/>
              </w:rPr>
            </w:pPr>
          </w:p>
        </w:tc>
        <w:tc>
          <w:tcPr>
            <w:tcW w:w="5000" w:type="dxa"/>
            <w:vAlign w:val="bottom"/>
            <w:gridSpan w:val="2"/>
            <w:vMerge w:val="restart"/>
          </w:tcPr>
          <w:p>
            <w:pPr>
              <w:jc w:val="right"/>
              <w:ind w:right="4330"/>
              <w:spacing w:after="0"/>
              <w:rPr>
                <w:sz w:val="20"/>
                <w:szCs w:val="20"/>
                <w:color w:val="auto"/>
              </w:rPr>
            </w:pPr>
            <w:r>
              <w:rPr>
                <w:rFonts w:ascii="Times New Roman" w:cs="Times New Roman" w:eastAsia="Times New Roman" w:hAnsi="Times New Roman"/>
                <w:sz w:val="18"/>
                <w:szCs w:val="18"/>
                <w:color w:val="auto"/>
              </w:rPr>
              <w:t>- 4 -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 - Consideration, Fees, Expenses and Taxes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consideration for his services and subject to the performance of the Services required to be performed hereunder by the Consultant under the agreement which this Annex A is attached to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all terms not defined herein shall have the meaning ascribed to them in the Agreement), the Company shall pay to the Consultant the Monthly Fees (as defined below) and provide him with additional benefits as detailed herein.</w:t>
      </w:r>
    </w:p>
    <w:p>
      <w:pPr>
        <w:spacing w:after="0" w:line="172" w:lineRule="exact"/>
        <w:rPr>
          <w:sz w:val="20"/>
          <w:szCs w:val="20"/>
          <w:color w:val="auto"/>
        </w:rPr>
      </w:pPr>
    </w:p>
    <w:p>
      <w:pPr>
        <w:ind w:left="660" w:right="20" w:hanging="652"/>
        <w:spacing w:after="0" w:line="28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Monthly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the Agreement, the Company shall pay to the Consultant an amount of US$ 7,000 per month + VAT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“Monthly Fee”). The rate of US$ 1 will not be lower than 4 NIS.</w:t>
      </w:r>
    </w:p>
    <w:p>
      <w:pPr>
        <w:spacing w:after="0" w:line="158"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Fees and any other payment paid to the Consultant under this Agreement shall be paid on the first day of each month in respect of such month.</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Consultant will furnish to the Company an invoice and a receipt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and pay his own taxes as may be imposed on it according any law in connection with any payment or benefit made under the Agreement.</w:t>
      </w:r>
    </w:p>
    <w:p>
      <w:pPr>
        <w:spacing w:after="0" w:line="157"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reimburse the Consultant for any documented, pre-approved out-of-pocket expenses from time to time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by the Consultant in connection with his Services to the Company and against invoices.</w:t>
      </w:r>
    </w:p>
    <w:p>
      <w:pPr>
        <w:spacing w:after="0" w:line="15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1-2 above, the Consultant shall not be entitled to any further payment in connection with the performance of the Services.</w:t>
      </w:r>
    </w:p>
    <w:p>
      <w:pPr>
        <w:spacing w:after="0" w:line="377"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34" w:name="page135"/>
    <w:bookmarkEnd w:id="134"/>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 Non-Compete and Proprietary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3"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DDENDUM</w:t>
      </w:r>
      <w:r>
        <w:rPr>
          <w:rFonts w:ascii="Times New Roman" w:cs="Times New Roman" w:eastAsia="Times New Roman" w:hAnsi="Times New Roman"/>
          <w:sz w:val="18"/>
          <w:szCs w:val="18"/>
          <w:b w:val="1"/>
          <w:bCs w:val="1"/>
          <w:color w:val="auto"/>
        </w:rPr>
        <w:t xml:space="preserve"> I </w:t>
      </w:r>
      <w:r>
        <w:rPr>
          <w:rFonts w:ascii="Times New Roman" w:cs="Times New Roman" w:eastAsia="Times New Roman" w:hAnsi="Times New Roman"/>
          <w:sz w:val="12"/>
          <w:szCs w:val="12"/>
          <w:b w:val="1"/>
          <w:bCs w:val="1"/>
          <w:color w:val="auto"/>
        </w:rPr>
        <w:t>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addendum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dated as of March 14, 2013, is made by and between Alcobra Ltd., a company incorporated under the laws of the State of Israel with its principal office at 35 Ehad Ha’am St., Tel Aviv, Israel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Mr. Udi Gilboa, Israeli ID 022513659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otherwise defined herein shall have the meaning ascribed to them in the Agreement (as defined below).</w:t>
      </w:r>
    </w:p>
    <w:p>
      <w:pPr>
        <w:spacing w:after="0" w:line="248" w:lineRule="exact"/>
        <w:rPr>
          <w:sz w:val="20"/>
          <w:szCs w:val="20"/>
          <w:color w:val="auto"/>
        </w:rPr>
      </w:pPr>
    </w:p>
    <w:p>
      <w:pPr>
        <w:jc w:val="both"/>
        <w:ind w:left="98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Parties have entered into a certain 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March 1, 2008, pursuant to which Consultant provides Company with certain Services (including as Company’s CFO and COO); and</w:t>
      </w:r>
    </w:p>
    <w:p>
      <w:pPr>
        <w:spacing w:after="0" w:line="182" w:lineRule="exact"/>
        <w:rPr>
          <w:sz w:val="20"/>
          <w:szCs w:val="20"/>
          <w:color w:val="auto"/>
        </w:rPr>
      </w:pPr>
    </w:p>
    <w:p>
      <w:pPr>
        <w:jc w:val="both"/>
        <w:ind w:left="98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Company is currently contemplating an Initial Public Offering of the Company’s Ordinary Shares on the NASDAQ Capital Market (an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subsequent to which intensified efforts in performance of Services shall be required of Consultant; and</w:t>
      </w:r>
    </w:p>
    <w:p>
      <w:pPr>
        <w:spacing w:after="0" w:line="182" w:lineRule="exact"/>
        <w:rPr>
          <w:sz w:val="20"/>
          <w:szCs w:val="20"/>
          <w:color w:val="auto"/>
        </w:rPr>
      </w:pPr>
    </w:p>
    <w:p>
      <w:pPr>
        <w:jc w:val="both"/>
        <w:ind w:left="980" w:hanging="979"/>
        <w:spacing w:after="0" w:line="28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Parties wish to amend and modify the Agreement with respect to the compensation and benefits to which Consultant shall be entitled to for performance of the Services subsequent to the IPO;</w:t>
      </w:r>
    </w:p>
    <w:p>
      <w:pPr>
        <w:spacing w:after="0" w:line="1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mutual agreements herein set forth, the Parties hereto, intending to be legally bound, have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consummation of IPO, certain provisions of the Agreement shall be revised as follows:</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Notwithstanding Section 7.2 of the Agreement, the “Notice Period” required in the event of termination without cause shall be 90 days.</w:t>
      </w:r>
    </w:p>
    <w:p>
      <w:pPr>
        <w:spacing w:after="0" w:line="252" w:lineRule="exact"/>
        <w:rPr>
          <w:rFonts w:ascii="Times New Roman" w:cs="Times New Roman" w:eastAsia="Times New Roman" w:hAnsi="Times New Roman"/>
          <w:sz w:val="18"/>
          <w:szCs w:val="18"/>
          <w:color w:val="auto"/>
        </w:rPr>
      </w:pPr>
    </w:p>
    <w:p>
      <w:pPr>
        <w:ind w:left="880"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Notwithstanding Section 1 of Annex A to the Agreement, the “Monthly Fee” awarded to Consultant for performance of Services shall be an amount (VAT inclusive) equivalent to a NIS 45,000 salary plus benefits.</w:t>
      </w:r>
    </w:p>
    <w:p>
      <w:pPr>
        <w:spacing w:after="0" w:line="188" w:lineRule="exact"/>
        <w:rPr>
          <w:rFonts w:ascii="Times New Roman" w:cs="Times New Roman" w:eastAsia="Times New Roman" w:hAnsi="Times New Roman"/>
          <w:sz w:val="18"/>
          <w:szCs w:val="18"/>
          <w:color w:val="auto"/>
        </w:rPr>
      </w:pPr>
    </w:p>
    <w:p>
      <w:pPr>
        <w:ind w:left="880" w:hanging="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Notwithstanding Section 3 of Annex A to the Agreement, in addition to the Monthly Fee and reimbursement of out-of-pocket expenses, Company shall either (i) place at Consultant’s disposal a company car, in accordance with Company’s policies in effect from time to time with respect to Company employees, or (ii) at Company’s sole discretion, reimburse Consultant for the use of his own private car in accordance with Company’s policies in effect from time to time with respect to Company employees.</w:t>
      </w:r>
    </w:p>
    <w:p>
      <w:pPr>
        <w:spacing w:after="0" w:line="2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Agreement shall continue in full force and effect with the necessary changes resulting from this Addendum.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Addendum as of the date first above written.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Yaron Daniely</w:t>
            </w:r>
          </w:p>
        </w:tc>
        <w:tc>
          <w:tcPr>
            <w:tcW w:w="46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Udi Gilboa</w:t>
            </w:r>
          </w:p>
        </w:tc>
      </w:tr>
      <w:tr>
        <w:trPr>
          <w:trHeight w:val="42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Alcobra Ltd.</w:t>
            </w: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Udi Gilboa</w:t>
            </w: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Yaron Daniely</w:t>
            </w:r>
          </w:p>
        </w:tc>
        <w:tc>
          <w:tcPr>
            <w:tcW w:w="5460" w:type="dxa"/>
            <w:vAlign w:val="bottom"/>
          </w:tcPr>
          <w:p>
            <w:pPr>
              <w:spacing w:after="0"/>
              <w:rPr>
                <w:sz w:val="24"/>
                <w:szCs w:val="24"/>
                <w:color w:val="auto"/>
              </w:rPr>
            </w:pP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460" w:type="dxa"/>
            <w:vAlign w:val="bottom"/>
          </w:tcPr>
          <w:p>
            <w:pPr>
              <w:spacing w:after="0"/>
              <w:rPr>
                <w:sz w:val="24"/>
                <w:szCs w:val="24"/>
                <w:color w:val="auto"/>
              </w:rPr>
            </w:pPr>
          </w:p>
        </w:tc>
      </w:tr>
      <w:tr>
        <w:trPr>
          <w:trHeight w:val="648"/>
        </w:trPr>
        <w:tc>
          <w:tcPr>
            <w:tcW w:w="5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SERVICES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the ___ day of June, 2011, by and between </w:t>
      </w:r>
      <w:r>
        <w:rPr>
          <w:rFonts w:ascii="Times New Roman" w:cs="Times New Roman" w:eastAsia="Times New Roman" w:hAnsi="Times New Roman"/>
          <w:sz w:val="18"/>
          <w:szCs w:val="18"/>
          <w:b w:val="1"/>
          <w:bCs w:val="1"/>
          <w:color w:val="auto"/>
        </w:rPr>
        <w:t>Alcobra Ltd.</w:t>
      </w:r>
      <w:r>
        <w:rPr>
          <w:rFonts w:ascii="Times New Roman" w:cs="Times New Roman" w:eastAsia="Times New Roman" w:hAnsi="Times New Roman"/>
          <w:sz w:val="18"/>
          <w:szCs w:val="18"/>
          <w:color w:val="auto"/>
        </w:rPr>
        <w:t>, maintaining its principal place of business at 65 Rothschild Blvd, Tel Aviv, Israel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Dr. Dalia Megiddo</w:t>
      </w:r>
      <w:r>
        <w:rPr>
          <w:rFonts w:ascii="Times New Roman" w:cs="Times New Roman" w:eastAsia="Times New Roman" w:hAnsi="Times New Roman"/>
          <w:sz w:val="18"/>
          <w:szCs w:val="18"/>
          <w:color w:val="auto"/>
        </w:rPr>
        <w:t>, I.D. 050694348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Consultant declares to own the skills and experience necessary to render the Services (as defined therein); and</w:t>
      </w:r>
    </w:p>
    <w:p>
      <w:pPr>
        <w:spacing w:after="0" w:line="31" w:lineRule="exact"/>
        <w:rPr>
          <w:sz w:val="20"/>
          <w:szCs w:val="20"/>
          <w:color w:val="auto"/>
        </w:rPr>
      </w:pPr>
    </w:p>
    <w:p>
      <w:pPr>
        <w:ind w:left="1280" w:hanging="1279"/>
        <w:spacing w:after="0" w:line="261"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Company wishes to engage the Consultant as an independent contractor to render the Services, all upon the terms and conditions set forth herein;</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agreements herein set forth, the parties hereto, intending to be legally bound, have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5" w:lineRule="exact"/>
        <w:rPr>
          <w:sz w:val="20"/>
          <w:szCs w:val="20"/>
          <w:color w:val="auto"/>
        </w:rPr>
      </w:pPr>
    </w:p>
    <w:p>
      <w:pPr>
        <w:ind w:left="500" w:hanging="492"/>
        <w:spacing w:after="0"/>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ind w:left="1280" w:hanging="634"/>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preamble to this Agreement, including any statement herein and the annexes attached hereto, form an integral part hereof and shall be binding upon the parties.</w:t>
      </w:r>
    </w:p>
    <w:p>
      <w:pPr>
        <w:spacing w:after="0" w:line="162" w:lineRule="exact"/>
        <w:rPr>
          <w:sz w:val="20"/>
          <w:szCs w:val="20"/>
          <w:color w:val="auto"/>
        </w:rPr>
      </w:pPr>
    </w:p>
    <w:p>
      <w:pPr>
        <w:ind w:left="1280" w:hanging="634"/>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title headings of the Sections hereof are intended solely for convenience and are not intended and shall not be construed for any other purpose.</w:t>
      </w:r>
    </w:p>
    <w:p>
      <w:pPr>
        <w:spacing w:after="0" w:line="158" w:lineRule="exact"/>
        <w:rPr>
          <w:sz w:val="20"/>
          <w:szCs w:val="20"/>
          <w:color w:val="auto"/>
        </w:rPr>
      </w:pPr>
    </w:p>
    <w:p>
      <w:pPr>
        <w:ind w:left="640" w:hanging="632"/>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p>
    <w:p>
      <w:pPr>
        <w:spacing w:after="0" w:line="31" w:lineRule="exact"/>
        <w:rPr>
          <w:rFonts w:ascii="Times New Roman" w:cs="Times New Roman" w:eastAsia="Times New Roman" w:hAnsi="Times New Roman"/>
          <w:sz w:val="18"/>
          <w:szCs w:val="18"/>
          <w:color w:val="auto"/>
        </w:rPr>
      </w:pPr>
    </w:p>
    <w:p>
      <w:pPr>
        <w:ind w:left="660"/>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Consultant’s engagement hereunder shall be in effect commencing on May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until terminated in accordance with Section 7 below.</w:t>
      </w:r>
    </w:p>
    <w:p>
      <w:pPr>
        <w:spacing w:after="0" w:line="19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Engagement</w:t>
      </w:r>
    </w:p>
    <w:p>
      <w:pPr>
        <w:spacing w:after="0" w:line="229" w:lineRule="exact"/>
        <w:rPr>
          <w:sz w:val="20"/>
          <w:szCs w:val="20"/>
          <w:color w:val="auto"/>
        </w:rPr>
      </w:pPr>
    </w:p>
    <w:p>
      <w:pPr>
        <w:jc w:val="both"/>
        <w:ind w:left="1280" w:hanging="634"/>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hereby engages the Consultant and the Consultant hereby agrees to hold herself available exclusively as shall be reasonably required by the Company, during the term of this Agreement, for providing the Company as an independent contractor with consulting services related to pre-clinical, clinical, regulatory and Intellectual Property issues, as shall be requested by the Company from time to time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Consultant shall report and perform other duties as may be assigned to Consultant by the Company's management.</w:t>
      </w:r>
    </w:p>
    <w:p>
      <w:pPr>
        <w:spacing w:after="0" w:line="221" w:lineRule="exact"/>
        <w:rPr>
          <w:sz w:val="20"/>
          <w:szCs w:val="20"/>
          <w:color w:val="auto"/>
        </w:rPr>
      </w:pPr>
    </w:p>
    <w:p>
      <w:pPr>
        <w:ind w:left="500" w:hanging="492"/>
        <w:spacing w:after="0"/>
        <w:tabs>
          <w:tab w:leader="none" w:pos="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Warrants and Undertakings</w:t>
      </w:r>
    </w:p>
    <w:p>
      <w:pPr>
        <w:spacing w:after="0" w:line="229" w:lineRule="exact"/>
        <w:rPr>
          <w:sz w:val="20"/>
          <w:szCs w:val="20"/>
          <w:color w:val="auto"/>
        </w:rPr>
      </w:pPr>
    </w:p>
    <w:p>
      <w:pPr>
        <w:jc w:val="both"/>
        <w:ind w:left="1280" w:hanging="634"/>
        <w:spacing w:after="0" w:line="256" w:lineRule="auto"/>
        <w:tabs>
          <w:tab w:leader="none" w:pos="12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Consultant hereby warrants and represents that Consultant: (i) has the required qualifications, experience and know how to perform the Services; (ii) agrees to perform Consultant's duties and responsibilities in rendering the Services with devotion, honesty and fidelity, and to dedicate Consultant's best effort, experience qualifications and abilities in performing such duties to the benefit and satisfaction of the Company and for its success; (iii) does not require the consent of any other person or entity; (iv) shall not utilize during the term of Consultant's engagement any proprietary information of any third party; and (v) shall perform the Services as an independent contractor and there will be no employer – employee relationship between the Company and the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7" w:name="page138"/>
    <w:bookmarkEnd w:id="137"/>
    <w:p>
      <w:pPr>
        <w:jc w:val="both"/>
        <w:ind w:left="1280" w:hanging="634"/>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Consultant shall devote such necessary time and attention in order to perform the Services and other duties diligently and promptly for the benefit of the Company and shall not undertake or accept, unless authorized by the Company, any other paid or unpaid employment, activity or occupation, or engage in or be associated with, directly or indirectly, any other businesses, duties or pursuits, during or outside such normal business hours, if such may be inimical to the Company's best interests</w:t>
      </w:r>
    </w:p>
    <w:p>
      <w:pPr>
        <w:spacing w:after="0" w:line="180" w:lineRule="exact"/>
        <w:rPr>
          <w:sz w:val="20"/>
          <w:szCs w:val="20"/>
          <w:color w:val="auto"/>
        </w:rPr>
      </w:pPr>
    </w:p>
    <w:p>
      <w:pPr>
        <w:jc w:val="both"/>
        <w:ind w:left="1280" w:hanging="634"/>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Consultant may provide the Services through an entity controlled by Consultant, provided however that in such event the Consultant shall continue to personally provide the Services.</w:t>
      </w:r>
    </w:p>
    <w:p>
      <w:pPr>
        <w:spacing w:after="0" w:line="158" w:lineRule="exact"/>
        <w:rPr>
          <w:sz w:val="20"/>
          <w:szCs w:val="20"/>
          <w:color w:val="auto"/>
        </w:rPr>
      </w:pPr>
    </w:p>
    <w:p>
      <w:pPr>
        <w:ind w:left="500" w:hanging="492"/>
        <w:spacing w:after="0"/>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 Fees, Expenses and Taxes</w:t>
      </w:r>
    </w:p>
    <w:p>
      <w:pPr>
        <w:spacing w:after="0" w:line="229"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consideration for the services provided by Consultant to the Company, the Consultant shall be entitled to the sole compensation and other benefits detailed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Non-Compete and Proprietary Information</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Consultant has signed a confidentiality, non-compete and proprietary information with the Company, a copy of which is attached hereto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jc w:val="both"/>
        <w:ind w:left="1280" w:hanging="634"/>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Notwithstanding Section 2 above, either party may terminate this Agreement at any time, with or without cause, upon serving the other party a thirty (30) days (the “</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prior written notice specifying the effective date of termination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80" w:hanging="634"/>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During the Notice Period, the Consultant shall return to the Company all documents, professional literature and equipment belonging to the Company, which may be in Consultant's possession at such time.</w:t>
      </w:r>
    </w:p>
    <w:p>
      <w:pPr>
        <w:spacing w:after="0" w:line="162" w:lineRule="exact"/>
        <w:rPr>
          <w:sz w:val="20"/>
          <w:szCs w:val="20"/>
          <w:color w:val="auto"/>
        </w:rPr>
      </w:pPr>
    </w:p>
    <w:p>
      <w:pPr>
        <w:jc w:val="both"/>
        <w:ind w:left="1280" w:hanging="634"/>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Company may terminate this Agreement for Cause (as such term is defined below), with immediate effect. In such case the Company's sole obligation shall be to pay the Consultant any unpaid consideration through the date of termination. For the purpose of this Agreement, 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w:t>
      </w:r>
    </w:p>
    <w:p>
      <w:pPr>
        <w:spacing w:after="0" w:line="176"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7"/>
          <w:szCs w:val="17"/>
          <w:color w:val="auto"/>
        </w:rPr>
        <w:t>Conviction of the Consultant of a dishonorable criminal offense;</w:t>
      </w:r>
    </w:p>
    <w:p>
      <w:pPr>
        <w:spacing w:after="0" w:line="225"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7"/>
          <w:szCs w:val="17"/>
          <w:color w:val="auto"/>
        </w:rPr>
        <w:t>The commission by the Consultant of any act involving theft or embezzlement from the Company;</w:t>
      </w:r>
    </w:p>
    <w:p>
      <w:pPr>
        <w:spacing w:after="0" w:line="225"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18"/>
          <w:szCs w:val="18"/>
          <w:color w:val="auto"/>
        </w:rPr>
        <w:t>7.3.3.</w:t>
      </w:r>
      <w:r>
        <w:rPr>
          <w:sz w:val="20"/>
          <w:szCs w:val="20"/>
          <w:color w:val="auto"/>
        </w:rPr>
        <w:tab/>
      </w:r>
      <w:r>
        <w:rPr>
          <w:rFonts w:ascii="Times New Roman" w:cs="Times New Roman" w:eastAsia="Times New Roman" w:hAnsi="Times New Roman"/>
          <w:sz w:val="17"/>
          <w:szCs w:val="17"/>
          <w:color w:val="auto"/>
        </w:rPr>
        <w:t>Actions or omissions of the Consultant which were not made in good faith or were made against the Company's interests; or</w:t>
      </w:r>
    </w:p>
    <w:p>
      <w:pPr>
        <w:spacing w:after="0" w:line="225" w:lineRule="exact"/>
        <w:rPr>
          <w:sz w:val="20"/>
          <w:szCs w:val="20"/>
          <w:color w:val="auto"/>
        </w:rPr>
      </w:pPr>
    </w:p>
    <w:p>
      <w:pPr>
        <w:ind w:left="2040" w:hanging="755"/>
        <w:spacing w:after="0" w:line="282" w:lineRule="auto"/>
        <w:tabs>
          <w:tab w:leader="none" w:pos="2020" w:val="left"/>
        </w:tabs>
        <w:rPr>
          <w:sz w:val="20"/>
          <w:szCs w:val="20"/>
          <w:color w:val="auto"/>
        </w:rPr>
      </w:pPr>
      <w:r>
        <w:rPr>
          <w:rFonts w:ascii="Times New Roman" w:cs="Times New Roman" w:eastAsia="Times New Roman" w:hAnsi="Times New Roman"/>
          <w:sz w:val="18"/>
          <w:szCs w:val="18"/>
          <w:color w:val="auto"/>
        </w:rPr>
        <w:t>7.3.4.</w:t>
      </w:r>
      <w:r>
        <w:rPr>
          <w:sz w:val="20"/>
          <w:szCs w:val="20"/>
          <w:color w:val="auto"/>
        </w:rPr>
        <w:tab/>
      </w:r>
      <w:r>
        <w:rPr>
          <w:rFonts w:ascii="Times New Roman" w:cs="Times New Roman" w:eastAsia="Times New Roman" w:hAnsi="Times New Roman"/>
          <w:sz w:val="18"/>
          <w:szCs w:val="18"/>
          <w:color w:val="auto"/>
        </w:rPr>
        <w:t>A material breach of this Agreement by the Consultant which was not remedied by the Consultant within 7 (seven) days from receipt of a notice regarding such breach.</w:t>
      </w:r>
    </w:p>
    <w:p>
      <w:pPr>
        <w:spacing w:after="0" w:line="158" w:lineRule="exact"/>
        <w:rPr>
          <w:sz w:val="20"/>
          <w:szCs w:val="20"/>
          <w:color w:val="auto"/>
        </w:rPr>
      </w:pPr>
    </w:p>
    <w:p>
      <w:pPr>
        <w:ind w:left="500" w:hanging="492"/>
        <w:spacing w:after="0"/>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Relationship of the Parties</w:t>
      </w:r>
    </w:p>
    <w:p>
      <w:pPr>
        <w:spacing w:after="0" w:line="229" w:lineRule="exact"/>
        <w:rPr>
          <w:sz w:val="20"/>
          <w:szCs w:val="20"/>
          <w:color w:val="auto"/>
        </w:rPr>
      </w:pPr>
    </w:p>
    <w:p>
      <w:pPr>
        <w:ind w:left="1280" w:right="20" w:hanging="634"/>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In performing Consultant's duties and obligations hereunder, the Consultant shall operate as and has the status of an independent contractor and shall not act as or be an agent or an employee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jc w:val="both"/>
        <w:ind w:left="1280" w:hanging="634"/>
        <w:spacing w:after="0" w:line="255" w:lineRule="auto"/>
        <w:tabs>
          <w:tab w:leader="none" w:pos="12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parties do hereby agree and declare that should any court and/or any other authoritative body decide, in contrary to the explicit desire and intention of the parties (especially the Consultant) hereto, that the Consultant is the Company’s employee and thereof entitled to further benefits and/or social right in addition to the consideration set forth herein (Hereinafter: the "</w:t>
      </w:r>
      <w:r>
        <w:rPr>
          <w:rFonts w:ascii="Times New Roman" w:cs="Times New Roman" w:eastAsia="Times New Roman" w:hAnsi="Times New Roman"/>
          <w:sz w:val="18"/>
          <w:szCs w:val="18"/>
          <w:b w:val="1"/>
          <w:bCs w:val="1"/>
          <w:color w:val="auto"/>
        </w:rPr>
        <w:t>Decision</w:t>
      </w:r>
      <w:r>
        <w:rPr>
          <w:rFonts w:ascii="Times New Roman" w:cs="Times New Roman" w:eastAsia="Times New Roman" w:hAnsi="Times New Roman"/>
          <w:sz w:val="18"/>
          <w:szCs w:val="18"/>
          <w:color w:val="auto"/>
        </w:rPr>
        <w:t>"), then – (i) Annex A shall be revised to stipulate that in consideration for the Services, the Consultant shall have been entitled to 60% (sixty percent) of the Monthly Fee (as defined in Annex A); and (ii) all amounts paid to the Consultant in access of this 60% of the Monthly Fee shall be deemed a loan given to the Consultant by the Company bearing the prime interest rate as set by Bank Israel at the date of the Decision, and shall be repaid to the Company immediately upon its written request.</w:t>
      </w:r>
    </w:p>
    <w:p>
      <w:pPr>
        <w:spacing w:after="0" w:line="185" w:lineRule="exact"/>
        <w:rPr>
          <w:sz w:val="20"/>
          <w:szCs w:val="20"/>
          <w:color w:val="auto"/>
        </w:rPr>
      </w:pPr>
    </w:p>
    <w:p>
      <w:pPr>
        <w:ind w:left="640" w:hanging="632"/>
        <w:spacing w:after="0"/>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color w:val="auto"/>
        </w:rPr>
      </w:pPr>
    </w:p>
    <w:p>
      <w:pPr>
        <w:ind w:left="1280" w:hanging="635"/>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7"/>
          <w:szCs w:val="17"/>
          <w:color w:val="auto"/>
        </w:rPr>
        <w:t>No provision of this Agreement may be modified, waived or discharged unless such waiver, modification or discharge is agreed to in writing and signed by the Consultant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provisions of this Agreement shall be deemed severable and the invalidity or unenforceability of any provision shall not affect the validity or enforceability of the other provisions hereof.</w:t>
      </w:r>
    </w:p>
    <w:p>
      <w:pPr>
        <w:spacing w:after="0" w:line="168" w:lineRule="exact"/>
        <w:rPr>
          <w:rFonts w:ascii="Times New Roman" w:cs="Times New Roman" w:eastAsia="Times New Roman" w:hAnsi="Times New Roman"/>
          <w:sz w:val="18"/>
          <w:szCs w:val="18"/>
          <w:color w:val="auto"/>
        </w:rPr>
      </w:pPr>
    </w:p>
    <w:p>
      <w:pPr>
        <w:ind w:left="1280" w:right="20"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9.2.This Agreement shall be governed by and construed and enforced in accordance with the laws of the State of Israel. The competent courts in Tel Aviv shall have the exclusive jurisdiction over any dispute arising from this Agreement.</w:t>
      </w:r>
    </w:p>
    <w:p>
      <w:pPr>
        <w:spacing w:after="0" w:line="161" w:lineRule="exact"/>
        <w:rPr>
          <w:rFonts w:ascii="Times New Roman" w:cs="Times New Roman" w:eastAsia="Times New Roman" w:hAnsi="Times New Roman"/>
          <w:sz w:val="18"/>
          <w:szCs w:val="18"/>
          <w:color w:val="auto"/>
        </w:rPr>
      </w:pPr>
    </w:p>
    <w:p>
      <w:pPr>
        <w:ind w:left="128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has been made either party which is not expressly set forth in this Agreement.</w:t>
      </w:r>
    </w:p>
    <w:p>
      <w:pPr>
        <w:spacing w:after="0" w:line="180" w:lineRule="exact"/>
        <w:rPr>
          <w:rFonts w:ascii="Times New Roman" w:cs="Times New Roman" w:eastAsia="Times New Roman" w:hAnsi="Times New Roman"/>
          <w:sz w:val="18"/>
          <w:szCs w:val="18"/>
          <w:color w:val="auto"/>
        </w:rPr>
      </w:pPr>
    </w:p>
    <w:p>
      <w:pPr>
        <w:ind w:left="1280" w:hanging="63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9.4.Neither this Agreement nor any right or interest hereunder shall be assignable or transferable by the Consultant, Consultant's beneficiaries or legal representatives, except by will or by the laws of descent and distribution and except as set forth in Section 4.3 above, where this Agreement shall inure to the benefit of and be enforceable by the Consultant’s legal personal representative.</w:t>
      </w:r>
    </w:p>
    <w:p>
      <w:pPr>
        <w:spacing w:after="0" w:line="176" w:lineRule="exact"/>
        <w:rPr>
          <w:sz w:val="20"/>
          <w:szCs w:val="20"/>
          <w:color w:val="auto"/>
        </w:rPr>
      </w:pPr>
    </w:p>
    <w:p>
      <w:pPr>
        <w:jc w:val="both"/>
        <w:ind w:left="1280" w:hanging="634"/>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For the purpose of this Agreement, notices and all other communications provided for in the Agreement shall be in writing and shall be deemed to have been duly given when sent via fax, personally delivered or sent by registered mail, postage prepaid, addressed to the respective addresses set forth above or last given by each party to the other, except that notice of change of address shall be effective only upon receipt.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Alcobra Ltd.</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 Dalia Megiddo</w:t>
            </w:r>
          </w:p>
        </w:tc>
      </w:tr>
      <w:tr>
        <w:trPr>
          <w:trHeight w:val="432"/>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Yaron Daniely</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 Dalia Megiddo</w:t>
            </w: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Yaron Daniely</w:t>
            </w:r>
          </w:p>
        </w:tc>
        <w:tc>
          <w:tcPr>
            <w:tcW w:w="460" w:type="dxa"/>
            <w:vAlign w:val="bottom"/>
          </w:tcPr>
          <w:p>
            <w:pPr>
              <w:spacing w:after="0"/>
              <w:rPr>
                <w:sz w:val="18"/>
                <w:szCs w:val="18"/>
                <w:color w:val="auto"/>
              </w:rPr>
            </w:pPr>
          </w:p>
        </w:tc>
        <w:tc>
          <w:tcPr>
            <w:tcW w:w="5460" w:type="dxa"/>
            <w:vAlign w:val="bottom"/>
            <w:tcBorders>
              <w:top w:val="single" w:sz="8" w:color="auto"/>
            </w:tcBorders>
          </w:tcPr>
          <w:p>
            <w:pPr>
              <w:spacing w:after="0"/>
              <w:rPr>
                <w:sz w:val="18"/>
                <w:szCs w:val="18"/>
                <w:color w:val="auto"/>
              </w:rPr>
            </w:pPr>
          </w:p>
        </w:tc>
      </w:tr>
      <w:tr>
        <w:trPr>
          <w:trHeight w:val="210"/>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642"/>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 - Consideration, Fees, Expenses and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Consultant's services and subject to the performance of the Services required to be performed hereunder by the Consultant under the agreement which this Annex A is attached to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all terms not defined herein shall have the meaning ascribed to them in the Agreement), the Company shall pay to the Consultant the Monthly Fee (as defined below) and provide Consultant with additional benefits as detailed herein.</w:t>
      </w:r>
    </w:p>
    <w:p>
      <w:pPr>
        <w:spacing w:after="0" w:line="172" w:lineRule="exact"/>
        <w:rPr>
          <w:sz w:val="20"/>
          <w:szCs w:val="20"/>
          <w:color w:val="auto"/>
        </w:rPr>
      </w:pPr>
    </w:p>
    <w:p>
      <w:pPr>
        <w:ind w:left="640" w:hanging="632"/>
        <w:spacing w:after="0" w:line="286"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Monthly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the Agreement, the Company shall pay to the Consultant an amount of 10,000 NIS per month, plus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VAT (the “</w:t>
      </w:r>
      <w:r>
        <w:rPr>
          <w:rFonts w:ascii="Times New Roman" w:cs="Times New Roman" w:eastAsia="Times New Roman" w:hAnsi="Times New Roman"/>
          <w:sz w:val="18"/>
          <w:szCs w:val="18"/>
          <w:b w:val="1"/>
          <w:bCs w:val="1"/>
          <w:color w:val="auto"/>
        </w:rPr>
        <w:t>Monthly Fee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4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Fee, and any other payment due to Consultant under this Agreement, shall be made against a validly issued invoice by the Consultant, and paid no later than the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of each month with respect to the preceding month.</w:t>
      </w:r>
    </w:p>
    <w:p>
      <w:pPr>
        <w:spacing w:after="0" w:line="37" w:lineRule="exact"/>
        <w:rPr>
          <w:rFonts w:ascii="Times New Roman" w:cs="Times New Roman" w:eastAsia="Times New Roman" w:hAnsi="Times New Roman"/>
          <w:sz w:val="18"/>
          <w:szCs w:val="18"/>
          <w:color w:val="auto"/>
        </w:rPr>
      </w:pPr>
    </w:p>
    <w:p>
      <w:pPr>
        <w:ind w:lef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and pay its own taxes as may be imposed in accordance with any law in connection with any payment or benefit made under the Agreement.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the Consultant shall not be entitled to any further payment in connection with the performance of the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0" w:name="page141"/>
    <w:bookmarkEnd w:id="140"/>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 Non-Compete and Proprietary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90400\0\318</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3"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DDENDUM</w:t>
      </w:r>
      <w:r>
        <w:rPr>
          <w:rFonts w:ascii="Times New Roman" w:cs="Times New Roman" w:eastAsia="Times New Roman" w:hAnsi="Times New Roman"/>
          <w:sz w:val="18"/>
          <w:szCs w:val="18"/>
          <w:b w:val="1"/>
          <w:bCs w:val="1"/>
          <w:color w:val="auto"/>
        </w:rPr>
        <w:t xml:space="preserve"> I </w:t>
      </w:r>
      <w:r>
        <w:rPr>
          <w:rFonts w:ascii="Times New Roman" w:cs="Times New Roman" w:eastAsia="Times New Roman" w:hAnsi="Times New Roman"/>
          <w:sz w:val="12"/>
          <w:szCs w:val="12"/>
          <w:b w:val="1"/>
          <w:bCs w:val="1"/>
          <w:color w:val="auto"/>
        </w:rPr>
        <w:t>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addendum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dated as of March 14, 2013, is made by and between Alcobra Ltd., a company incorporated under the laws of the State of Israel with its principal office at 35 Ehad Ha’am St., Tel Aviv, Israel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Dr. Dalia Megiddo, Israeli ID 050694348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otherwise defined herein shall have the meaning ascribed to them in the Agreement (as defined below).</w:t>
      </w:r>
    </w:p>
    <w:p>
      <w:pPr>
        <w:spacing w:after="0" w:line="221" w:lineRule="exact"/>
        <w:rPr>
          <w:sz w:val="20"/>
          <w:szCs w:val="20"/>
          <w:color w:val="auto"/>
        </w:rPr>
      </w:pPr>
    </w:p>
    <w:p>
      <w:pPr>
        <w:jc w:val="both"/>
        <w:ind w:left="98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Parties have entered into a certain 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June 2, 2011, pursuant to which Consultant provides Company with consulting Services related to pre-clinical, clinical, regulatory and intellectual property issues; and</w:t>
      </w:r>
    </w:p>
    <w:p>
      <w:pPr>
        <w:spacing w:after="0" w:line="182" w:lineRule="exact"/>
        <w:rPr>
          <w:sz w:val="20"/>
          <w:szCs w:val="20"/>
          <w:color w:val="auto"/>
        </w:rPr>
      </w:pPr>
    </w:p>
    <w:p>
      <w:pPr>
        <w:jc w:val="both"/>
        <w:ind w:left="98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Company is currently contemplating an Initial Public Offering of the Company’s Ordinary Shares on the NASDAQ Capital Market (an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subsequent to which intensified efforts in performance of Services shall be required of Consultant; and</w:t>
      </w:r>
    </w:p>
    <w:p>
      <w:pPr>
        <w:spacing w:after="0" w:line="182" w:lineRule="exact"/>
        <w:rPr>
          <w:sz w:val="20"/>
          <w:szCs w:val="20"/>
          <w:color w:val="auto"/>
        </w:rPr>
      </w:pPr>
    </w:p>
    <w:p>
      <w:pPr>
        <w:jc w:val="both"/>
        <w:ind w:left="980" w:hanging="979"/>
        <w:spacing w:after="0" w:line="28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Whereas</w:t>
      </w:r>
      <w:r>
        <w:rPr>
          <w:sz w:val="20"/>
          <w:szCs w:val="20"/>
          <w:color w:val="auto"/>
        </w:rPr>
        <w:tab/>
      </w:r>
      <w:r>
        <w:rPr>
          <w:rFonts w:ascii="Times New Roman" w:cs="Times New Roman" w:eastAsia="Times New Roman" w:hAnsi="Times New Roman"/>
          <w:sz w:val="18"/>
          <w:szCs w:val="18"/>
          <w:color w:val="auto"/>
        </w:rPr>
        <w:t>the Parties wish to amend and modify the Agreement with respect to the compensation and benefits to which Consultant shall be entitled to for performance of the Services subsequent to the IPO;</w:t>
      </w:r>
    </w:p>
    <w:p>
      <w:pPr>
        <w:spacing w:after="0" w:line="1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mutual agreements herein set forth, the Parties hereto, intending to be legally bound, have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ind w:left="340" w:right="20" w:hanging="332"/>
        <w:spacing w:after="0" w:line="282"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 of Annex A to the Agreement, subject to and effective upon consummation of IPO, the “Monthly Fee” to be awarded to Consultant for performance of Services shall be NIS 20,000 plus VAT.</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Agreement shall continue in full force and effect with the necessary changes resulting from this Addendum.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Addendum as of the date first above written.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Yaron Daniely</w:t>
            </w: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 Dalia Megiddo</w:t>
            </w:r>
          </w:p>
        </w:tc>
      </w:tr>
      <w:tr>
        <w:trPr>
          <w:trHeight w:val="232"/>
        </w:trPr>
        <w:tc>
          <w:tcPr>
            <w:tcW w:w="20" w:type="dxa"/>
            <w:vAlign w:val="bottom"/>
          </w:tcPr>
          <w:p>
            <w:pPr>
              <w:spacing w:after="0"/>
              <w:rPr>
                <w:sz w:val="20"/>
                <w:szCs w:val="20"/>
                <w:color w:val="auto"/>
              </w:rPr>
            </w:pP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Alcobra Ltd.</w:t>
            </w:r>
          </w:p>
        </w:tc>
        <w:tc>
          <w:tcPr>
            <w:tcW w:w="320" w:type="dxa"/>
            <w:vAlign w:val="bottom"/>
          </w:tcPr>
          <w:p>
            <w:pPr>
              <w:spacing w:after="0"/>
              <w:rPr>
                <w:sz w:val="20"/>
                <w:szCs w:val="20"/>
                <w:color w:val="auto"/>
              </w:rPr>
            </w:pPr>
          </w:p>
        </w:tc>
        <w:tc>
          <w:tcPr>
            <w:tcW w:w="5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Dr. Dalia Megiddo</w:t>
            </w:r>
          </w:p>
        </w:tc>
      </w:tr>
      <w:tr>
        <w:trPr>
          <w:trHeight w:val="41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Yaron Daniely</w:t>
            </w:r>
          </w:p>
        </w:tc>
        <w:tc>
          <w:tcPr>
            <w:tcW w:w="5560" w:type="dxa"/>
            <w:vAlign w:val="bottom"/>
          </w:tcPr>
          <w:p>
            <w:pPr>
              <w:spacing w:after="0"/>
              <w:rPr>
                <w:sz w:val="24"/>
                <w:szCs w:val="24"/>
                <w:color w:val="auto"/>
              </w:rPr>
            </w:pPr>
          </w:p>
        </w:tc>
      </w:tr>
      <w:tr>
        <w:trPr>
          <w:trHeight w:val="432"/>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560" w:type="dxa"/>
            <w:vAlign w:val="bottom"/>
          </w:tcPr>
          <w:p>
            <w:pPr>
              <w:spacing w:after="0"/>
              <w:rPr>
                <w:sz w:val="24"/>
                <w:szCs w:val="24"/>
                <w:color w:val="auto"/>
              </w:rPr>
            </w:pPr>
          </w:p>
        </w:tc>
      </w:tr>
      <w:tr>
        <w:trPr>
          <w:trHeight w:val="648"/>
        </w:trPr>
        <w:tc>
          <w:tcPr>
            <w:tcW w:w="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8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EMPLOYMENT AGREEMENT</w:t>
            </w:r>
          </w:p>
        </w:tc>
      </w:tr>
      <w:tr>
        <w:trPr>
          <w:trHeight w:val="216"/>
        </w:trPr>
        <w:tc>
          <w:tcPr>
            <w:tcW w:w="11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7"/>
              </w:rPr>
              <w:t>AND</w:t>
            </w:r>
          </w:p>
        </w:tc>
      </w:tr>
      <w:tr>
        <w:trPr>
          <w:trHeight w:val="216"/>
        </w:trPr>
        <w:tc>
          <w:tcPr>
            <w:tcW w:w="1100" w:type="dxa"/>
            <w:vAlign w:val="bottom"/>
          </w:tcPr>
          <w:p>
            <w:pPr>
              <w:spacing w:after="0"/>
              <w:rPr>
                <w:sz w:val="18"/>
                <w:szCs w:val="18"/>
                <w:color w:val="auto"/>
              </w:rPr>
            </w:pPr>
          </w:p>
        </w:tc>
        <w:tc>
          <w:tcPr>
            <w:tcW w:w="78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A NOTICE UNDER THE NOTICE TO EMPLOYEE LAW</w:t>
            </w:r>
          </w:p>
        </w:tc>
      </w:tr>
      <w:tr>
        <w:trPr>
          <w:trHeight w:val="238"/>
        </w:trPr>
        <w:tc>
          <w:tcPr>
            <w:tcW w:w="1100" w:type="dxa"/>
            <w:vAlign w:val="bottom"/>
          </w:tcPr>
          <w:p>
            <w:pPr>
              <w:spacing w:after="0"/>
              <w:rPr>
                <w:sz w:val="20"/>
                <w:szCs w:val="20"/>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(TERMS OF EMPLOYMENT), 5762 – 2002</w:t>
            </w:r>
          </w:p>
        </w:tc>
      </w:tr>
      <w:tr>
        <w:trPr>
          <w:trHeight w:val="432"/>
        </w:trPr>
        <w:tc>
          <w:tcPr>
            <w:tcW w:w="1100" w:type="dxa"/>
            <w:vAlign w:val="bottom"/>
          </w:tcPr>
          <w:p>
            <w:pPr>
              <w:spacing w:after="0"/>
              <w:rPr>
                <w:sz w:val="24"/>
                <w:szCs w:val="24"/>
                <w:color w:val="auto"/>
              </w:rPr>
            </w:pPr>
          </w:p>
        </w:tc>
        <w:tc>
          <w:tcPr>
            <w:tcW w:w="7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Duly executed at the 4 date of March, 2010</w:t>
            </w:r>
          </w:p>
        </w:tc>
      </w:tr>
      <w:tr>
        <w:trPr>
          <w:trHeight w:val="432"/>
        </w:trPr>
        <w:tc>
          <w:tcPr>
            <w:tcW w:w="1100" w:type="dxa"/>
            <w:vAlign w:val="bottom"/>
          </w:tcPr>
          <w:p>
            <w:pPr>
              <w:spacing w:after="0"/>
              <w:rPr>
                <w:sz w:val="24"/>
                <w:szCs w:val="24"/>
                <w:color w:val="auto"/>
              </w:rPr>
            </w:pPr>
          </w:p>
        </w:tc>
        <w:tc>
          <w:tcPr>
            <w:tcW w:w="78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BY AND BETWEEN</w:t>
            </w:r>
          </w:p>
        </w:tc>
      </w:tr>
      <w:tr>
        <w:trPr>
          <w:trHeight w:val="410"/>
        </w:trPr>
        <w:tc>
          <w:tcPr>
            <w:tcW w:w="1100" w:type="dxa"/>
            <w:vAlign w:val="bottom"/>
          </w:tcPr>
          <w:p>
            <w:pPr>
              <w:spacing w:after="0"/>
              <w:rPr>
                <w:sz w:val="24"/>
                <w:szCs w:val="24"/>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ALCOBRA LTD.</w:t>
            </w:r>
          </w:p>
        </w:tc>
      </w:tr>
      <w:tr>
        <w:trPr>
          <w:trHeight w:val="216"/>
        </w:trPr>
        <w:tc>
          <w:tcPr>
            <w:tcW w:w="1100" w:type="dxa"/>
            <w:vAlign w:val="bottom"/>
          </w:tcPr>
          <w:p>
            <w:pPr>
              <w:spacing w:after="0"/>
              <w:rPr>
                <w:sz w:val="18"/>
                <w:szCs w:val="18"/>
                <w:color w:val="auto"/>
              </w:rPr>
            </w:pPr>
          </w:p>
        </w:tc>
        <w:tc>
          <w:tcPr>
            <w:tcW w:w="78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Company incorporated under the laws of the State of Israel</w:t>
            </w:r>
          </w:p>
        </w:tc>
      </w:tr>
      <w:tr>
        <w:trPr>
          <w:trHeight w:val="238"/>
        </w:trPr>
        <w:tc>
          <w:tcPr>
            <w:tcW w:w="1100" w:type="dxa"/>
            <w:vAlign w:val="bottom"/>
          </w:tcPr>
          <w:p>
            <w:pPr>
              <w:spacing w:after="0"/>
              <w:rPr>
                <w:sz w:val="20"/>
                <w:szCs w:val="20"/>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432"/>
        </w:trPr>
        <w:tc>
          <w:tcPr>
            <w:tcW w:w="1100" w:type="dxa"/>
            <w:vAlign w:val="bottom"/>
          </w:tcPr>
          <w:p>
            <w:pPr>
              <w:spacing w:after="0"/>
              <w:rPr>
                <w:sz w:val="24"/>
                <w:szCs w:val="24"/>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7"/>
              </w:rPr>
              <w:t>AND</w:t>
            </w:r>
          </w:p>
        </w:tc>
      </w:tr>
      <w:tr>
        <w:trPr>
          <w:trHeight w:val="410"/>
        </w:trPr>
        <w:tc>
          <w:tcPr>
            <w:tcW w:w="1100" w:type="dxa"/>
            <w:vAlign w:val="bottom"/>
          </w:tcPr>
          <w:p>
            <w:pPr>
              <w:spacing w:after="0"/>
              <w:rPr>
                <w:sz w:val="24"/>
                <w:szCs w:val="24"/>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Yaron Daniely I.D. 038300331</w:t>
            </w:r>
          </w:p>
        </w:tc>
      </w:tr>
      <w:tr>
        <w:trPr>
          <w:trHeight w:val="238"/>
        </w:trPr>
        <w:tc>
          <w:tcPr>
            <w:tcW w:w="1100" w:type="dxa"/>
            <w:vAlign w:val="bottom"/>
          </w:tcPr>
          <w:p>
            <w:pPr>
              <w:spacing w:after="0"/>
              <w:rPr>
                <w:sz w:val="20"/>
                <w:szCs w:val="20"/>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wishes to employ the Executive according to the terms and conditions set herein; and</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Executive agrees to be employed by the Company according to the said terms and conditions; and</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Executive's employment requires Executive's involvement with confidential information of the Company.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in considerations of the mutual promises and agreements, the parties hereto agree, declare and stipulate as follows:</w:t>
      </w:r>
    </w:p>
    <w:p>
      <w:pPr>
        <w:spacing w:after="0" w:line="229" w:lineRule="exact"/>
        <w:rPr>
          <w:sz w:val="20"/>
          <w:szCs w:val="20"/>
          <w:color w:val="auto"/>
        </w:rPr>
      </w:pPr>
    </w:p>
    <w:p>
      <w:pPr>
        <w:ind w:left="640" w:hanging="632"/>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preamble and any appendix attached hereto shall constitute an integral part hereof.</w:t>
      </w:r>
    </w:p>
    <w:p>
      <w:pPr>
        <w:spacing w:after="0" w:line="22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hires the Executive as CEO of the Company reporting to the Company's Board of Directors and Executive accepts such employment upon the following terms and conditions.</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employed as a "full time employee", in accordance with the standard working hours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3" w:name="page144"/>
    <w:bookmarkEnd w:id="143"/>
    <w:p>
      <w:pPr>
        <w:ind w:left="640" w:hanging="632"/>
        <w:spacing w:after="0"/>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p>
    <w:p>
      <w:pPr>
        <w:spacing w:after="0" w:line="225" w:lineRule="exact"/>
        <w:rPr>
          <w:rFonts w:ascii="Times New Roman" w:cs="Times New Roman" w:eastAsia="Times New Roman" w:hAnsi="Times New Roman"/>
          <w:sz w:val="18"/>
          <w:szCs w:val="18"/>
          <w:color w:val="auto"/>
        </w:rPr>
      </w:pPr>
    </w:p>
    <w:p>
      <w:pPr>
        <w:ind w:left="1280" w:hanging="635"/>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4.1.The term of this Agreement shall commence as of [May _, 2010]. This Agreement is for an unlimited duration. Notwithstanding the above, each party to this Agreement may terminate it without cause upon serving the other party a written notice, 60 days in advance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During the period after Notice is given, the Executive shall continue to perform all of his obligations pursuant to the terms of this Agreement. Notwithstanding the aforesaid, by notifying Executive concurrently with or at any time after a termination Notice is delivered by either party hereto, Company shall be entitled to waive Executive’s services with Company during the Notice period or any part thereof and/or terminate the employer-employee relationship prior to the completion of the Notice period; In such events Company shall pay Executive that sum equal to the amount which Executive would have been entitled to receive for his services rendered until the lapse of the Notice period absent such waiver or termination, as applicable.</w:t>
      </w:r>
    </w:p>
    <w:p>
      <w:pPr>
        <w:spacing w:after="0" w:line="185" w:lineRule="exact"/>
        <w:rPr>
          <w:rFonts w:ascii="Times New Roman" w:cs="Times New Roman" w:eastAsia="Times New Roman" w:hAnsi="Times New Roman"/>
          <w:sz w:val="18"/>
          <w:szCs w:val="18"/>
          <w:color w:val="auto"/>
        </w:rPr>
      </w:pPr>
    </w:p>
    <w:p>
      <w:pPr>
        <w:ind w:left="1280" w:hanging="635"/>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4.2.Upon termination of this Agreement, for whatever reason, the Executive shall immediately return to the Company all the information, documents, office equipment, furniture, computers, fax machines, cellular telephone and Company car (if applicable) and other supplies which the Executive received. The Executive hereby waives any rights to withhold or retain any of the items above, whether the Executive had the right under law or contract or otherwise. During the period following the Notice was given, the Executive shall cooperate with the Company and use his best efforts to assist the integration into the Company’s organization of the person or persons who will assume the Executive’s responsibilities.</w:t>
      </w:r>
    </w:p>
    <w:p>
      <w:pPr>
        <w:spacing w:after="0" w:line="187" w:lineRule="exact"/>
        <w:rPr>
          <w:rFonts w:ascii="Times New Roman" w:cs="Times New Roman" w:eastAsia="Times New Roman" w:hAnsi="Times New Roman"/>
          <w:sz w:val="18"/>
          <w:szCs w:val="18"/>
          <w:color w:val="auto"/>
        </w:rPr>
      </w:pPr>
    </w:p>
    <w:p>
      <w:pPr>
        <w:jc w:val="right"/>
        <w:ind w:left="1280" w:hanging="635"/>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4.3.Notwithstanding the above, the Company shall be entitled to immediately terminate this Agreement without providing a prior notice and with no additional compensation in the following events: (i) Executive has willfully failing to perform duties, consistent with his position, under this Agreement, provided that the Company informed on such failure and such failure was not cured ; (ii) Executive has committed a dishonorable criminal offense; (iii) Executive is in breach of his duties of trust or loyalty to Company or the commission by the Executive of an act of fraud or embezzlement, or any other act involving the misappropriation of funds or assets of the Company or any of its affiliates;</w:t>
      </w:r>
    </w:p>
    <w:p>
      <w:pPr>
        <w:spacing w:after="0" w:line="3" w:lineRule="exact"/>
        <w:rPr>
          <w:rFonts w:ascii="Times New Roman" w:cs="Times New Roman" w:eastAsia="Times New Roman" w:hAnsi="Times New Roman"/>
          <w:sz w:val="18"/>
          <w:szCs w:val="18"/>
          <w:color w:val="auto"/>
        </w:rPr>
      </w:pPr>
    </w:p>
    <w:p>
      <w:pPr>
        <w:jc w:val="both"/>
        <w:ind w:left="1280" w:hanging="2"/>
        <w:spacing w:after="0" w:line="254" w:lineRule="auto"/>
        <w:tabs>
          <w:tab w:leader="none" w:pos="162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deliberately causes harm to Company’s business affairs; (v) Executive breaches any of his confidentiality and/or non-competition and/or non-solicitation and/or assignment of inventions provisions of this Agreement; and/or (vi) circumstances that do not entitle Executive to severance payments under any applicable law and/or under any judicial decision of a competent tribunal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Cause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representations and undertakings</w:t>
      </w:r>
    </w:p>
    <w:p>
      <w:pPr>
        <w:spacing w:after="0" w:line="225" w:lineRule="exact"/>
        <w:rPr>
          <w:rFonts w:ascii="Times New Roman" w:cs="Times New Roman" w:eastAsia="Times New Roman" w:hAnsi="Times New Roman"/>
          <w:sz w:val="18"/>
          <w:szCs w:val="18"/>
          <w:color w:val="auto"/>
        </w:rPr>
      </w:pPr>
    </w:p>
    <w:p>
      <w:pPr>
        <w:ind w:left="130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5.1.The Executive represents and warrants to the Company that the execution and delivery of this Agreement and the fulfillment of the terms hereof (i) will not constitute a default under or breach of any agreement or instrument to which he is party or by which he is bound, including without limitation, any confidentially and non competition agreement, (ii) does not require the consent of any person or entity (iii) shall not utilize during the Term any proprietary information of any third party, including prior employers of the Executive.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4" w:name="page145"/>
    <w:bookmarkEnd w:id="144"/>
    <w:p>
      <w:pPr>
        <w:jc w:val="both"/>
        <w:ind w:left="1300" w:hanging="634"/>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Executive undertakes to comply with the Company's disciplinary regulations, work rules, policies, procedures and objectives, and the policy with respect to the prevention of sexual harassment code as set from time to time and with the requirements of the applicable law.</w:t>
      </w:r>
    </w:p>
    <w:p>
      <w:pPr>
        <w:spacing w:after="0" w:line="162" w:lineRule="exact"/>
        <w:rPr>
          <w:sz w:val="20"/>
          <w:szCs w:val="20"/>
          <w:color w:val="auto"/>
        </w:rPr>
      </w:pPr>
    </w:p>
    <w:p>
      <w:pPr>
        <w:jc w:val="both"/>
        <w:ind w:left="1300" w:hanging="634"/>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During the Term, the Executive shall, except during customary vacation periods and periods of illness or military service (Milu’im), devote all necessary time and attention to the business of the Company and shall perform his duties diligently and promptly for the benefit of the Company. The Executive shall devote all his attention to promoting the best interests of the Company. The Executive shall competently perform all assigned duties, carry out the policies, directives, and decisions of the Company.</w:t>
      </w:r>
    </w:p>
    <w:p>
      <w:pPr>
        <w:spacing w:after="0" w:line="180" w:lineRule="exact"/>
        <w:rPr>
          <w:sz w:val="20"/>
          <w:szCs w:val="20"/>
          <w:color w:val="auto"/>
        </w:rPr>
      </w:pPr>
    </w:p>
    <w:p>
      <w:pPr>
        <w:jc w:val="both"/>
        <w:ind w:left="1280" w:hanging="634"/>
        <w:spacing w:after="0" w:line="256" w:lineRule="auto"/>
        <w:tabs>
          <w:tab w:leader="none" w:pos="12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Unless authorized in writing by the Board of Directors, the Executive shall not undertake or accept any other (paid or unpaid) employment or occupation or engage in or be associated with, directly or indirectly, any other businesses, duties or pursuits, other than the Executive prior academic obligations requiring, in aggregate, not more than 2 hours of the Executive's work-time per week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Engagement(s)</w:t>
      </w:r>
      <w:r>
        <w:rPr>
          <w:rFonts w:ascii="Times New Roman" w:cs="Times New Roman" w:eastAsia="Times New Roman" w:hAnsi="Times New Roman"/>
          <w:sz w:val="18"/>
          <w:szCs w:val="18"/>
          <w:color w:val="auto"/>
        </w:rPr>
        <w:t>"). The Executive shall inform the Company's Board of Directors in advance of any Additional Engagements he intends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 or accept. The Executive undertakes to immediately and without delay inform the Company of any affairs and/or matters that might constitute a conflict of interest with Executive’s Position and/or employment with Company.</w:t>
      </w:r>
    </w:p>
    <w:p>
      <w:pPr>
        <w:spacing w:after="0" w:line="188" w:lineRule="exact"/>
        <w:rPr>
          <w:sz w:val="20"/>
          <w:szCs w:val="20"/>
          <w:color w:val="auto"/>
        </w:rPr>
      </w:pPr>
    </w:p>
    <w:p>
      <w:pPr>
        <w:jc w:val="both"/>
        <w:ind w:left="1300" w:hanging="634"/>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Executive acknowledges and agrees that Executive’s position with the Company is one that requires a special measure of personal trust as defined under the Work and Rest Hours Law, 5711-1951, and therefore, the provisions of such law shall not apply to the Executive. The Executive further acknowledges and agrees that his duties and responsibilities may entail irregular work hours and extensive traveling, for which he is adequately rewarded by the compensation provided for in this Agreement. Not withholding from the above, the Executive shall report his work hours as required by law.</w:t>
      </w:r>
    </w:p>
    <w:p>
      <w:pPr>
        <w:spacing w:after="0" w:line="184" w:lineRule="exact"/>
        <w:rPr>
          <w:sz w:val="20"/>
          <w:szCs w:val="20"/>
          <w:color w:val="auto"/>
        </w:rPr>
      </w:pPr>
    </w:p>
    <w:p>
      <w:pPr>
        <w:jc w:val="both"/>
        <w:ind w:left="1300" w:right="20" w:hanging="634"/>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The Executive shall be employed by the Company at its offices in such place as shall be determined by the Company. However, it is agreed that the Executive may be required to spend time in other offices of the Company in Israel and worldwide.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5 the term ‘Company’ shall include the Company and its subsidiaries and branches.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5" w:name="page146"/>
    <w:bookmarkEnd w:id="145"/>
    <w:p>
      <w:pPr>
        <w:ind w:left="640" w:hanging="632"/>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p>
    <w:p>
      <w:pPr>
        <w:spacing w:after="0" w:line="2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be entitled to compensation and other benefits and conditions as detailed in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xml:space="preserve"> attached hereto.</w:t>
      </w:r>
    </w:p>
    <w:p>
      <w:pPr>
        <w:spacing w:after="0" w:line="22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Non Compete Undertakings</w:t>
      </w:r>
    </w:p>
    <w:p>
      <w:pPr>
        <w:spacing w:after="0" w:line="225" w:lineRule="exact"/>
        <w:rPr>
          <w:rFonts w:ascii="Times New Roman" w:cs="Times New Roman" w:eastAsia="Times New Roman" w:hAnsi="Times New Roman"/>
          <w:sz w:val="18"/>
          <w:szCs w:val="18"/>
          <w:color w:val="auto"/>
        </w:rPr>
      </w:pPr>
    </w:p>
    <w:p>
      <w:pPr>
        <w:jc w:val="both"/>
        <w:ind w:left="6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undertakes, in addition to any other commitment he may take upon himself, and without derogating from any such undertaking, to confirm and fulfill all the undertakings set in the non disclosure, assignment of rights and non competition undertaking is attached hereto as</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Appendix B.</w:t>
      </w:r>
    </w:p>
    <w:p>
      <w:pPr>
        <w:spacing w:after="0" w:line="20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Media Equipment</w:t>
      </w:r>
    </w:p>
    <w:p>
      <w:pPr>
        <w:spacing w:after="0" w:line="225"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provide the Executive with a cellular phone, a computer, an e-mail or any other property of the Company for communication needs during the Executive's work (the "</w:t>
      </w:r>
      <w:r>
        <w:rPr>
          <w:rFonts w:ascii="Times New Roman" w:cs="Times New Roman" w:eastAsia="Times New Roman" w:hAnsi="Times New Roman"/>
          <w:sz w:val="18"/>
          <w:szCs w:val="18"/>
          <w:b w:val="1"/>
          <w:bCs w:val="1"/>
          <w:color w:val="auto"/>
        </w:rPr>
        <w:t>Media Equipment</w:t>
      </w:r>
      <w:r>
        <w:rPr>
          <w:rFonts w:ascii="Times New Roman" w:cs="Times New Roman" w:eastAsia="Times New Roman" w:hAnsi="Times New Roman"/>
          <w:sz w:val="18"/>
          <w:szCs w:val="18"/>
          <w:color w:val="auto"/>
        </w:rPr>
        <w:t>"). The Executive undertakes to use the Company’s Media Equipment and facilities only for the purpose of his employment. The Executive acknowledges that all of the Media Equipment is the property of the Company and agrees that the Company is entitled to conduct inspections within the Company’s offices and on the Company’s the Media Equipment, including inspections of e-mail transmissions, internet usage and inspections of their content at the Company's discretion. For the avoidance of any doubt, it is hereby clarified that all such examination findings shall be the Company’s sole property. The Executive acknowledges that, in order to keep his privacy, he should avoid any personal use of the Company’s Media Equipment and facilities. By Signing this Agreement, The Executive grants the Company an irrevocable right to conduct inspections as aforesaid, including unannounced inspections.</w:t>
      </w:r>
    </w:p>
    <w:p>
      <w:pPr>
        <w:spacing w:after="0" w:line="18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Military Reserve Duty</w:t>
      </w:r>
    </w:p>
    <w:p>
      <w:pPr>
        <w:spacing w:after="0" w:line="225" w:lineRule="exact"/>
        <w:rPr>
          <w:rFonts w:ascii="Times New Roman" w:cs="Times New Roman" w:eastAsia="Times New Roman" w:hAnsi="Times New Roman"/>
          <w:sz w:val="18"/>
          <w:szCs w:val="18"/>
          <w:color w:val="auto"/>
        </w:rPr>
      </w:pPr>
    </w:p>
    <w:p>
      <w:pPr>
        <w:jc w:val="both"/>
        <w:ind w:left="6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inform Company of any military reserve duty Executive has been ordered to perform, immediately after he has been notified of the same. Executive undertakes to provide Company with proper confirmation of active military reserve duty, so that Company may collect from the National Insurance Institute all amounts to which Executive or Company is entitled in connection with such service.</w:t>
      </w:r>
    </w:p>
    <w:p>
      <w:pPr>
        <w:spacing w:after="0" w:line="17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left="1280" w:hanging="63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In the event of (i) a merger, acquisition or reorganization of the Company with one or more other entities, in which the Company is not the surviving entity; or (ii) a sale of all or substantially all of the assets or shares of the Company, the Company may assign or transfer this Agreement or any right, claim or obligation provided herein, provided however that none of Executive’s rights under this Agreement are thereby diminished.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6" w:name="page147"/>
    <w:bookmarkEnd w:id="146"/>
    <w:p>
      <w:pPr>
        <w:jc w:val="both"/>
        <w:ind w:left="80" w:hanging="634"/>
        <w:spacing w:after="0" w:line="282" w:lineRule="auto"/>
        <w:tabs>
          <w:tab w:leader="none" w:pos="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Company shall withhold, or charge Executive with, all taxes and other compulsory payments as required under applicable law with respect to all payments, benefits and/or other compensation paid to Executive in connection with his employment with Company.</w:t>
      </w:r>
    </w:p>
    <w:p>
      <w:pPr>
        <w:spacing w:after="0" w:line="162" w:lineRule="exact"/>
        <w:rPr>
          <w:sz w:val="20"/>
          <w:szCs w:val="20"/>
          <w:color w:val="auto"/>
        </w:rPr>
      </w:pPr>
    </w:p>
    <w:p>
      <w:pPr>
        <w:jc w:val="both"/>
        <w:ind w:left="80" w:right="20" w:hanging="634"/>
        <w:spacing w:after="0" w:line="282" w:lineRule="auto"/>
        <w:tabs>
          <w:tab w:leader="none" w:pos="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Company shall be entitled to offset from any and/or all payments to which Executive shall be entitled thereof, any and/or all amounts to which Company shall be entitled from Executive at such time.</w:t>
      </w:r>
    </w:p>
    <w:p>
      <w:pPr>
        <w:spacing w:after="0" w:line="162" w:lineRule="exact"/>
        <w:rPr>
          <w:sz w:val="20"/>
          <w:szCs w:val="20"/>
          <w:color w:val="auto"/>
        </w:rPr>
      </w:pPr>
    </w:p>
    <w:p>
      <w:pPr>
        <w:jc w:val="both"/>
        <w:ind w:left="80" w:hanging="634"/>
        <w:spacing w:after="0" w:line="282" w:lineRule="auto"/>
        <w:tabs>
          <w:tab w:leader="none" w:pos="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Captions and paragraph headings used in this Agreement are for convenience purposes only and shall not be used for the interpretation thereof.</w:t>
      </w:r>
    </w:p>
    <w:p>
      <w:pPr>
        <w:spacing w:after="0" w:line="162" w:lineRule="exact"/>
        <w:rPr>
          <w:sz w:val="20"/>
          <w:szCs w:val="20"/>
          <w:color w:val="auto"/>
        </w:rPr>
      </w:pPr>
    </w:p>
    <w:p>
      <w:pPr>
        <w:jc w:val="both"/>
        <w:ind w:left="80" w:right="20" w:hanging="634"/>
        <w:spacing w:after="0" w:line="266" w:lineRule="auto"/>
        <w:tabs>
          <w:tab w:leader="none" w:pos="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The terms and conditions of this Agreement are strictly confidential and shall not be disclosed to any of other Company’s employees. Breaching of this section shall be considered a material breach of Executive’s fiduciary duties as well as of this Agreement. The Company will provide this information only on a need to know basis, or according to the law.</w:t>
      </w:r>
    </w:p>
    <w:p>
      <w:pPr>
        <w:spacing w:after="0" w:line="176" w:lineRule="exact"/>
        <w:rPr>
          <w:sz w:val="20"/>
          <w:szCs w:val="20"/>
          <w:color w:val="auto"/>
        </w:rPr>
      </w:pPr>
    </w:p>
    <w:p>
      <w:pPr>
        <w:jc w:val="both"/>
        <w:ind w:left="80" w:hanging="634"/>
        <w:spacing w:after="0" w:line="266" w:lineRule="auto"/>
        <w:tabs>
          <w:tab w:leader="none" w:pos="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This Agreement shall survive an accidental invalidity of one or more of its sections. Company’s failure or delay in enforcing any of the provisions of this Agreement shall not, in any way, be construed as a waiver of any such provisions, or prevent Company thereafter from enforcing each and every other provision of this Agreement which were previously not enforced.</w:t>
      </w:r>
    </w:p>
    <w:p>
      <w:pPr>
        <w:spacing w:after="0" w:line="176" w:lineRule="exact"/>
        <w:rPr>
          <w:sz w:val="20"/>
          <w:szCs w:val="20"/>
          <w:color w:val="auto"/>
        </w:rPr>
      </w:pPr>
    </w:p>
    <w:p>
      <w:pPr>
        <w:jc w:val="both"/>
        <w:ind w:left="80" w:hanging="634"/>
        <w:spacing w:after="0" w:line="282" w:lineRule="auto"/>
        <w:tabs>
          <w:tab w:leader="none" w:pos="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This Agreement shall be interpreted and construed in accordance with the laws of the State of Israel. All disputes arising from this Agreement shall be exclusively referred to the competent courts of Tel Aviv-Jaffa district, Israel.</w:t>
      </w:r>
    </w:p>
    <w:p>
      <w:pPr>
        <w:spacing w:after="0" w:line="162" w:lineRule="exact"/>
        <w:rPr>
          <w:sz w:val="20"/>
          <w:szCs w:val="20"/>
          <w:color w:val="auto"/>
        </w:rPr>
      </w:pPr>
    </w:p>
    <w:p>
      <w:pPr>
        <w:jc w:val="both"/>
        <w:ind w:left="80" w:hanging="634"/>
        <w:spacing w:after="0" w:line="261" w:lineRule="auto"/>
        <w:tabs>
          <w:tab w:leader="none" w:pos="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This Agreement, including its appendices, constitutes the entire agreement between the parties concerning the subject matter hereof. Amendments to, and modifications of, this Agreement, shall be effective only upon approval thereof by both parties in writing. This Agreement and the appendixes hereto shall be deemed as a notice to the Executive in accordance with the Notice to Employees Law (Terms and Conditions of Employment), 5762-2002.</w:t>
      </w:r>
    </w:p>
    <w:p>
      <w:pPr>
        <w:spacing w:after="0" w:line="39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47" w:name="page148"/>
    <w:bookmarkEnd w:id="147"/>
    <w:p>
      <w:pPr>
        <w:jc w:val="both"/>
        <w:ind w:left="1280" w:hanging="634"/>
        <w:spacing w:after="0" w:line="256" w:lineRule="auto"/>
        <w:tabs>
          <w:tab w:leader="none" w:pos="12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All notices, requests and other communications to any party hereunder shall be given or made in writing and electronically transmitted, mailed (by registered or certified mail) or delivered by hand to the respective party at the address set forth in the caption of this Agreement or to such other address (or facsimile number or an e-mail address) as such party may hereafter specify for the purpose of notice to the other party hereto. Each such notice, request or other communication shall be effective (i) if given by facsimile or e- mail, when such facsimile or electronic mail is transmitted to the facsimile number or electronic mail address specified herein and the appropriate answerback is received or (ii) if given by any other means, when delivered at the address specified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hereunder set their hands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Yaron Daniely</w:t>
            </w:r>
          </w:p>
        </w:tc>
        <w:tc>
          <w:tcPr>
            <w:tcW w:w="170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Udi Gilboa</w:t>
            </w:r>
          </w:p>
        </w:tc>
      </w:tr>
      <w:tr>
        <w:trPr>
          <w:trHeight w:val="228"/>
        </w:trPr>
        <w:tc>
          <w:tcPr>
            <w:tcW w:w="20" w:type="dxa"/>
            <w:vAlign w:val="bottom"/>
          </w:tcPr>
          <w:p>
            <w:pPr>
              <w:spacing w:after="0"/>
              <w:rPr>
                <w:sz w:val="19"/>
                <w:szCs w:val="19"/>
                <w:color w:val="auto"/>
              </w:rPr>
            </w:pPr>
          </w:p>
        </w:tc>
        <w:tc>
          <w:tcPr>
            <w:tcW w:w="456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Yaron Daniely</w:t>
            </w:r>
          </w:p>
        </w:tc>
        <w:tc>
          <w:tcPr>
            <w:tcW w:w="17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Alcobra Ltd.</w:t>
            </w: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Udi Gilboa</w:t>
            </w:r>
          </w:p>
        </w:tc>
      </w:tr>
      <w:tr>
        <w:trPr>
          <w:trHeight w:val="642"/>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48" w:name="page149"/>
    <w:bookmarkEnd w:id="148"/>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9" w:lineRule="exact"/>
        <w:rPr>
          <w:sz w:val="20"/>
          <w:szCs w:val="20"/>
          <w:color w:val="auto"/>
        </w:rPr>
      </w:pPr>
    </w:p>
    <w:p>
      <w:pPr>
        <w:ind w:left="632" w:right="20" w:hanging="632"/>
        <w:spacing w:after="0" w:line="282" w:lineRule="auto"/>
        <w:tabs>
          <w:tab w:leader="none" w:pos="6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 consideration of Executive’s fulfillment of his obligations in pursuance of this Agreement, Company shall pay Executive a monthly gross salary of NIS 45,000 (the “</w:t>
      </w:r>
      <w:r>
        <w:rPr>
          <w:rFonts w:ascii="Times New Roman" w:cs="Times New Roman" w:eastAsia="Times New Roman" w:hAnsi="Times New Roman"/>
          <w:sz w:val="18"/>
          <w:szCs w:val="18"/>
          <w:b w:val="1"/>
          <w:bCs w:val="1"/>
          <w:color w:val="auto"/>
        </w:rPr>
        <w:t>Monthly Salary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32" w:hanging="632"/>
        <w:spacing w:after="0" w:line="282" w:lineRule="auto"/>
        <w:tabs>
          <w:tab w:leader="none" w:pos="6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Salary shall be paid no later than the ninth day after the end of any calendar month. From the said payment the Company will deduct any obligatory and/or agreed deductions, including, without limitation, income tax, health tax and social security.</w:t>
      </w:r>
    </w:p>
    <w:p>
      <w:pPr>
        <w:spacing w:after="0" w:line="159" w:lineRule="exact"/>
        <w:rPr>
          <w:rFonts w:ascii="Times New Roman" w:cs="Times New Roman" w:eastAsia="Times New Roman" w:hAnsi="Times New Roman"/>
          <w:sz w:val="18"/>
          <w:szCs w:val="18"/>
          <w:color w:val="auto"/>
        </w:rPr>
      </w:pPr>
    </w:p>
    <w:p>
      <w:pPr>
        <w:ind w:left="632" w:right="20" w:hanging="632"/>
        <w:spacing w:after="0" w:line="284" w:lineRule="auto"/>
        <w:tabs>
          <w:tab w:leader="none" w:pos="6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Salary shall serve as the basis for deductions and contributions to the management fund and advanced study fund (</w:t>
      </w:r>
      <w:r>
        <w:rPr>
          <w:rFonts w:ascii="Times New Roman" w:cs="Times New Roman" w:eastAsia="Times New Roman" w:hAnsi="Times New Roman"/>
          <w:sz w:val="18"/>
          <w:szCs w:val="18"/>
          <w:i w:val="1"/>
          <w:iCs w:val="1"/>
          <w:color w:val="auto"/>
        </w:rPr>
        <w:t>keren hishtalmut</w:t>
      </w:r>
      <w:r>
        <w:rPr>
          <w:rFonts w:ascii="Times New Roman" w:cs="Times New Roman" w:eastAsia="Times New Roman" w:hAnsi="Times New Roman"/>
          <w:sz w:val="18"/>
          <w:szCs w:val="18"/>
          <w:color w:val="auto"/>
        </w:rPr>
        <w:t>) pursuant to section 5 hereunder, and for the calculation of all social benefits.</w:t>
      </w:r>
    </w:p>
    <w:p>
      <w:pPr>
        <w:spacing w:after="0" w:line="160"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p>
    <w:p>
      <w:pPr>
        <w:spacing w:after="0" w:line="221" w:lineRule="exact"/>
        <w:rPr>
          <w:rFonts w:ascii="Times New Roman" w:cs="Times New Roman" w:eastAsia="Times New Roman" w:hAnsi="Times New Roman"/>
          <w:sz w:val="18"/>
          <w:szCs w:val="18"/>
          <w:color w:val="auto"/>
        </w:rPr>
      </w:pPr>
    </w:p>
    <w:p>
      <w:pPr>
        <w:ind w:left="1272" w:hanging="635"/>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4.1.The Executive shall be entitled to 18 vacation days (the “</w:t>
      </w:r>
      <w:r>
        <w:rPr>
          <w:rFonts w:ascii="Times New Roman" w:cs="Times New Roman" w:eastAsia="Times New Roman" w:hAnsi="Times New Roman"/>
          <w:sz w:val="18"/>
          <w:szCs w:val="18"/>
          <w:b w:val="1"/>
          <w:bCs w:val="1"/>
          <w:color w:val="auto"/>
        </w:rPr>
        <w:t>Vacation Days</w:t>
      </w:r>
      <w:r>
        <w:rPr>
          <w:rFonts w:ascii="Times New Roman" w:cs="Times New Roman" w:eastAsia="Times New Roman" w:hAnsi="Times New Roman"/>
          <w:sz w:val="18"/>
          <w:szCs w:val="18"/>
          <w:color w:val="auto"/>
        </w:rPr>
        <w:t>”), with respect to each twelve (12) months’ period of continuous employment with the Company.</w:t>
      </w:r>
    </w:p>
    <w:p>
      <w:pPr>
        <w:spacing w:after="0" w:line="158" w:lineRule="exact"/>
        <w:rPr>
          <w:rFonts w:ascii="Times New Roman" w:cs="Times New Roman" w:eastAsia="Times New Roman" w:hAnsi="Times New Roman"/>
          <w:sz w:val="18"/>
          <w:szCs w:val="18"/>
          <w:color w:val="auto"/>
        </w:rPr>
      </w:pPr>
    </w:p>
    <w:p>
      <w:pPr>
        <w:ind w:left="1272" w:hanging="6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4.2.The dates of the Executive’s vacation shall be coordinated by the Company and the Executive, in accordance with the Company’s needs. The Company shall be entitled to set uniform dates for vacation to all or part of its employees, as it shall deem fit.</w:t>
      </w:r>
    </w:p>
    <w:p>
      <w:pPr>
        <w:spacing w:after="0" w:line="161" w:lineRule="exact"/>
        <w:rPr>
          <w:rFonts w:ascii="Times New Roman" w:cs="Times New Roman" w:eastAsia="Times New Roman" w:hAnsi="Times New Roman"/>
          <w:sz w:val="18"/>
          <w:szCs w:val="18"/>
          <w:color w:val="auto"/>
        </w:rPr>
      </w:pPr>
    </w:p>
    <w:p>
      <w:pPr>
        <w:ind w:left="1272" w:hanging="63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4.3.The Executive shall be entitled to carry forward only the unused vacation days out of the Vacation Days, from one year to the next, provided that the Executive shall not, at any time, accumulate more than twice the Vacation Days. Any unused Vacation Days exceeding the aforesaid accumulation quota shall be cancelled, subject to applicable law.</w:t>
      </w:r>
    </w:p>
    <w:p>
      <w:pPr>
        <w:spacing w:after="0" w:line="176" w:lineRule="exact"/>
        <w:rPr>
          <w:rFonts w:ascii="Times New Roman" w:cs="Times New Roman" w:eastAsia="Times New Roman" w:hAnsi="Times New Roman"/>
          <w:sz w:val="18"/>
          <w:szCs w:val="18"/>
          <w:color w:val="auto"/>
        </w:rPr>
      </w:pPr>
    </w:p>
    <w:p>
      <w:pPr>
        <w:ind w:left="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7"/>
          <w:szCs w:val="17"/>
          <w:color w:val="auto"/>
        </w:rPr>
        <w:t>The Executive will be entitled to redeem his unused vacation days, accumulated in accordance herewith, upon termination of employment.</w:t>
      </w:r>
    </w:p>
    <w:p>
      <w:pPr>
        <w:spacing w:after="0" w:line="225"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Benefits</w:t>
      </w:r>
    </w:p>
    <w:p>
      <w:pPr>
        <w:spacing w:after="0" w:line="225" w:lineRule="exact"/>
        <w:rPr>
          <w:rFonts w:ascii="Times New Roman" w:cs="Times New Roman" w:eastAsia="Times New Roman" w:hAnsi="Times New Roman"/>
          <w:sz w:val="18"/>
          <w:szCs w:val="18"/>
          <w:color w:val="auto"/>
        </w:rPr>
      </w:pPr>
    </w:p>
    <w:p>
      <w:pPr>
        <w:ind w:left="1272" w:hanging="635"/>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5.1.The Company shall grant the Executive the following benefits: (i) An “Advanced Study Fund” (to which the Company shall pay, on a monthly basis, an amount equal to 7.5% of the Monthly Salary against deduction of 2.5% of the base salary, as the Executive’s contribution, and transfer thereof to the Advanced Study Fund); (ii) “Management Fund” to which the Company shall pay, on a monthly basis, contributions in an amount equal to 13 1/3% (8 1/3% toward severance and 5% toward savings) of the Monthly Salary and disability insurance (Ovdan Kosher Avoda) according to Company policy, against deduction from the Monthly Salary of an amount equal to 5% of the Monthly Salary as Executive’s contribution towards savings to the Management Fund.</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4" w:right="239" w:bottom="1440" w:gutter="0" w:footer="0" w:header="0"/>
        </w:sectPr>
      </w:pPr>
    </w:p>
    <w:bookmarkStart w:id="149" w:name="page150"/>
    <w:bookmarkEnd w:id="149"/>
    <w:p>
      <w:pPr>
        <w:jc w:val="both"/>
        <w:ind w:left="1280" w:hanging="634"/>
        <w:spacing w:after="0" w:line="254" w:lineRule="auto"/>
        <w:tabs>
          <w:tab w:leader="none" w:pos="12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 xml:space="preserve">[To avoid any doubt it is explicitly stated that the payments of the Company for severance compensation are done to cover and to insure the Company’s future contingent liability to pay the Executive severance compensation, in case the Executive shall be entitled to receive such compensation according to applicable law. This section is in accordance with Section 14 of the Severance Compensation Law, 1963 and the General Approval of the Labor Minister, dated June 30, 1998 issued in accordance with the said section 14, a copy of which is attached hereto as </w:t>
      </w:r>
      <w:r>
        <w:rPr>
          <w:rFonts w:ascii="Times New Roman" w:cs="Times New Roman" w:eastAsia="Times New Roman" w:hAnsi="Times New Roman"/>
          <w:sz w:val="18"/>
          <w:szCs w:val="18"/>
          <w:b w:val="1"/>
          <w:bCs w:val="1"/>
          <w:color w:val="auto"/>
        </w:rPr>
        <w:t>Appendix C</w:t>
      </w:r>
      <w:r>
        <w:rPr>
          <w:rFonts w:ascii="Times New Roman" w:cs="Times New Roman" w:eastAsia="Times New Roman" w:hAnsi="Times New Roman"/>
          <w:sz w:val="18"/>
          <w:szCs w:val="18"/>
          <w:color w:val="auto"/>
        </w:rPr>
        <w:t xml:space="preserve">. The Executive hereby expressly agrees to the arrangement according to the said section 14 as specified in </w:t>
      </w:r>
      <w:r>
        <w:rPr>
          <w:rFonts w:ascii="Times New Roman" w:cs="Times New Roman" w:eastAsia="Times New Roman" w:hAnsi="Times New Roman"/>
          <w:sz w:val="18"/>
          <w:szCs w:val="18"/>
          <w:b w:val="1"/>
          <w:bCs w:val="1"/>
          <w:u w:val="single" w:color="auto"/>
          <w:color w:val="auto"/>
        </w:rPr>
        <w:t>Appendix</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b w:val="1"/>
          <w:bCs w:val="1"/>
          <w:color w:val="auto"/>
        </w:rPr>
        <w:t>.</w:t>
      </w:r>
    </w:p>
    <w:p>
      <w:pPr>
        <w:spacing w:after="0" w:line="205" w:lineRule="exact"/>
        <w:rPr>
          <w:sz w:val="20"/>
          <w:szCs w:val="20"/>
          <w:color w:val="auto"/>
        </w:rPr>
      </w:pPr>
    </w:p>
    <w:p>
      <w:pPr>
        <w:ind w:left="640" w:right="20" w:hanging="632"/>
        <w:spacing w:after="0" w:line="284" w:lineRule="auto"/>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recreation pay (</w:t>
      </w:r>
      <w:r>
        <w:rPr>
          <w:rFonts w:ascii="Times New Roman" w:cs="Times New Roman" w:eastAsia="Times New Roman" w:hAnsi="Times New Roman"/>
          <w:sz w:val="18"/>
          <w:szCs w:val="18"/>
          <w:i w:val="1"/>
          <w:iCs w:val="1"/>
          <w:color w:val="auto"/>
        </w:rPr>
        <w:t>Dmei havra’a</w:t>
      </w:r>
      <w:r>
        <w:rPr>
          <w:rFonts w:ascii="Times New Roman" w:cs="Times New Roman" w:eastAsia="Times New Roman" w:hAnsi="Times New Roman"/>
          <w:sz w:val="18"/>
          <w:szCs w:val="18"/>
          <w:color w:val="auto"/>
        </w:rPr>
        <w:t>) according to the Israeli regulations as in effect from time to time with respect to such pay.</w:t>
      </w:r>
    </w:p>
    <w:p>
      <w:pPr>
        <w:spacing w:after="0" w:line="16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such number of days for sick leave according to the Sick Pay Law - 1976.</w:t>
      </w:r>
    </w:p>
    <w:p>
      <w:pPr>
        <w:spacing w:after="0" w:line="221" w:lineRule="exact"/>
        <w:rPr>
          <w:rFonts w:ascii="Times New Roman" w:cs="Times New Roman" w:eastAsia="Times New Roman" w:hAnsi="Times New Roman"/>
          <w:sz w:val="18"/>
          <w:szCs w:val="18"/>
          <w:color w:val="auto"/>
        </w:rPr>
      </w:pPr>
    </w:p>
    <w:p>
      <w:pPr>
        <w:jc w:val="both"/>
        <w:ind w:left="640" w:hanging="632"/>
        <w:spacing w:after="0" w:line="254" w:lineRule="auto"/>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car</w:t>
      </w:r>
      <w:r>
        <w:rPr>
          <w:rFonts w:ascii="Times New Roman" w:cs="Times New Roman" w:eastAsia="Times New Roman" w:hAnsi="Times New Roman"/>
          <w:sz w:val="18"/>
          <w:szCs w:val="18"/>
          <w:color w:val="auto"/>
        </w:rPr>
        <w:t>: The Executive shall be provided with a level 4 company car (the "</w:t>
      </w:r>
      <w:r>
        <w:rPr>
          <w:rFonts w:ascii="Times New Roman" w:cs="Times New Roman" w:eastAsia="Times New Roman" w:hAnsi="Times New Roman"/>
          <w:sz w:val="18"/>
          <w:szCs w:val="18"/>
          <w:b w:val="1"/>
          <w:bCs w:val="1"/>
          <w:color w:val="auto"/>
        </w:rPr>
        <w:t>Company Car</w:t>
      </w:r>
      <w:r>
        <w:rPr>
          <w:rFonts w:ascii="Times New Roman" w:cs="Times New Roman" w:eastAsia="Times New Roman" w:hAnsi="Times New Roman"/>
          <w:sz w:val="18"/>
          <w:szCs w:val="18"/>
          <w:color w:val="auto"/>
        </w:rPr>
        <w:t>") according to the Company's policy. The Company Car is provided to the Executive for work purposes and due to the nature of the Executive's duties towards the Company. The Company agrees, leniently, that the Executive shall be entitled to use the Company Car for personal purposes in Executive's spare time. It is hereby agreed that Executive shall be entitled to use the Company Car during the notice period in the event of termination of this Agreement. The expenses relating to the Company Car (except for Income Tax and other compulsory deductions) including with out limitation, fuel, insurance, annual test maintenance costs and highway tolls shall be paid by the Company. In case of damage subject to excess insurance due to driver's conduct or responsibility, the Executive shall bear such excess insurance. The Company Car shall be considered as reimbursement of travel expenses pursuant to applicable law (to the extent the Executive is entitled to such travel expenses under law). Executive shall bear and pay all penalties and expenses relating to any violation of law committed in connection with the use of the Company Car. Executive hereby irrevocably authorizes Company to set off and deduct all amounts that may be owed to Company under this subsection against any and all amounts due to Executive from the Company under this Agreement or from any source whatsoever.</w:t>
      </w:r>
    </w:p>
    <w:p>
      <w:pPr>
        <w:spacing w:after="0" w:line="187" w:lineRule="exact"/>
        <w:rPr>
          <w:rFonts w:ascii="Times New Roman" w:cs="Times New Roman" w:eastAsia="Times New Roman" w:hAnsi="Times New Roman"/>
          <w:sz w:val="18"/>
          <w:szCs w:val="18"/>
          <w:color w:val="auto"/>
        </w:rPr>
      </w:pPr>
    </w:p>
    <w:p>
      <w:pPr>
        <w:jc w:val="both"/>
        <w:ind w:left="640" w:hanging="632"/>
        <w:spacing w:after="0" w:line="256" w:lineRule="auto"/>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Mobile phone</w:t>
      </w:r>
      <w:r>
        <w:rPr>
          <w:rFonts w:ascii="Times New Roman" w:cs="Times New Roman" w:eastAsia="Times New Roman" w:hAnsi="Times New Roman"/>
          <w:sz w:val="18"/>
          <w:szCs w:val="18"/>
          <w:color w:val="auto"/>
        </w:rPr>
        <w:t>. The Company shall furnish the Executive with a mobile phone, and shall bear all costs and expenses relating thereto, not including tax gross up, in accordance with the Company’s policy, as amended from time to time. Upon termination of this Agreement, for whatever reason, the Company may, at the Executive's request and expense, transfer the ownership in the mobile phone and number to the Executive. The value of the benefit to Executive with regard to such mobile phone shall not be deemed as an integral part of the Monthly Salary for any intent and purpose (including without limitation for the purpose of the Executive's entitlement to severance pay and payments towards the pension policy and Keren Hishtalmut).[Udi, is this relevant?]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0" w:name="page151"/>
    <w:bookmarkEnd w:id="150"/>
    <w:p>
      <w:pPr>
        <w:ind w:left="632" w:hanging="632"/>
        <w:spacing w:after="0"/>
        <w:tabs>
          <w:tab w:leader="none" w:pos="63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272" w:hanging="635"/>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The Executive shall be granted with an option to purchase 43,000 Ordinary Shares, 0.01 par value each of the Company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The exercise price of the Option shall be US$ 1.923 per share [equal to 15% of the price per share offered in the Preferred B round]. The Option shall be subject to a four (4) years vesting schedule with a 1 year cliff as to 25% of the Option and the remaining 75% vesting on a quarterly basis during the following three (3) years. The grant of the Option is subject to the Executive exercising the Company's standard Option Agreement and to the approval of the Company's Board of Directors for the grant. All of the unvested options under this Option shall automatically vest immediately prior to a Transaction (as defined in the Company's Incentive Option Plan).</w:t>
      </w:r>
    </w:p>
    <w:p>
      <w:pPr>
        <w:spacing w:after="0" w:line="186" w:lineRule="exact"/>
        <w:rPr>
          <w:rFonts w:ascii="Times New Roman" w:cs="Times New Roman" w:eastAsia="Times New Roman" w:hAnsi="Times New Roman"/>
          <w:sz w:val="18"/>
          <w:szCs w:val="18"/>
          <w:color w:val="auto"/>
        </w:rPr>
      </w:pPr>
    </w:p>
    <w:p>
      <w:pPr>
        <w:ind w:left="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All other terms of the Option, shall be subject to the Company’s Incentive Option Plan and in accordance therewith.</w:t>
      </w:r>
    </w:p>
    <w:p>
      <w:pPr>
        <w:spacing w:after="0" w:line="200" w:lineRule="exact"/>
        <w:rPr>
          <w:sz w:val="20"/>
          <w:szCs w:val="20"/>
          <w:color w:val="auto"/>
        </w:rPr>
      </w:pPr>
    </w:p>
    <w:p>
      <w:pPr>
        <w:spacing w:after="0" w:line="255" w:lineRule="exact"/>
        <w:rPr>
          <w:sz w:val="20"/>
          <w:szCs w:val="20"/>
          <w:color w:val="auto"/>
        </w:rPr>
      </w:pPr>
    </w:p>
    <w:p>
      <w:pPr>
        <w:ind w:left="1772"/>
        <w:spacing w:after="0"/>
        <w:tabs>
          <w:tab w:leader="none" w:pos="8372" w:val="left"/>
        </w:tabs>
        <w:rPr>
          <w:sz w:val="20"/>
          <w:szCs w:val="20"/>
          <w:color w:val="auto"/>
        </w:rPr>
      </w:pPr>
      <w:r>
        <w:rPr>
          <w:rFonts w:ascii="Times New Roman" w:cs="Times New Roman" w:eastAsia="Times New Roman" w:hAnsi="Times New Roman"/>
          <w:sz w:val="18"/>
          <w:szCs w:val="18"/>
          <w:color w:val="auto"/>
        </w:rPr>
        <w:t>Yaron Daniely</w:t>
      </w:r>
      <w:r>
        <w:rPr>
          <w:sz w:val="20"/>
          <w:szCs w:val="20"/>
          <w:color w:val="auto"/>
        </w:rPr>
        <w:tab/>
      </w:r>
      <w:r>
        <w:rPr>
          <w:rFonts w:ascii="Times New Roman" w:cs="Times New Roman" w:eastAsia="Times New Roman" w:hAnsi="Times New Roman"/>
          <w:sz w:val="17"/>
          <w:szCs w:val="17"/>
          <w:color w:val="auto"/>
        </w:rPr>
        <w:t>Alcobra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627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17145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SECRECY, NON-COMPETITION AND PROPRIETARY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Secrecy, Non-Competition and Proprietary Information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____ day of February, 2010 by and between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Alcobra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Yaron Daniely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40" w:hanging="632"/>
        <w:spacing w:after="0"/>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Secrecy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recognizes and acknowledges that Executive’s access to the trade secrets and confidential or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the Company and the Company’s subsidiaries (collectively,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is essential to the performance of Executive’s duties as an employee of the Company.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way of illustration and not limitation, such Confidential Information shall include (i) any and all information concerning the business and affairs of the Companies, product specifications, data, know-how, compositions, processes, formulas, methods, designs, samples, inventions and ideas, past, current and future development or experimental work, current and future distribution methods and processes, customer lists, current and future customer requirements, price lists, market studies, business plans, computer software and programs (including object code and source code), computer software and database technologies, systems, structures and architectures (and related processes, algorithms, compositions, improvements, know-how, inventions, discoveries, concepts, ideas, designs, methods and information) of the Company, and any other information, however documented of the Companies; (ii) any and all information concerning the business and affairs of the Companies (which includes historical financial statements, financial projections and budgets, historical and projected sales, capital spending budgets and plans, the names and backgrounds of key personnel, personnel training and techniques and materials), however documented; and (iii) all derivatives, improvements and enhancements to the Company’s technology which are created or developed by Executive while an employee of the Company or while otherwise providing services to the Company; and (iv) information of third parties as to which the Company has an obligation of confidentiality; and (v) any and all notes, analysis, compilations, studies, summaries, and other material prepared by or for the Companies containing or based, in whole or in part, on any information included in the foregoing.</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Confidential Information shall not include information which: (i) has become publicly known and made generally available through no wrongful act of Executive; (ii) was known to the Executive prior to his involvement with the Companies; (iii) was or is developed by the Executive not during his employment by the Companies and not in relation, directly or indirectly, to the Companies’ business and was not or is not created or prepared during working hours in the Companies or in the Companies' premises or with the Companies' equipment, provided that such information is not in any way competitive or likely to be competing with the Companies’ business as currently conducted and as may be conducted in the future.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52" w:name="page153"/>
    <w:bookmarkEnd w:id="152"/>
    <w:p>
      <w:pPr>
        <w:jc w:val="both"/>
        <w:ind w:firstLine="656"/>
        <w:spacing w:after="0" w:line="254" w:lineRule="auto"/>
        <w:tabs>
          <w:tab w:leader="none" w:pos="123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recognizes and acknowledges that such Confidential Information is a valuable and unique asset of the Company's, and that its use or disclosure (except use or disclosure as required for carrying out Executive’s duties as an employee of the Company) would cause the Company substantial loss and damages. Executive undertakes and agrees that Executive will not, in whole or in part, disclose such Confidential Information to any person or organization under any circumstances (except disclosure as required for carrying out Executive’s duties as an employee of the Company), will not make use of any such Confidential Information for Executive’s own purposes or for the benefit of any other person or organization, and will not reproduce any of the Confidential Information without the Company’s prior written consent; provided, however, that this provision shall not preclude Executive from making, upon written advice of counsel satisfactory to the Company, any disclosure required by any applicable law or from using or disclosing information lawfully known generally to the public (other than information known generally to the public as a result of any violation of this subsection (b) by or on behalf of Executive).</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2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not disclose or otherwise make available to the Companies in any manner any confidential information received by Executive from third parties.</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set forth in this section are perpetual, and shall survive termination of Executive’s employment with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recognizes and acknowledges that the Company has received and in the future will receive from third parties their confidential or proprietary information subject to certain limited purposes. Executive agrees to hold all such confidential or proprietary information in the strictest confidence and not to disclose it to any person, firm or corporation or to use it except as necessary in carrying out Executive’s work for the Company consistent with the Company’s agreement with the third party.</w:t>
      </w:r>
    </w:p>
    <w:p>
      <w:pPr>
        <w:spacing w:after="0" w:line="180" w:lineRule="exact"/>
        <w:rPr>
          <w:sz w:val="20"/>
          <w:szCs w:val="20"/>
          <w:color w:val="auto"/>
        </w:rPr>
      </w:pPr>
    </w:p>
    <w:p>
      <w:pPr>
        <w:ind w:left="640" w:hanging="632"/>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termination of Executive’s employment with the Company or at the request of the Company before termination, Executive will promptly deliver to the Company all copies of all written and tangible material, in Executive’s possession or under Executive’s control, incorporating the Confidential Information or otherwise relating to the Company’s business, without retaining any copies thereof. The obligations set forth in this subsection shall survive termination of Executive’s employment with the Company.</w:t>
      </w:r>
    </w:p>
    <w:p>
      <w:pPr>
        <w:spacing w:after="0" w:line="186" w:lineRule="exact"/>
        <w:rPr>
          <w:sz w:val="20"/>
          <w:szCs w:val="20"/>
          <w:color w:val="auto"/>
        </w:rPr>
      </w:pPr>
    </w:p>
    <w:p>
      <w:pPr>
        <w:ind w:left="640" w:hanging="632"/>
        <w:spacing w:after="0"/>
        <w:tabs>
          <w:tab w:leader="none" w:pos="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Property and Rights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Property</w:t>
      </w:r>
      <w:r>
        <w:rPr>
          <w:rFonts w:ascii="Times New Roman" w:cs="Times New Roman" w:eastAsia="Times New Roman" w:hAnsi="Times New Roman"/>
          <w:sz w:val="18"/>
          <w:szCs w:val="18"/>
          <w:color w:val="auto"/>
        </w:rPr>
        <w:t>. Executive confirms that all Confidential Information and Inventions (as defined below) are, will be, and shall remain the exclusive property of the Company for its sole and exclusive use and benefit. All business records, papers and documents however documented kept or made by Executive during the employment of the Executive by the Company shall be and remain the property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3" w:name="page154"/>
    <w:bookmarkEnd w:id="153"/>
    <w:p>
      <w:pPr>
        <w:jc w:val="both"/>
        <w:ind w:firstLine="656"/>
        <w:spacing w:after="0" w:line="252" w:lineRule="auto"/>
        <w:tabs>
          <w:tab w:leader="none" w:pos="131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&amp; Waiver</w:t>
      </w:r>
      <w:r>
        <w:rPr>
          <w:rFonts w:ascii="Times New Roman" w:cs="Times New Roman" w:eastAsia="Times New Roman" w:hAnsi="Times New Roman"/>
          <w:sz w:val="18"/>
          <w:szCs w:val="18"/>
          <w:color w:val="auto"/>
        </w:rPr>
        <w:t>. All Inventions (as defined below) designed or developed by, with the participation of, or under the supervision of Executive, shall be owned exclusively by the Company. Executive hereby assigns and waives to the Company, without any additional consideration to Executive other than his Monthly Salary, the entire right, title and interest in and to any ideas, inventions, original works of authorship, developments, improvements, modifications, enhancements, trade secrets, and in and to any documentation, software, hardware, firmware, creative works, know-how and information, conceived or reduced to practice, in whole or in part, by Executive during time he is actually associated with the Company (irrespective of the commencement date stated in Section 4.1 of the Agreement and irrespective of any Additional Engagements) which are related to the Company’s business as currently conducted and as may be conducted during the Term, whether or not such Inventions patentable, copyrightable or otherwise protectable, and Executive assigns to the Company as above stated, the entire right, title and interest in and to any proprietary rights therein or based thereon (collectively, the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clarified that Executive waives any right Executive may have to royalties or any other payment from the Company with regard to the assigned Inventions, including any right to royalties pursuant to Section 134 to the Patents Law, 1967.</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of Rights</w:t>
      </w:r>
      <w:r>
        <w:rPr>
          <w:rFonts w:ascii="Times New Roman" w:cs="Times New Roman" w:eastAsia="Times New Roman" w:hAnsi="Times New Roman"/>
          <w:sz w:val="18"/>
          <w:szCs w:val="18"/>
          <w:color w:val="auto"/>
        </w:rPr>
        <w:t>. Executive shall provide all assistance the Company may request, and shall execute, verify and deliver such documents and perform such other acts (including appearing as a witness) the Company may reasonably request for use in applying for, obtaining, perfecting, evidencing, sustaining and enforcing such proprietary rights and the assignment thereof, as set forth above. Executive’s obligation to assist the Company with respect to proprietary rights in any and all countries shall continue beyond the termination of Executive’s employment with the Company, but the Company shall compensate Executive at a reasonable rate after termination of Executive’s employment for the time actually spent by Executive at the Company’s request on providing such assistance.</w:t>
      </w:r>
    </w:p>
    <w:p>
      <w:pPr>
        <w:spacing w:after="0" w:line="187"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Survivability</w:t>
      </w:r>
      <w:r>
        <w:rPr>
          <w:rFonts w:ascii="Times New Roman" w:cs="Times New Roman" w:eastAsia="Times New Roman" w:hAnsi="Times New Roman"/>
          <w:sz w:val="18"/>
          <w:szCs w:val="18"/>
          <w:color w:val="auto"/>
        </w:rPr>
        <w:t>. The obligations set forth in this section are perpetual, and shall survive termination of Executive’s employment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2" w:lineRule="exact"/>
        <w:rPr>
          <w:rFonts w:ascii="Times New Roman" w:cs="Times New Roman" w:eastAsia="Times New Roman" w:hAnsi="Times New Roman"/>
          <w:sz w:val="18"/>
          <w:szCs w:val="18"/>
          <w:color w:val="auto"/>
        </w:rPr>
      </w:pPr>
    </w:p>
    <w:p>
      <w:pPr>
        <w:jc w:val="both"/>
        <w:ind w:firstLine="646"/>
        <w:spacing w:after="0" w:line="257" w:lineRule="auto"/>
        <w:tabs>
          <w:tab w:leader="none" w:pos="13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Attorney-in-fact.</w:t>
      </w:r>
      <w:r>
        <w:rPr>
          <w:rFonts w:ascii="Times New Roman" w:cs="Times New Roman" w:eastAsia="Times New Roman" w:hAnsi="Times New Roman"/>
          <w:sz w:val="18"/>
          <w:szCs w:val="18"/>
          <w:b w:val="1"/>
          <w:bCs w:val="1"/>
          <w:color w:val="auto"/>
        </w:rPr>
        <w:t xml:space="preserve"> If the Company is unable because of the Executive’s mental or physical incapacity or the Executive's refusal to cooperate with the Company after receiving the Company's request pursuant Section 3(c) above to secure the Executive’s signature to application for any Israeli or foreign patent or copyright registration covering Inventions or original works of authorship assigned to the Company as set forth above, Executive hereby irrevocably designates and appoints the Company and its duly authorized officers and agents as Executive’s agent and attorney-in-fact, to act for in behalf and stead to execute and file any such application and to do all other lawfully permitted acts to further the prosecution and issuance of letter patent or copyright registration thereon with same legal force and effect as if executed by the Executive.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4" w:name="page155"/>
    <w:bookmarkEnd w:id="154"/>
    <w:p>
      <w:pPr>
        <w:ind w:right="20" w:firstLine="8"/>
        <w:spacing w:after="0" w:line="282" w:lineRule="auto"/>
        <w:tabs>
          <w:tab w:leader="none" w:pos="7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Competition</w:t>
      </w:r>
      <w:r>
        <w:rPr>
          <w:rFonts w:ascii="Times New Roman" w:cs="Times New Roman" w:eastAsia="Times New Roman" w:hAnsi="Times New Roman"/>
          <w:sz w:val="18"/>
          <w:szCs w:val="18"/>
          <w:color w:val="auto"/>
        </w:rPr>
        <w:t>. For so long as Executive is employed by the Company and continuing for 12 months after the termination or expiration of such employment, Executive shall not, directly or indirectly:</w:t>
      </w:r>
    </w:p>
    <w:p>
      <w:pPr>
        <w:spacing w:after="0" w:line="161" w:lineRule="exact"/>
        <w:rPr>
          <w:rFonts w:ascii="Times New Roman" w:cs="Times New Roman" w:eastAsia="Times New Roman" w:hAnsi="Times New Roman"/>
          <w:sz w:val="18"/>
          <w:szCs w:val="18"/>
          <w:color w:val="auto"/>
        </w:rPr>
      </w:pPr>
    </w:p>
    <w:p>
      <w:pPr>
        <w:ind w:firstLine="646"/>
        <w:spacing w:after="0" w:line="282" w:lineRule="auto"/>
        <w:tabs>
          <w:tab w:leader="none" w:pos="136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endeavor to entice away from the Companies or otherwise interfere with the relationship of the Companies with any person or organization who is, or was within the preceding two years, a customer of the Companies, or who is employed by the Companies; or</w:t>
      </w:r>
    </w:p>
    <w:p>
      <w:pPr>
        <w:spacing w:after="0" w:line="161" w:lineRule="exact"/>
        <w:rPr>
          <w:rFonts w:ascii="Times New Roman" w:cs="Times New Roman" w:eastAsia="Times New Roman" w:hAnsi="Times New Roman"/>
          <w:sz w:val="18"/>
          <w:szCs w:val="18"/>
          <w:color w:val="auto"/>
        </w:rPr>
      </w:pPr>
    </w:p>
    <w:p>
      <w:pPr>
        <w:jc w:val="both"/>
        <w:ind w:firstLine="646"/>
        <w:spacing w:after="0" w:line="266" w:lineRule="auto"/>
        <w:tabs>
          <w:tab w:leader="none" w:pos="137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an interest in, manage, operate, join, control, or participate in or be connected with, as an officer, employee, partner, stockholder, consultant or otherwise, any project, at such time, directly competes with the Company anywhere in the world; provided that this shall not preclude Executive from owning a stock interest not greater than 1% in a publicly traded company.</w:t>
      </w:r>
    </w:p>
    <w:p>
      <w:pPr>
        <w:spacing w:after="0" w:line="176" w:lineRule="exact"/>
        <w:rPr>
          <w:rFonts w:ascii="Times New Roman" w:cs="Times New Roman" w:eastAsia="Times New Roman" w:hAnsi="Times New Roman"/>
          <w:sz w:val="18"/>
          <w:szCs w:val="18"/>
          <w:color w:val="auto"/>
        </w:rPr>
      </w:pPr>
    </w:p>
    <w:p>
      <w:pPr>
        <w:jc w:val="both"/>
        <w:ind w:firstLine="646"/>
        <w:spacing w:after="0" w:line="266" w:lineRule="auto"/>
        <w:tabs>
          <w:tab w:leader="none" w:pos="122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any competitor of the Company technological, marketing or other information connected to the Company and its products, and/or knowledge acquired during time Executive was associated with the Company (irrespective of the commencement date stated in Section 4.1 of the Agreement and irrespective of any Additional Engagements).</w:t>
      </w:r>
    </w:p>
    <w:p>
      <w:pPr>
        <w:spacing w:after="0" w:line="176" w:lineRule="exact"/>
        <w:rPr>
          <w:rFonts w:ascii="Times New Roman" w:cs="Times New Roman" w:eastAsia="Times New Roman" w:hAnsi="Times New Roman"/>
          <w:sz w:val="18"/>
          <w:szCs w:val="18"/>
          <w:color w:val="auto"/>
        </w:rPr>
      </w:pPr>
    </w:p>
    <w:p>
      <w:pPr>
        <w:jc w:val="both"/>
        <w:ind w:firstLine="8"/>
        <w:spacing w:after="0" w:line="258" w:lineRule="auto"/>
        <w:tabs>
          <w:tab w:leader="none" w:pos="79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Company may enforce this Agreement and any of its provisions by injunction, specific performance or other equitable relief, without bond and without prejudice to any other rights and remedies that the Company may have for the breach of this Agreement. This Agreement shall be enforced to the fullest extent permissible under the laws of the State of Israel, without regard to its conflict of law principles. If any portion of this Agreement shall be adjudicated to be invalid or unenforceable, it shall be deemed to be amended to delete such portion. Executive expressly consents to the exclusive personal jurisdiction and venue of Tel-Aviv courts for any lawsuit arising from or relating to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written first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Alcobra Ltd.</w:t>
            </w:r>
          </w:p>
        </w:tc>
        <w:tc>
          <w:tcPr>
            <w:tcW w:w="56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Yaron Daniely</w:t>
            </w: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426"/>
        </w:trPr>
        <w:tc>
          <w:tcPr>
            <w:tcW w:w="5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Name and Title: ___________</w:t>
            </w:r>
          </w:p>
        </w:tc>
        <w:tc>
          <w:tcPr>
            <w:tcW w:w="10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4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January 14, 2013 (Except for Note 9.a and Note 13 to which the date is XX, 2013) with respect to the financial statements of Alcobra Ltd. Included in Amendment No. 3 to the Registration Statement on Form F-1 and related Prospectus of Alcobra Ltd., dated April 5, 2013.</w:t>
      </w:r>
    </w:p>
    <w:p>
      <w:pPr>
        <w:spacing w:after="0" w:line="39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Tel-Aviv, Israel</w:t>
            </w:r>
          </w:p>
        </w:tc>
        <w:tc>
          <w:tcPr>
            <w:tcW w:w="710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9"/>
              </w:rPr>
              <w:t>/s/ KOST FORER GABBAY &amp; KASIERER</w:t>
            </w:r>
          </w:p>
        </w:tc>
      </w:tr>
      <w:tr>
        <w:trPr>
          <w:trHeight w:val="392"/>
        </w:trPr>
        <w:tc>
          <w:tcPr>
            <w:tcW w:w="4320" w:type="dxa"/>
            <w:vAlign w:val="bottom"/>
          </w:tcPr>
          <w:p>
            <w:pPr>
              <w:spacing w:after="0"/>
              <w:rPr>
                <w:sz w:val="24"/>
                <w:szCs w:val="24"/>
                <w:color w:val="auto"/>
              </w:rPr>
            </w:pPr>
          </w:p>
        </w:tc>
        <w:tc>
          <w:tcPr>
            <w:tcW w:w="710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9"/>
              </w:rPr>
              <w:t>KOST FORER GABBAY &amp; KASIERER</w:t>
            </w:r>
          </w:p>
        </w:tc>
      </w:tr>
      <w:tr>
        <w:trPr>
          <w:trHeight w:val="392"/>
        </w:trPr>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5, 2013</w:t>
            </w:r>
          </w:p>
        </w:tc>
        <w:tc>
          <w:tcPr>
            <w:tcW w:w="710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9"/>
              </w:rPr>
              <w:t>A Member of Ernst &amp; Young Global</w:t>
            </w:r>
          </w:p>
        </w:tc>
      </w:tr>
      <w:tr>
        <w:trPr>
          <w:trHeight w:val="1526"/>
        </w:trPr>
        <w:tc>
          <w:tcPr>
            <w:tcW w:w="43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color w:val="auto"/>
        </w:rPr>
        <w:t>Alcobra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 Rothschild Blvd.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Aviv 65785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Via EDGAR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Riedler, Assistant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Alcobra Ltd.</w:t>
            </w:r>
          </w:p>
        </w:tc>
      </w:tr>
      <w:tr>
        <w:trPr>
          <w:trHeight w:val="216"/>
        </w:trPr>
        <w:tc>
          <w:tcPr>
            <w:tcW w:w="64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Registration Statement on Form F-1</w:t>
            </w:r>
          </w:p>
        </w:tc>
      </w:tr>
      <w:tr>
        <w:trPr>
          <w:trHeight w:val="194"/>
        </w:trPr>
        <w:tc>
          <w:tcPr>
            <w:tcW w:w="640" w:type="dxa"/>
            <w:vAlign w:val="bottom"/>
          </w:tcPr>
          <w:p>
            <w:pPr>
              <w:spacing w:after="0"/>
              <w:rPr>
                <w:sz w:val="16"/>
                <w:szCs w:val="16"/>
                <w:color w:val="auto"/>
              </w:rPr>
            </w:pPr>
          </w:p>
        </w:tc>
        <w:tc>
          <w:tcPr>
            <w:tcW w:w="2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File No. 333-186003</w:t>
            </w:r>
          </w:p>
        </w:tc>
      </w:tr>
      <w:tr>
        <w:trPr>
          <w:trHeight w:val="20"/>
        </w:trPr>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Riedler:</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purpose of this letter is to respond to your letter of March 19, 2013 regarding the above registration statement. For your convenience, your original comments appear in bold text, followed by our responses. We are concurrently filing Amendment No. 3 to the Form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Dilution, page 28</w:t>
      </w:r>
    </w:p>
    <w:p>
      <w:pPr>
        <w:spacing w:after="0" w:line="225" w:lineRule="exact"/>
        <w:rPr>
          <w:sz w:val="20"/>
          <w:szCs w:val="20"/>
          <w:color w:val="auto"/>
        </w:rPr>
      </w:pPr>
    </w:p>
    <w:p>
      <w:pPr>
        <w:ind w:left="660" w:right="40" w:hanging="328"/>
        <w:spacing w:after="0" w:line="268" w:lineRule="auto"/>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appear to have revised your table to begin with your pro forma net tangible book value per share again. Please refer to our comment 32 issued on February 10, 2013 and revise the table again to begin with your historical net tangible book value per share, instead of pro forma net tangible book value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revised the table as requested.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Convertible Notes, page F-15</w:t>
      </w:r>
    </w:p>
    <w:p>
      <w:pPr>
        <w:spacing w:after="0" w:line="203" w:lineRule="exact"/>
        <w:rPr>
          <w:sz w:val="20"/>
          <w:szCs w:val="20"/>
          <w:color w:val="auto"/>
        </w:rPr>
      </w:pPr>
    </w:p>
    <w:p>
      <w:pPr>
        <w:ind w:left="660" w:right="100" w:hanging="328"/>
        <w:spacing w:after="0" w:line="268" w:lineRule="auto"/>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regard to your response to comment 15 it appears that the convertible notes are within the scope of ASC 480 and should be accounted for under that literature. Please provide a further analysis to support why ASC 835 is more applicable and a materiality analysis for the difference between the interest accretion method and the fair value method.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response to the Staff’s comment, the Company wishes to further clarify that in accordance with ASC 480-10-35-5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All other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recognized under the guidance in Section </w:t>
      </w:r>
      <w:r>
        <w:rPr>
          <w:rFonts w:ascii="Times New Roman" w:cs="Times New Roman" w:eastAsia="Times New Roman" w:hAnsi="Times New Roman"/>
          <w:sz w:val="18"/>
          <w:szCs w:val="18"/>
          <w:i w:val="1"/>
          <w:iCs w:val="1"/>
          <w:u w:val="single" w:color="auto"/>
          <w:color w:val="auto"/>
        </w:rPr>
        <w:t>480-10-25</w:t>
      </w:r>
      <w:r>
        <w:rPr>
          <w:rFonts w:ascii="Times New Roman" w:cs="Times New Roman" w:eastAsia="Times New Roman" w:hAnsi="Times New Roman"/>
          <w:sz w:val="18"/>
          <w:szCs w:val="18"/>
          <w:i w:val="1"/>
          <w:iCs w:val="1"/>
          <w:color w:val="auto"/>
        </w:rPr>
        <w:t xml:space="preserve"> shall be measured subsequently at fair value with changes in fair value recognized in earnings, </w:t>
      </w:r>
      <w:r>
        <w:rPr>
          <w:rFonts w:ascii="Times New Roman" w:cs="Times New Roman" w:eastAsia="Times New Roman" w:hAnsi="Times New Roman"/>
          <w:sz w:val="18"/>
          <w:szCs w:val="18"/>
          <w:i w:val="1"/>
          <w:iCs w:val="1"/>
          <w:u w:val="single" w:color="auto"/>
          <w:color w:val="auto"/>
        </w:rPr>
        <w:t>unless</w:t>
      </w:r>
      <w:r>
        <w:rPr>
          <w:rFonts w:ascii="Times New Roman" w:cs="Times New Roman" w:eastAsia="Times New Roman" w:hAnsi="Times New Roman"/>
          <w:sz w:val="18"/>
          <w:szCs w:val="18"/>
          <w:i w:val="1"/>
          <w:iCs w:val="1"/>
          <w:color w:val="auto"/>
        </w:rPr>
        <w:t xml:space="preserve"> either this Subtopic or another Subtopic specifies another measurement attribute."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Alcobra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financial instrument is a stock settled debt as defined in ASC 480- 10-25-14, because</w:t>
      </w:r>
      <w:r>
        <w:rPr>
          <w:rFonts w:ascii="Times New Roman" w:cs="Times New Roman" w:eastAsia="Times New Roman" w:hAnsi="Times New Roman"/>
          <w:sz w:val="18"/>
          <w:szCs w:val="18"/>
          <w:i w:val="1"/>
          <w:iCs w:val="1"/>
          <w:color w:val="auto"/>
        </w:rPr>
        <w:t>: "A fixed monetary amount known at inception (for example,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 settleable with a variable number of the issuer’s equity shares)"</w:t>
      </w:r>
      <w:r>
        <w:rPr>
          <w:rFonts w:ascii="Times New Roman" w:cs="Times New Roman" w:eastAsia="Times New Roman" w:hAnsi="Times New Roman"/>
          <w:sz w:val="18"/>
          <w:szCs w:val="18"/>
          <w:color w:val="auto"/>
        </w:rPr>
        <w:t>. The monetary amount to settle the debt is $800 thousands. The Company believes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because the financial instrument is a "stock settled debt", the Company’s shares are merely a form of a currency to repay the debt. The investor does not take risk of a shareholder. That is, at any time, the monetary amount to settle the debt (upon IPO or other investment round) is fixed, discounted by the time value up until the redemption/conversion date. As a result, the obligation is in substance, traditional debt arrangement. A measurement of a traditional debenture is in accordance of ASC 835.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financial instrument is a debenture which falls within the Scope of ASC 835, the guidance in ASC 835-30 (i.e., accrue to the redemption amount using the interest method) can be applied. Accordingly, each reporting period the Company accrues to the redemption amount using the interest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analyzed the difference between the interest accretion method and the fair value as of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CCFFCC"/>
            </w:tcBorders>
          </w:tcPr>
          <w:p>
            <w:pPr>
              <w:spacing w:after="0"/>
              <w:rPr>
                <w:sz w:val="21"/>
                <w:szCs w:val="21"/>
                <w:color w:val="auto"/>
              </w:rPr>
            </w:pPr>
          </w:p>
        </w:tc>
        <w:tc>
          <w:tcPr>
            <w:tcW w:w="32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U.S $ in thousands</w:t>
            </w:r>
          </w:p>
        </w:tc>
      </w:tr>
      <w:tr>
        <w:trPr>
          <w:trHeight w:val="216"/>
        </w:trPr>
        <w:tc>
          <w:tcPr>
            <w:tcW w:w="3580" w:type="dxa"/>
            <w:vAlign w:val="bottom"/>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rPr>
              <w:t>Interest method</w:t>
            </w:r>
          </w:p>
        </w:tc>
        <w:tc>
          <w:tcPr>
            <w:tcW w:w="3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3580" w:type="dxa"/>
            <w:vAlign w:val="bottom"/>
            <w:tcBorders>
              <w:bottom w:val="single" w:sz="8" w:color="CCFFCC"/>
            </w:tcBorders>
          </w:tcPr>
          <w:p>
            <w:pPr>
              <w:jc w:val="right"/>
              <w:ind w:right="190"/>
              <w:spacing w:after="0"/>
              <w:rPr>
                <w:sz w:val="20"/>
                <w:szCs w:val="20"/>
                <w:color w:val="auto"/>
              </w:rPr>
            </w:pPr>
            <w:r>
              <w:rPr>
                <w:rFonts w:ascii="Times New Roman" w:cs="Times New Roman" w:eastAsia="Times New Roman" w:hAnsi="Times New Roman"/>
                <w:sz w:val="18"/>
                <w:szCs w:val="18"/>
                <w:color w:val="auto"/>
              </w:rPr>
              <w:t>Fair value method</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3580" w:type="dxa"/>
            <w:vAlign w:val="bottom"/>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rPr>
              <w:t>Difference</w:t>
            </w:r>
          </w:p>
        </w:tc>
        <w:tc>
          <w:tcPr>
            <w:tcW w:w="3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the difference between the two methods is not material to the financial statements, the Company added to Note 6 to the financial statements that the "interest method" approximates the fair value of the financial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Please call one of our attorneys, Edwin Miller (617) 398-0408 or Shy Baranov (617) 338-2932 of Zysman, Aharoni, Gayer &amp; Co./Sullivan &amp; Worcester LLP in Boston if you have any questions or require additional information.</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ALCOBRA LTD.</w:t>
      </w:r>
    </w:p>
    <w:p>
      <w:pPr>
        <w:spacing w:after="0" w:line="225" w:lineRule="exact"/>
        <w:rPr>
          <w:sz w:val="20"/>
          <w:szCs w:val="20"/>
          <w:color w:val="auto"/>
        </w:rPr>
      </w:pPr>
    </w:p>
    <w:p>
      <w:pPr>
        <w:ind w:left="550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Yaron Daniely</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Dr. Yaron Daniely,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with a marked copy of Amendment No.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Ubell, Staff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decimal"/>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decimal"/>
      <w:start w:val="1"/>
    </w:lvl>
  </w:abstractNum>
  <w:abstractNum w:abstractNumId="35">
    <w:nsid w:val="4C04A8AF"/>
    <w:multiLevelType w:val="hybridMultilevel"/>
    <w:lvl w:ilvl="0">
      <w:lvlJc w:val="left"/>
      <w:lvlText w:val="·"/>
      <w:numFmt w:val="bullet"/>
      <w:start w:val="1"/>
    </w:lvl>
    <w:lvl w:ilvl="1">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1)"/>
      <w:numFmt w:val="lowerRoman"/>
      <w:start w:val="3"/>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1)"/>
      <w:numFmt w:val="decimal"/>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1)"/>
      <w:numFmt w:val="decimal"/>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2"/>
    </w:lvl>
  </w:abstractNum>
  <w:abstractNum w:abstractNumId="87">
    <w:nsid w:val="5C10FE21"/>
    <w:multiLevelType w:val="hybridMultilevel"/>
    <w:lvl w:ilvl="0">
      <w:lvlJc w:val="left"/>
      <w:lvlText w:val="%1."/>
      <w:numFmt w:val="lowerLetter"/>
      <w:start w:val="7"/>
    </w:lvl>
  </w:abstractNum>
  <w:abstractNum w:abstractNumId="88">
    <w:nsid w:val="E7FFA2B"/>
    <w:multiLevelType w:val="hybridMultilevel"/>
    <w:lvl w:ilvl="0">
      <w:lvlJc w:val="left"/>
      <w:lvlText w:val="%1."/>
      <w:numFmt w:val="lowerLetter"/>
      <w:start w:val="10"/>
    </w:lvl>
  </w:abstractNum>
  <w:abstractNum w:abstractNumId="89">
    <w:nsid w:val="3C5991AA"/>
    <w:multiLevelType w:val="hybridMultilevel"/>
    <w:lvl w:ilvl="0">
      <w:lvlJc w:val="left"/>
      <w:lvlText w:val="%1."/>
      <w:numFmt w:val="lowerLetter"/>
      <w:start w:val="13"/>
    </w:lvl>
  </w:abstractNum>
  <w:abstractNum w:abstractNumId="90">
    <w:nsid w:val="4BD8591A"/>
    <w:multiLevelType w:val="hybridMultilevel"/>
    <w:lvl w:ilvl="0">
      <w:lvlJc w:val="left"/>
      <w:lvlText w:val="%1."/>
      <w:numFmt w:val="lowerLetter"/>
      <w:start w:val="14"/>
    </w:lvl>
  </w:abstractNum>
  <w:abstractNum w:abstractNumId="91">
    <w:nsid w:val="78DF6A55"/>
    <w:multiLevelType w:val="hybridMultilevel"/>
    <w:lvl w:ilvl="0">
      <w:lvlJc w:val="left"/>
      <w:lvlText w:val="%1."/>
      <w:numFmt w:val="lowerLetter"/>
      <w:start w:val="1"/>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1."/>
      <w:numFmt w:val="lowerLetter"/>
      <w:start w:val="4"/>
    </w:lvl>
  </w:abstractNum>
  <w:abstractNum w:abstractNumId="94">
    <w:nsid w:val="6C80EC70"/>
    <w:multiLevelType w:val="hybridMultilevel"/>
    <w:lvl w:ilvl="0">
      <w:lvlJc w:val="left"/>
      <w:lvlText w:val="%1."/>
      <w:numFmt w:val="lowerLetter"/>
      <w:start w:val="1"/>
    </w:lvl>
  </w:abstractNum>
  <w:abstractNum w:abstractNumId="95">
    <w:nsid w:val="379E21B5"/>
    <w:multiLevelType w:val="hybridMultilevel"/>
    <w:lvl w:ilvl="0">
      <w:lvlJc w:val="left"/>
      <w:lvlText w:val="%1."/>
      <w:numFmt w:val="lowerLetter"/>
      <w:start w:val="3"/>
    </w:lvl>
  </w:abstractNum>
  <w:abstractNum w:abstractNumId="96">
    <w:nsid w:val="69E373"/>
    <w:multiLevelType w:val="hybridMultilevel"/>
    <w:lvl w:ilvl="0">
      <w:lvlJc w:val="left"/>
      <w:lvlText w:val="%1."/>
      <w:numFmt w:val="lowerLetter"/>
      <w:start w:val="1"/>
    </w:lvl>
    <w:lvl w:ilvl="1">
      <w:lvlJc w:val="left"/>
      <w:lvlText w:val="%2."/>
      <w:numFmt w:val="decimal"/>
      <w:start w:val="1"/>
    </w:lvl>
  </w:abstractNum>
  <w:abstractNum w:abstractNumId="97">
    <w:nsid w:val="2C27173B"/>
    <w:multiLevelType w:val="hybridMultilevel"/>
    <w:lvl w:ilvl="0">
      <w:lvlJc w:val="left"/>
      <w:lvlText w:val="%1."/>
      <w:numFmt w:val="decimal"/>
      <w:start w:val="3"/>
    </w:lvl>
  </w:abstractNum>
  <w:abstractNum w:abstractNumId="98">
    <w:nsid w:val="4C9B0904"/>
    <w:multiLevelType w:val="hybridMultilevel"/>
    <w:lvl w:ilvl="0">
      <w:lvlJc w:val="left"/>
      <w:lvlText w:val="%1."/>
      <w:numFmt w:val="lowerLetter"/>
      <w:start w:val="4"/>
    </w:lvl>
  </w:abstractNum>
  <w:abstractNum w:abstractNumId="99">
    <w:nsid w:val="6AA7B75C"/>
    <w:multiLevelType w:val="hybridMultilevel"/>
    <w:lvl w:ilvl="0">
      <w:lvlJc w:val="left"/>
      <w:lvlText w:val="%1."/>
      <w:numFmt w:val="lowerLetter"/>
      <w:start w:val="5"/>
    </w:lvl>
  </w:abstractNum>
  <w:abstractNum w:abstractNumId="100">
    <w:nsid w:val="1DF029D3"/>
    <w:multiLevelType w:val="hybridMultilevel"/>
    <w:lvl w:ilvl="0">
      <w:lvlJc w:val="left"/>
      <w:lvlText w:val="%1."/>
      <w:numFmt w:val="lowerLetter"/>
      <w:start w:val="6"/>
    </w:lvl>
  </w:abstractNum>
  <w:abstractNum w:abstractNumId="101">
    <w:nsid w:val="5675FF36"/>
    <w:multiLevelType w:val="hybridMultilevel"/>
    <w:lvl w:ilvl="0">
      <w:lvlJc w:val="left"/>
      <w:lvlText w:val="%1."/>
      <w:numFmt w:val="lowerLetter"/>
    </w:lvl>
    <w:lvl w:ilvl="1">
      <w:lvlJc w:val="left"/>
      <w:lvlText w:val="$"/>
      <w:numFmt w:val="bullet"/>
      <w:start w:val="1"/>
    </w:lvl>
  </w:abstractNum>
  <w:abstractNum w:abstractNumId="102">
    <w:nsid w:val="3DD15094"/>
    <w:multiLevelType w:val="hybridMultilevel"/>
    <w:lvl w:ilvl="0">
      <w:lvlJc w:val="left"/>
      <w:lvlText w:val="%1."/>
      <w:numFmt w:val="lowerLetter"/>
      <w:start w:val="1"/>
    </w:lvl>
  </w:abstractNum>
  <w:abstractNum w:abstractNumId="103">
    <w:nsid w:val="3DB012B3"/>
    <w:multiLevelType w:val="hybridMultilevel"/>
    <w:lvl w:ilvl="0">
      <w:lvlJc w:val="left"/>
      <w:lvlText w:val="%1."/>
      <w:numFmt w:val="lowerLetter"/>
      <w:start w:val="2"/>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decimal"/>
      <w:start w:val="1"/>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4"/>
    </w:lvl>
    <w:lvl w:ilvl="1">
      <w:lvlJc w:val="left"/>
      <w:lvlText w:val="(%2)"/>
      <w:numFmt w:val="lowerRoman"/>
      <w:start w:val="2"/>
    </w:lvl>
  </w:abstractNum>
  <w:abstractNum w:abstractNumId="113">
    <w:nsid w:val="2C6E4AFD"/>
    <w:multiLevelType w:val="hybridMultilevel"/>
    <w:lvl w:ilvl="0">
      <w:lvlJc w:val="left"/>
      <w:lvlText w:val="%1."/>
      <w:numFmt w:val="decimal"/>
      <w:start w:val="5"/>
    </w:lvl>
  </w:abstractNum>
  <w:abstractNum w:abstractNumId="114">
    <w:nsid w:val="17A1B582"/>
    <w:multiLevelType w:val="hybridMultilevel"/>
    <w:lvl w:ilvl="0">
      <w:lvlJc w:val="left"/>
      <w:lvlText w:val="%1."/>
      <w:numFmt w:val="decimal"/>
      <w:start w:val="8"/>
    </w:lvl>
    <w:lvl w:ilvl="1">
      <w:lvlJc w:val="left"/>
      <w:lvlText w:val="-"/>
      <w:numFmt w:val="bullet"/>
      <w:start w:val="1"/>
    </w:lvl>
  </w:abstractNum>
  <w:abstractNum w:abstractNumId="115">
    <w:nsid w:val="4DF72E4E"/>
    <w:multiLevelType w:val="hybridMultilevel"/>
    <w:lvl w:ilvl="0">
      <w:lvlJc w:val="left"/>
      <w:lvlText w:val="%1."/>
      <w:numFmt w:val="decimal"/>
      <w:start w:val="1"/>
    </w:lvl>
    <w:lvl w:ilvl="1">
      <w:lvlJc w:val="left"/>
      <w:lvlText w:val="-"/>
      <w:numFmt w:val="bullet"/>
      <w:start w:val="1"/>
    </w:lvl>
  </w:abstractNum>
  <w:abstractNum w:abstractNumId="116">
    <w:nsid w:val="5046B5A9"/>
    <w:multiLevelType w:val="hybridMultilevel"/>
    <w:lvl w:ilvl="0">
      <w:lvlJc w:val="left"/>
      <w:lvlText w:val="%1."/>
      <w:numFmt w:val="decimal"/>
      <w:start w:val="1"/>
    </w:lvl>
  </w:abstractNum>
  <w:abstractNum w:abstractNumId="117">
    <w:nsid w:val="5D888A08"/>
    <w:multiLevelType w:val="hybridMultilevel"/>
    <w:lvl w:ilvl="0">
      <w:lvlJc w:val="left"/>
      <w:lvlText w:val="%1."/>
      <w:numFmt w:val="decimal"/>
      <w:start w:val="1"/>
    </w:lvl>
  </w:abstractNum>
  <w:abstractNum w:abstractNumId="118">
    <w:nsid w:val="2A082C70"/>
    <w:multiLevelType w:val="hybridMultilevel"/>
    <w:lvl w:ilvl="0">
      <w:lvlJc w:val="left"/>
      <w:lvlText w:val="%1."/>
      <w:numFmt w:val="decimal"/>
      <w:start w:val="2"/>
    </w:lvl>
  </w:abstractNum>
  <w:abstractNum w:abstractNumId="119">
    <w:nsid w:val="5EC6AFD4"/>
    <w:multiLevelType w:val="hybridMultilevel"/>
    <w:lvl w:ilvl="0">
      <w:lvlJc w:val="left"/>
      <w:lvlText w:val="%1."/>
      <w:numFmt w:val="decimal"/>
      <w:start w:val="4"/>
    </w:lvl>
  </w:abstractNum>
  <w:abstractNum w:abstractNumId="120">
    <w:nsid w:val="19E21BB2"/>
    <w:multiLevelType w:val="hybridMultilevel"/>
    <w:lvl w:ilvl="0">
      <w:lvlJc w:val="left"/>
      <w:lvlText w:val="%1."/>
      <w:numFmt w:val="decimal"/>
      <w:start w:val="5"/>
    </w:lvl>
  </w:abstractNum>
  <w:abstractNum w:abstractNumId="121">
    <w:nsid w:val="75E0858A"/>
    <w:multiLevelType w:val="hybridMultilevel"/>
    <w:lvl w:ilvl="0">
      <w:lvlJc w:val="left"/>
      <w:lvlText w:val="%1."/>
      <w:numFmt w:val="decimal"/>
      <w:start w:val="8"/>
    </w:lvl>
  </w:abstractNum>
  <w:abstractNum w:abstractNumId="122">
    <w:nsid w:val="57A61A29"/>
    <w:multiLevelType w:val="hybridMultilevel"/>
    <w:lvl w:ilvl="0">
      <w:lvlJc w:val="left"/>
      <w:lvlText w:val="%1."/>
      <w:numFmt w:val="decimal"/>
      <w:start w:val="9"/>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4"/>
    </w:lvl>
    <w:lvl w:ilvl="1">
      <w:lvlJc w:val="left"/>
      <w:lvlText w:val="(%2)"/>
      <w:numFmt w:val="lowerRoman"/>
      <w:start w:val="4"/>
    </w:lvl>
  </w:abstractNum>
  <w:abstractNum w:abstractNumId="127">
    <w:nsid w:val="2157F6BC"/>
    <w:multiLevelType w:val="hybridMultilevel"/>
    <w:lvl w:ilvl="0">
      <w:lvlJc w:val="left"/>
      <w:lvlText w:val="%1."/>
      <w:numFmt w:val="decimal"/>
      <w:start w:val="6"/>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decimal"/>
      <w:start w:val="6"/>
    </w:lvl>
  </w:abstractNum>
  <w:abstractNum w:abstractNumId="130">
    <w:nsid w:val="BFFAE18"/>
    <w:multiLevelType w:val="hybridMultilevel"/>
    <w:lvl w:ilvl="0">
      <w:lvlJc w:val="left"/>
      <w:lvlText w:val="%1."/>
      <w:numFmt w:val="decimal"/>
      <w:start w:val="10"/>
    </w:lvl>
  </w:abstractNum>
  <w:abstractNum w:abstractNumId="131">
    <w:nsid w:val="E3E47A8"/>
    <w:multiLevelType w:val="hybridMultilevel"/>
    <w:lvl w:ilvl="0">
      <w:lvlJc w:val="left"/>
      <w:lvlText w:val="%1."/>
      <w:numFmt w:val="decimal"/>
      <w:start w:val="1"/>
    </w:lvl>
    <w:lvl w:ilvl="1">
      <w:lvlJc w:val="left"/>
      <w:lvlText w:val="(%2)"/>
      <w:numFmt w:val="lowerLetter"/>
      <w:start w:val="1"/>
    </w:lvl>
  </w:abstractNum>
  <w:abstractNum w:abstractNumId="132">
    <w:nsid w:val="2E48F044"/>
    <w:multiLevelType w:val="hybridMultilevel"/>
    <w:lvl w:ilvl="0">
      <w:lvlJc w:val="left"/>
      <w:lvlText w:val="(%1)"/>
      <w:numFmt w:val="lowerLetter"/>
      <w:start w:val="2"/>
    </w:lvl>
  </w:abstractNum>
  <w:abstractNum w:abstractNumId="133">
    <w:nsid w:val="49D0FEAC"/>
    <w:multiLevelType w:val="hybridMultilevel"/>
    <w:lvl w:ilvl="0">
      <w:lvlJc w:val="left"/>
      <w:lvlText w:val="%1."/>
      <w:numFmt w:val="decimal"/>
      <w:start w:val="2"/>
    </w:lvl>
  </w:abstractNum>
  <w:abstractNum w:abstractNumId="134">
    <w:nsid w:val="4BEE5A5B"/>
    <w:multiLevelType w:val="hybridMultilevel"/>
    <w:lvl w:ilvl="0">
      <w:lvlJc w:val="left"/>
      <w:lvlText w:val="%1."/>
      <w:numFmt w:val="decimal"/>
      <w:start w:val="3"/>
    </w:lvl>
    <w:lvl w:ilvl="1">
      <w:lvlJc w:val="left"/>
      <w:lvlText w:val="(%2)"/>
      <w:numFmt w:val="lowerLetter"/>
      <w:start w:val="1"/>
    </w:lvl>
  </w:abstractNum>
  <w:abstractNum w:abstractNumId="135">
    <w:nsid w:val="5551B9F3"/>
    <w:multiLevelType w:val="hybridMultilevel"/>
    <w:lvl w:ilvl="0">
      <w:lvlJc w:val="left"/>
      <w:lvlText w:val="(%1)"/>
      <w:numFmt w:val="lowerLetter"/>
      <w:start w:val="2"/>
    </w:lvl>
  </w:abstractNum>
  <w:abstractNum w:abstractNumId="136">
    <w:nsid w:val="24F6AB8E"/>
    <w:multiLevelType w:val="hybridMultilevel"/>
    <w:lvl w:ilvl="0">
      <w:lvlJc w:val="left"/>
      <w:lvlText w:val="%1."/>
      <w:numFmt w:val="decimal"/>
      <w:start w:val="4"/>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2019-12-08T05:20:57Z</dcterms:created>
  <dcterms:modified xsi:type="dcterms:W3CDTF">2019-12-08T05:20:57Z</dcterms:modified>
</cp:coreProperties>
</file>