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Chivukula Pad</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right="120"/>
        <w:spacing w:after="0" w:line="292" w:lineRule="auto"/>
        <w:rPr>
          <w:sz w:val="20"/>
          <w:szCs w:val="20"/>
          <w:color w:val="auto"/>
        </w:rPr>
      </w:pPr>
      <w:r>
        <w:rPr>
          <w:rFonts w:ascii="Arial" w:cs="Arial" w:eastAsia="Arial" w:hAnsi="Arial"/>
          <w:sz w:val="17"/>
          <w:szCs w:val="17"/>
          <w:color w:val="0000FF"/>
        </w:rPr>
        <w:t>C/O ARCTURUS THERAPEUTICS HOLDINGS INC.</w:t>
      </w:r>
    </w:p>
    <w:p>
      <w:pPr>
        <w:spacing w:after="0" w:line="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10628 SCIENCE CENTER DRIVE, SUITE 250</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SAN DIEGO</w:t>
            </w:r>
          </w:p>
        </w:tc>
        <w:tc>
          <w:tcPr>
            <w:tcW w:w="960" w:type="dxa"/>
            <w:vAlign w:val="bottom"/>
          </w:tcPr>
          <w:p>
            <w:pPr>
              <w:ind w:left="14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92121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2"/>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Arcturus Therapeutics Holdings Inc. </w:t>
              </w:r>
            </w:hyperlink>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100" w:type="dxa"/>
            <w:vAlign w:val="bottom"/>
            <w:tcBorders>
              <w:bottom w:val="single" w:sz="8" w:color="0000EE"/>
            </w:tcBorders>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Arial" w:cs="Arial" w:eastAsia="Arial" w:hAnsi="Arial"/>
                <w:sz w:val="17"/>
                <w:szCs w:val="17"/>
                <w:color w:val="0000FF"/>
              </w:rPr>
              <w:t xml:space="preserve">ARCT </w:t>
            </w:r>
            <w:r>
              <w:rPr>
                <w:rFonts w:ascii="Arial" w:cs="Arial" w:eastAsia="Arial" w:hAnsi="Arial"/>
                <w:sz w:val="21"/>
                <w:szCs w:val="21"/>
                <w:color w:val="000000"/>
              </w:rPr>
              <w:t>]</w:t>
            </w: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48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1"/>
        </w:trPr>
        <w:tc>
          <w:tcPr>
            <w:tcW w:w="80" w:type="dxa"/>
            <w:vAlign w:val="bottom"/>
            <w:tcBorders>
              <w:bottom w:val="single" w:sz="8" w:color="808080"/>
            </w:tcBorders>
          </w:tcPr>
          <w:p>
            <w:pPr>
              <w:spacing w:after="0"/>
              <w:rPr>
                <w:sz w:val="4"/>
                <w:szCs w:val="4"/>
                <w:color w:val="auto"/>
              </w:rPr>
            </w:pPr>
          </w:p>
        </w:tc>
        <w:tc>
          <w:tcPr>
            <w:tcW w:w="310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48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80" w:type="dxa"/>
            <w:vAlign w:val="bottom"/>
            <w:tcBorders>
              <w:top w:val="single" w:sz="8" w:color="2C2C2C"/>
            </w:tcBorders>
          </w:tcPr>
          <w:p>
            <w:pPr>
              <w:spacing w:after="0"/>
              <w:rPr>
                <w:sz w:val="6"/>
                <w:szCs w:val="6"/>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6"/>
                <w:szCs w:val="6"/>
                <w:color w:val="auto"/>
              </w:rPr>
            </w:pPr>
          </w:p>
        </w:tc>
        <w:tc>
          <w:tcPr>
            <w:tcW w:w="1380" w:type="dxa"/>
            <w:vAlign w:val="bottom"/>
            <w:vMerge w:val="restart"/>
          </w:tcPr>
          <w:p>
            <w:pPr>
              <w:ind w:left="120"/>
              <w:spacing w:after="0" w:line="127"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80" w:type="dxa"/>
            <w:vAlign w:val="bottom"/>
          </w:tcPr>
          <w:p>
            <w:pPr>
              <w:spacing w:after="0"/>
              <w:rPr>
                <w:sz w:val="4"/>
                <w:szCs w:val="4"/>
                <w:color w:val="auto"/>
              </w:rPr>
            </w:pPr>
          </w:p>
        </w:tc>
        <w:tc>
          <w:tcPr>
            <w:tcW w:w="37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80" w:type="dxa"/>
            <w:vAlign w:val="bottom"/>
          </w:tcPr>
          <w:p>
            <w:pPr>
              <w:spacing w:after="0"/>
              <w:rPr>
                <w:sz w:val="5"/>
                <w:szCs w:val="5"/>
                <w:color w:val="auto"/>
              </w:rPr>
            </w:pPr>
          </w:p>
        </w:tc>
        <w:tc>
          <w:tcPr>
            <w:tcW w:w="374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28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Chief Scientific Officer &amp; COO</w:t>
            </w:r>
          </w:p>
        </w:tc>
        <w:tc>
          <w:tcPr>
            <w:tcW w:w="0" w:type="dxa"/>
            <w:vAlign w:val="bottom"/>
          </w:tcPr>
          <w:p>
            <w:pPr>
              <w:spacing w:after="0"/>
              <w:rPr>
                <w:sz w:val="1"/>
                <w:szCs w:val="1"/>
                <w:color w:val="auto"/>
              </w:rPr>
            </w:pPr>
          </w:p>
        </w:tc>
      </w:tr>
      <w:tr>
        <w:trPr>
          <w:trHeight w:val="220"/>
        </w:trPr>
        <w:tc>
          <w:tcPr>
            <w:tcW w:w="3180" w:type="dxa"/>
            <w:vAlign w:val="bottom"/>
            <w:gridSpan w:val="2"/>
          </w:tcPr>
          <w:p>
            <w:pPr>
              <w:ind w:left="80"/>
              <w:spacing w:after="0"/>
              <w:rPr>
                <w:sz w:val="20"/>
                <w:szCs w:val="20"/>
                <w:color w:val="auto"/>
              </w:rPr>
            </w:pPr>
            <w:r>
              <w:rPr>
                <w:rFonts w:ascii="Arial" w:cs="Arial" w:eastAsia="Arial" w:hAnsi="Arial"/>
                <w:sz w:val="17"/>
                <w:szCs w:val="17"/>
                <w:color w:val="0000FF"/>
              </w:rPr>
              <w:t>10/02/2023</w:t>
            </w: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3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80" w:right="380" w:hanging="256"/>
        <w:spacing w:after="0" w:line="180"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10/02/2023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5,000</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25.6123</w:t>
            </w:r>
            <w:r>
              <w:rPr>
                <w:rFonts w:ascii="Arial" w:cs="Arial" w:eastAsia="Arial" w:hAnsi="Arial"/>
                <w:sz w:val="22"/>
                <w:szCs w:val="22"/>
                <w:color w:val="008000"/>
                <w:w w:val="94"/>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504,448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the weighted average price of 5,000 shares of common stock of Arcturus Therapeutics Holdings Inc. sold by the Reporting Person in multiple transactions on October 2, 2023, with sale prices ranging from $25.29 to $26.32 per share. The Reporting Person undertakes to provide upon request by the U.S. Securities and Exchange Commission staff, the Issuer, or a security holder of the Issuer, full information regarding the number of shares sold at each separate price.</w:t>
      </w:r>
    </w:p>
    <w:p>
      <w:pPr>
        <w:spacing w:after="0" w:line="39"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Arial" w:cs="Arial" w:eastAsia="Arial" w:hAnsi="Arial"/>
                <w:sz w:val="17"/>
                <w:szCs w:val="17"/>
                <w:color w:val="0000FF"/>
                <w:w w:val="99"/>
              </w:rPr>
              <w:t>/s/ Ilan Katz, attorney-in-fact</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10/04/2023</w:t>
            </w:r>
          </w:p>
        </w:tc>
      </w:tr>
      <w:tr>
        <w:trPr>
          <w:trHeight w:val="233"/>
        </w:trPr>
        <w:tc>
          <w:tcPr>
            <w:tcW w:w="20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27317" TargetMode="External"/><Relationship Id="rId13" Type="http://schemas.openxmlformats.org/officeDocument/2006/relationships/hyperlink" Target="http://www.sec.gov/cgi-bin/browse-edgar?action=getcompany&amp;CIK=0001768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2023-10-04T15:15:38Z</dcterms:created>
  <dcterms:modified xsi:type="dcterms:W3CDTF">2023-10-04T15:15:38Z</dcterms:modified>
</cp:coreProperties>
</file>