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June 21, 2019</w:t>
      </w:r>
    </w:p>
    <w:p>
      <w:pPr>
        <w:spacing w:after="0" w:line="73"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S-3</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67310</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ARCTURUS THERAPEUTICS HOLDINGS INC.</w:t>
      </w:r>
    </w:p>
    <w:p>
      <w:pPr>
        <w:spacing w:after="0" w:line="40" w:lineRule="exact"/>
        <w:rPr>
          <w:sz w:val="24"/>
          <w:szCs w:val="24"/>
          <w:color w:val="auto"/>
        </w:rPr>
      </w:pPr>
    </w:p>
    <w:tbl>
      <w:tblPr>
        <w:tblLayout w:type="fixed"/>
        <w:tblInd w:w="208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257"/>
        </w:trPr>
        <w:tc>
          <w:tcPr>
            <w:tcW w:w="1680" w:type="dxa"/>
            <w:vAlign w:val="bottom"/>
          </w:tcPr>
          <w:p>
            <w:pPr>
              <w:jc w:val="center"/>
              <w:ind w:right="111"/>
              <w:spacing w:after="0"/>
              <w:rPr>
                <w:sz w:val="20"/>
                <w:szCs w:val="20"/>
                <w:color w:val="auto"/>
              </w:rPr>
            </w:pPr>
            <w:r>
              <w:rPr>
                <w:rFonts w:ascii="Arial" w:cs="Arial" w:eastAsia="Arial" w:hAnsi="Arial"/>
                <w:sz w:val="16"/>
                <w:szCs w:val="16"/>
                <w:b w:val="1"/>
                <w:bCs w:val="1"/>
                <w:color w:val="auto"/>
                <w:w w:val="93"/>
              </w:rPr>
              <w:t>Delaware</w:t>
            </w:r>
          </w:p>
        </w:tc>
        <w:tc>
          <w:tcPr>
            <w:tcW w:w="5300" w:type="dxa"/>
            <w:vAlign w:val="bottom"/>
          </w:tcPr>
          <w:p>
            <w:pPr>
              <w:jc w:val="center"/>
              <w:ind w:left="4288"/>
              <w:spacing w:after="0"/>
              <w:rPr>
                <w:sz w:val="20"/>
                <w:szCs w:val="20"/>
                <w:color w:val="auto"/>
              </w:rPr>
            </w:pPr>
            <w:r>
              <w:rPr>
                <w:rFonts w:ascii="Arial" w:cs="Arial" w:eastAsia="Arial" w:hAnsi="Arial"/>
                <w:sz w:val="16"/>
                <w:szCs w:val="16"/>
                <w:b w:val="1"/>
                <w:bCs w:val="1"/>
                <w:color w:val="auto"/>
                <w:w w:val="91"/>
              </w:rPr>
              <w:t>32-0595345</w:t>
            </w:r>
          </w:p>
        </w:tc>
      </w:tr>
      <w:tr>
        <w:trPr>
          <w:trHeight w:val="135"/>
        </w:trPr>
        <w:tc>
          <w:tcPr>
            <w:tcW w:w="1680" w:type="dxa"/>
            <w:vAlign w:val="bottom"/>
          </w:tcPr>
          <w:p>
            <w:pPr>
              <w:jc w:val="center"/>
              <w:ind w:right="111"/>
              <w:spacing w:after="0" w:line="135" w:lineRule="exact"/>
              <w:rPr>
                <w:sz w:val="20"/>
                <w:szCs w:val="20"/>
                <w:color w:val="auto"/>
              </w:rPr>
            </w:pPr>
            <w:r>
              <w:rPr>
                <w:rFonts w:ascii="Arial" w:cs="Arial" w:eastAsia="Arial" w:hAnsi="Arial"/>
                <w:sz w:val="13"/>
                <w:szCs w:val="13"/>
                <w:color w:val="auto"/>
                <w:w w:val="89"/>
              </w:rPr>
              <w:t>(State or other jurisdiction of</w:t>
            </w:r>
          </w:p>
        </w:tc>
        <w:tc>
          <w:tcPr>
            <w:tcW w:w="5300" w:type="dxa"/>
            <w:vAlign w:val="bottom"/>
          </w:tcPr>
          <w:p>
            <w:pPr>
              <w:jc w:val="center"/>
              <w:ind w:left="4288"/>
              <w:spacing w:after="0" w:line="135" w:lineRule="exact"/>
              <w:rPr>
                <w:sz w:val="20"/>
                <w:szCs w:val="20"/>
                <w:color w:val="auto"/>
              </w:rPr>
            </w:pPr>
            <w:r>
              <w:rPr>
                <w:rFonts w:ascii="Arial" w:cs="Arial" w:eastAsia="Arial" w:hAnsi="Arial"/>
                <w:sz w:val="13"/>
                <w:szCs w:val="13"/>
                <w:color w:val="auto"/>
                <w:w w:val="90"/>
              </w:rPr>
              <w:t>(I.R.S. Employer</w:t>
            </w:r>
          </w:p>
        </w:tc>
      </w:tr>
      <w:tr>
        <w:trPr>
          <w:trHeight w:val="160"/>
        </w:trPr>
        <w:tc>
          <w:tcPr>
            <w:tcW w:w="1680" w:type="dxa"/>
            <w:vAlign w:val="bottom"/>
          </w:tcPr>
          <w:p>
            <w:pPr>
              <w:jc w:val="center"/>
              <w:ind w:right="111"/>
              <w:spacing w:after="0"/>
              <w:rPr>
                <w:sz w:val="20"/>
                <w:szCs w:val="20"/>
                <w:color w:val="auto"/>
              </w:rPr>
            </w:pPr>
            <w:r>
              <w:rPr>
                <w:rFonts w:ascii="Arial" w:cs="Arial" w:eastAsia="Arial" w:hAnsi="Arial"/>
                <w:sz w:val="13"/>
                <w:szCs w:val="13"/>
                <w:color w:val="auto"/>
                <w:w w:val="88"/>
              </w:rPr>
              <w:t>incorporation or organization)</w:t>
            </w:r>
          </w:p>
        </w:tc>
        <w:tc>
          <w:tcPr>
            <w:tcW w:w="5300" w:type="dxa"/>
            <w:vAlign w:val="bottom"/>
          </w:tcPr>
          <w:p>
            <w:pPr>
              <w:jc w:val="center"/>
              <w:ind w:left="4288"/>
              <w:spacing w:after="0"/>
              <w:rPr>
                <w:sz w:val="20"/>
                <w:szCs w:val="20"/>
                <w:color w:val="auto"/>
              </w:rPr>
            </w:pPr>
            <w:r>
              <w:rPr>
                <w:rFonts w:ascii="Arial" w:cs="Arial" w:eastAsia="Arial" w:hAnsi="Arial"/>
                <w:sz w:val="13"/>
                <w:szCs w:val="13"/>
                <w:color w:val="auto"/>
                <w:w w:val="92"/>
              </w:rPr>
              <w:t>Identification No.)</w:t>
            </w: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10628 Science Center Drive, Suite 250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Diego, California 92121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900-2660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67310</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Joseph E. Payne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Arcturus Therapeutics Holdings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10628 Science Center Drive, Suite 250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Diego, California 92121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900-2660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With a copy to:</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Jeffrey A. Baumel, Esq.</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Ilan Katz, Esq.</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Dentons US LLP</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1221 Avenue of the Americas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NY 10020-1089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(212) 768-6700</w:t>
      </w:r>
    </w:p>
    <w:p>
      <w:pPr>
        <w:spacing w:after="0" w:line="65" w:lineRule="exact"/>
        <w:rPr>
          <w:sz w:val="24"/>
          <w:szCs w:val="24"/>
          <w:color w:val="auto"/>
        </w:rPr>
      </w:pPr>
    </w:p>
    <w:p>
      <w:pPr>
        <w:ind w:right="460"/>
        <w:spacing w:after="0" w:line="282" w:lineRule="auto"/>
        <w:rPr>
          <w:sz w:val="20"/>
          <w:szCs w:val="20"/>
          <w:color w:val="auto"/>
        </w:rPr>
      </w:pPr>
      <w:r>
        <w:rPr>
          <w:rFonts w:ascii="Arial" w:cs="Arial" w:eastAsia="Arial" w:hAnsi="Arial"/>
          <w:sz w:val="16"/>
          <w:szCs w:val="16"/>
          <w:color w:val="auto"/>
        </w:rPr>
        <w:t xml:space="preserve">Approximate date of commencement of proposed sale to the public: </w:t>
      </w:r>
      <w:r>
        <w:rPr>
          <w:rFonts w:ascii="Arial" w:cs="Arial" w:eastAsia="Arial" w:hAnsi="Arial"/>
          <w:sz w:val="16"/>
          <w:szCs w:val="16"/>
          <w:b w:val="1"/>
          <w:bCs w:val="1"/>
          <w:color w:val="auto"/>
        </w:rPr>
        <w:t>From time to time after the effective date of this Registration Statement, as the registrant shall</w:t>
      </w:r>
      <w:r>
        <w:rPr>
          <w:rFonts w:ascii="Arial" w:cs="Arial" w:eastAsia="Arial" w:hAnsi="Arial"/>
          <w:sz w:val="16"/>
          <w:szCs w:val="16"/>
          <w:color w:val="auto"/>
        </w:rPr>
        <w:t xml:space="preserve"> </w:t>
      </w:r>
      <w:r>
        <w:rPr>
          <w:rFonts w:ascii="Arial" w:cs="Arial" w:eastAsia="Arial" w:hAnsi="Arial"/>
          <w:sz w:val="16"/>
          <w:szCs w:val="16"/>
          <w:b w:val="1"/>
          <w:bCs w:val="1"/>
          <w:color w:val="auto"/>
        </w:rPr>
        <w:t>determine.</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03" w:lineRule="exact"/>
        <w:rPr>
          <w:sz w:val="24"/>
          <w:szCs w:val="24"/>
          <w:color w:val="auto"/>
        </w:rPr>
      </w:pPr>
    </w:p>
    <w:p>
      <w:pPr>
        <w:ind w:right="48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1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12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1" w:name="page2"/>
    <w:bookmarkEnd w:id="1"/>
    <w:p>
      <w:pPr>
        <w:ind w:right="340"/>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32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400" w:type="dxa"/>
            <w:vAlign w:val="bottom"/>
          </w:tcPr>
          <w:p>
            <w:pPr>
              <w:ind w:left="32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74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5400" w:type="dxa"/>
            <w:vAlign w:val="bottom"/>
          </w:tcPr>
          <w:p>
            <w:pPr>
              <w:ind w:left="32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0"/>
          <w:szCs w:val="20"/>
          <w:color w:val="auto"/>
        </w:rPr>
      </w:pPr>
    </w:p>
    <w:p>
      <w:pPr>
        <w:ind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44450</wp:posOffset>
            </wp:positionV>
            <wp:extent cx="1054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Proposed</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Proposed</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Each Class of</w:t>
            </w:r>
          </w:p>
        </w:tc>
        <w:tc>
          <w:tcPr>
            <w:tcW w:w="1840" w:type="dxa"/>
            <w:vAlign w:val="bottom"/>
            <w:gridSpan w:val="2"/>
            <w:vMerge w:val="continue"/>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Maximum</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Maximum</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vMerge w:val="continue"/>
          </w:tcPr>
          <w:p>
            <w:pPr>
              <w:spacing w:after="0"/>
              <w:rPr>
                <w:sz w:val="12"/>
                <w:szCs w:val="12"/>
                <w:color w:val="auto"/>
              </w:rPr>
            </w:pPr>
          </w:p>
        </w:tc>
        <w:tc>
          <w:tcPr>
            <w:tcW w:w="1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Aggregate</w:t>
            </w: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Securities to be Registered</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Registered(1)</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Per Unit(2)</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Offering Price(3)</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Registration Fee(4)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Stock(5)</w:t>
            </w:r>
          </w:p>
        </w:tc>
        <w:tc>
          <w:tcPr>
            <w:tcW w:w="12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spacing w:after="0"/>
              <w:rPr>
                <w:sz w:val="20"/>
                <w:szCs w:val="20"/>
                <w:color w:val="auto"/>
              </w:rPr>
            </w:pPr>
            <w:r>
              <w:rPr>
                <w:rFonts w:ascii="Arial" w:cs="Arial" w:eastAsia="Arial" w:hAnsi="Arial"/>
                <w:sz w:val="16"/>
                <w:szCs w:val="16"/>
                <w:color w:val="auto"/>
              </w:rPr>
              <w:t>Preferred Stock(6)</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spacing w:after="0"/>
              <w:rPr>
                <w:sz w:val="20"/>
                <w:szCs w:val="20"/>
                <w:color w:val="auto"/>
              </w:rPr>
            </w:pPr>
            <w:r>
              <w:rPr>
                <w:rFonts w:ascii="Arial" w:cs="Arial" w:eastAsia="Arial" w:hAnsi="Arial"/>
                <w:sz w:val="16"/>
                <w:szCs w:val="16"/>
                <w:color w:val="auto"/>
              </w:rPr>
              <w:t>Debt Securities(7)</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3"/>
          </w:tcPr>
          <w:p>
            <w:pPr>
              <w:spacing w:after="0"/>
              <w:rPr>
                <w:sz w:val="20"/>
                <w:szCs w:val="20"/>
                <w:color w:val="auto"/>
              </w:rPr>
            </w:pPr>
            <w:r>
              <w:rPr>
                <w:rFonts w:ascii="Arial" w:cs="Arial" w:eastAsia="Arial" w:hAnsi="Arial"/>
                <w:sz w:val="16"/>
                <w:szCs w:val="16"/>
                <w:color w:val="auto"/>
              </w:rPr>
              <w:t>Warrants(8)</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120" w:type="dxa"/>
            <w:vAlign w:val="bottom"/>
            <w:gridSpan w:val="3"/>
          </w:tcPr>
          <w:p>
            <w:pPr>
              <w:spacing w:after="0"/>
              <w:rPr>
                <w:sz w:val="20"/>
                <w:szCs w:val="20"/>
                <w:color w:val="auto"/>
              </w:rPr>
            </w:pPr>
            <w:r>
              <w:rPr>
                <w:rFonts w:ascii="Arial" w:cs="Arial" w:eastAsia="Arial" w:hAnsi="Arial"/>
                <w:sz w:val="16"/>
                <w:szCs w:val="16"/>
                <w:color w:val="auto"/>
              </w:rPr>
              <w:t>Units(9)</w:t>
            </w: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720" w:type="dxa"/>
            <w:vAlign w:val="bottom"/>
            <w:tcBorders>
              <w:top w:val="single" w:sz="8" w:color="auto"/>
            </w:tcBorders>
          </w:tcPr>
          <w:p>
            <w:pPr>
              <w:jc w:val="right"/>
              <w:ind w:right="326"/>
              <w:spacing w:after="0"/>
              <w:rPr>
                <w:sz w:val="20"/>
                <w:szCs w:val="20"/>
                <w:color w:val="auto"/>
              </w:rPr>
            </w:pPr>
            <w:r>
              <w:rPr>
                <w:rFonts w:ascii="Arial" w:cs="Arial" w:eastAsia="Arial" w:hAnsi="Arial"/>
                <w:sz w:val="16"/>
                <w:szCs w:val="16"/>
                <w:color w:val="auto"/>
              </w:rPr>
              <w:t>$100,000,000</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$100,000,000</w:t>
            </w:r>
          </w:p>
        </w:tc>
        <w:tc>
          <w:tcPr>
            <w:tcW w:w="10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00" w:hanging="592"/>
        <w:spacing w:after="0" w:line="271"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amount to be registered consists of up to $100,000,000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Any securities registered hereunder may be sold separately or as units with the other securities registered hereunder.</w:t>
      </w:r>
    </w:p>
    <w:p>
      <w:pPr>
        <w:spacing w:after="0" w:line="28" w:lineRule="exact"/>
        <w:rPr>
          <w:rFonts w:ascii="Arial" w:cs="Arial" w:eastAsia="Arial" w:hAnsi="Arial"/>
          <w:sz w:val="16"/>
          <w:szCs w:val="16"/>
          <w:color w:val="auto"/>
        </w:rPr>
      </w:pPr>
    </w:p>
    <w:p>
      <w:pPr>
        <w:ind w:left="600" w:right="220" w:hanging="592"/>
        <w:spacing w:after="0" w:line="319" w:lineRule="auto"/>
        <w:tabs>
          <w:tab w:leader="none" w:pos="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ind w:left="600" w:right="60" w:hanging="592"/>
        <w:spacing w:after="0" w:line="305" w:lineRule="auto"/>
        <w:tabs>
          <w:tab w:leader="none" w:pos="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purposes of computing the registration fee.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w:t>
      </w:r>
    </w:p>
    <w:p>
      <w:pPr>
        <w:spacing w:after="0" w:line="4" w:lineRule="exact"/>
        <w:rPr>
          <w:rFonts w:ascii="Arial" w:cs="Arial" w:eastAsia="Arial" w:hAnsi="Arial"/>
          <w:sz w:val="15"/>
          <w:szCs w:val="15"/>
          <w:color w:val="auto"/>
        </w:rPr>
      </w:pPr>
    </w:p>
    <w:p>
      <w:pPr>
        <w:ind w:left="600" w:hanging="592"/>
        <w:spacing w:after="0"/>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registration fee has been calculated in accordance with Rule 457(o) under the Securities Act.</w:t>
      </w:r>
    </w:p>
    <w:p>
      <w:pPr>
        <w:spacing w:after="0" w:line="72" w:lineRule="exact"/>
        <w:rPr>
          <w:rFonts w:ascii="Arial" w:cs="Arial" w:eastAsia="Arial" w:hAnsi="Arial"/>
          <w:sz w:val="16"/>
          <w:szCs w:val="16"/>
          <w:color w:val="auto"/>
        </w:rPr>
      </w:pPr>
    </w:p>
    <w:p>
      <w:pPr>
        <w:ind w:left="600" w:right="500" w:hanging="592"/>
        <w:spacing w:after="0" w:line="293"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spacing w:after="0" w:line="9" w:lineRule="exact"/>
        <w:rPr>
          <w:rFonts w:ascii="Arial" w:cs="Arial" w:eastAsia="Arial" w:hAnsi="Arial"/>
          <w:sz w:val="16"/>
          <w:szCs w:val="16"/>
          <w:color w:val="auto"/>
        </w:rPr>
      </w:pPr>
    </w:p>
    <w:p>
      <w:pPr>
        <w:ind w:left="600" w:right="480" w:hanging="592"/>
        <w:spacing w:after="0" w:line="293"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spacing w:after="0" w:line="9" w:lineRule="exact"/>
        <w:rPr>
          <w:rFonts w:ascii="Arial" w:cs="Arial" w:eastAsia="Arial" w:hAnsi="Arial"/>
          <w:sz w:val="16"/>
          <w:szCs w:val="16"/>
          <w:color w:val="auto"/>
        </w:rPr>
      </w:pPr>
    </w:p>
    <w:p>
      <w:pPr>
        <w:ind w:left="600" w:right="240" w:hanging="592"/>
        <w:spacing w:after="0" w:line="293"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principal amount of debt securities as may be issued from time to time at indeterminate prices or upon exercise of warrants registered hereby, as the case may be.</w:t>
      </w:r>
    </w:p>
    <w:p>
      <w:pPr>
        <w:spacing w:after="0" w:line="9" w:lineRule="exact"/>
        <w:rPr>
          <w:rFonts w:ascii="Arial" w:cs="Arial" w:eastAsia="Arial" w:hAnsi="Arial"/>
          <w:sz w:val="16"/>
          <w:szCs w:val="16"/>
          <w:color w:val="auto"/>
        </w:rPr>
      </w:pPr>
    </w:p>
    <w:p>
      <w:pPr>
        <w:ind w:left="600" w:right="320" w:hanging="592"/>
        <w:spacing w:after="0" w:line="293"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number of warrants or other rights, including without limitation share purchase or subscription rights, as may be issued from time to time at indeterminate prices.</w:t>
      </w:r>
    </w:p>
    <w:p>
      <w:pPr>
        <w:spacing w:after="0" w:line="9" w:lineRule="exact"/>
        <w:rPr>
          <w:rFonts w:ascii="Arial" w:cs="Arial" w:eastAsia="Arial" w:hAnsi="Arial"/>
          <w:sz w:val="16"/>
          <w:szCs w:val="16"/>
          <w:color w:val="auto"/>
        </w:rPr>
      </w:pPr>
    </w:p>
    <w:p>
      <w:pPr>
        <w:ind w:left="600" w:hanging="592"/>
        <w:spacing w:after="0"/>
        <w:tabs>
          <w:tab w:leader="none" w:pos="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Each unit will be issued under a unit agreement and will represent an interest in two or more securities, which may or may not be separable from one another.</w:t>
      </w:r>
    </w:p>
    <w:p>
      <w:pPr>
        <w:spacing w:after="0" w:line="84" w:lineRule="exact"/>
        <w:rPr>
          <w:rFonts w:ascii="Arial" w:cs="Arial" w:eastAsia="Arial" w:hAnsi="Arial"/>
          <w:sz w:val="15"/>
          <w:szCs w:val="15"/>
          <w:color w:val="auto"/>
        </w:rPr>
      </w:pPr>
    </w:p>
    <w:p>
      <w:pPr>
        <w:ind w:left="600" w:right="740" w:hanging="592"/>
        <w:spacing w:after="0" w:line="293" w:lineRule="auto"/>
        <w:tabs>
          <w:tab w:leader="none" w:pos="6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457(c) of the Securities Act, the offering price and registration fee are computed based on the average high and low prices reported for the registrant’s common stock traded on The Nasdaq Global Market on June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805815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0" w:right="239" w:bottom="1440" w:gutter="0" w:footer="0" w:header="0"/>
        </w:sectPr>
      </w:pPr>
    </w:p>
    <w:bookmarkStart w:id="2" w:name="page3"/>
    <w:bookmarkEnd w:id="2"/>
    <w:p>
      <w:pPr>
        <w:ind w:right="120"/>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F0000"/>
        </w:rPr>
        <w:t>SUBJECT TO COMPLETION, DATED JUNE [</w:t>
      </w:r>
      <w:r>
        <w:rPr>
          <w:rFonts w:ascii="Arial" w:cs="Arial" w:eastAsia="Arial" w:hAnsi="Arial"/>
          <w:sz w:val="18"/>
          <w:szCs w:val="18"/>
          <w:color w:val="FF0000"/>
        </w:rPr>
        <w:t>●]</w:t>
      </w:r>
      <w:r>
        <w:rPr>
          <w:rFonts w:ascii="Arial" w:cs="Arial" w:eastAsia="Arial" w:hAnsi="Arial"/>
          <w:sz w:val="18"/>
          <w:szCs w:val="18"/>
          <w:b w:val="1"/>
          <w:bCs w:val="1"/>
          <w:color w:val="FF0000"/>
        </w:rPr>
        <w:t>,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94615</wp:posOffset>
            </wp:positionV>
            <wp:extent cx="2032635" cy="67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326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Units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102870</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6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prospectus relates to common stock, preferred stock, debt securities, warrants for debt or equity securities and units consisting of the foregoing that we may sell from time to time in one or more transactions. We will provide the specific terms and conditions of these transactions and the securities we may sell in supplements to this prospectus prepared in connection with each transaction. The applicable prospectus supplement will contain information, where applicable, as to other listings, if any, on The Nasdaq Global Market, or the NASDAQ, or any securities exchange of the securities covered by the prospectus supplement. Any such prospectus supplement may also add, update or change information in this prospectus. We may also authorize one or more free writing prospectuses to be provided to you in connection with these offerings. You should carefully read this prospectus, any applicable prospectus supplement and any related free writing prospectuses, as well as the documents incorporated by reference or deemed to be incorporated by reference into this prospectus, carefully before you invest. This prospectus may not be used to offer or sell securities unless accompanied by a prospectus supplement.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under the symbol “ARCT.”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109220</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6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You should review carefully the risks and uncertainties referenced under the heading “</w:t>
      </w:r>
      <w:r>
        <w:rPr>
          <w:rFonts w:ascii="Arial" w:cs="Arial" w:eastAsia="Arial" w:hAnsi="Arial"/>
          <w:sz w:val="18"/>
          <w:szCs w:val="18"/>
          <w:b w:val="1"/>
          <w:bCs w:val="1"/>
          <w:u w:val="single" w:color="auto"/>
          <w:color w:val="auto"/>
        </w:rPr>
        <w:t>Risk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Factors</w:t>
      </w:r>
      <w:r>
        <w:rPr>
          <w:rFonts w:ascii="Arial" w:cs="Arial" w:eastAsia="Arial" w:hAnsi="Arial"/>
          <w:sz w:val="18"/>
          <w:szCs w:val="18"/>
          <w:b w:val="1"/>
          <w:bCs w:val="1"/>
          <w:color w:val="auto"/>
        </w:rPr>
        <w:t>” on page [3] of this prospectus and contained in our filings made with the Securities and Exchange Commission and the applicable prospectus supplement.</w:t>
      </w:r>
    </w:p>
    <w:p>
      <w:pPr>
        <w:spacing w:after="0" w:line="7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securities may be sold directly by us to investors, through agents designated from time to time or to or through underwriters or dealers. For additional information on the methods of sale, you should refer to the section entitled “Plan of Distribution” in this prospectus. If any underwriters are involved in the sale of these securities with respect to which this prospectus is being delivered, the names of such underwriters and any applicable commissions or discounts and over-allotment options will be set forth in a prospectus supplement. The price to the public of such securities and the net proceeds that we expect to receive from such sale will also be set forth in a prospectus supplement. No securities may be sold without delivery of this prospectus and the applicable prospectus supplement describing the method and terms of the offering of such securities.</w:t>
      </w:r>
    </w:p>
    <w:p>
      <w:pPr>
        <w:spacing w:after="0" w:line="66"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71755</wp:posOffset>
            </wp:positionV>
            <wp:extent cx="25984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June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060" w:type="dxa"/>
            <w:vAlign w:val="bottom"/>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282"/>
        </w:trPr>
        <w:tc>
          <w:tcPr>
            <w:tcW w:w="22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6140" w:type="dxa"/>
            <w:vAlign w:val="bottom"/>
            <w:gridSpan w:val="8"/>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PROSPECTUS SUMMARY</w:t>
              </w:r>
            </w:hyperlink>
          </w:p>
        </w:tc>
        <w:tc>
          <w:tcPr>
            <w:tcW w:w="6280" w:type="dxa"/>
            <w:vAlign w:val="bottom"/>
            <w:gridSpan w:val="9"/>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7120" w:type="dxa"/>
            <w:vAlign w:val="bottom"/>
            <w:gridSpan w:val="13"/>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80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NOTE REGARDING FORWARD-LOOKING STATEMENTS</w:t>
              </w:r>
            </w:hyperlink>
          </w:p>
        </w:tc>
        <w:tc>
          <w:tcPr>
            <w:tcW w:w="2580" w:type="dxa"/>
            <w:vAlign w:val="bottom"/>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380" w:type="dxa"/>
            <w:vAlign w:val="bottom"/>
            <w:gridSpan w:val="1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8">
              <w:r>
                <w:rPr>
                  <w:rFonts w:ascii="Arial" w:cs="Arial" w:eastAsia="Arial" w:hAnsi="Arial"/>
                  <w:sz w:val="18"/>
                  <w:szCs w:val="18"/>
                  <w:color w:val="0000EE"/>
                  <w:w w:val="95"/>
                </w:rPr>
                <w:t>DESCRIPTION OF CAPITAL STOCK WE MAY OFFER</w:t>
              </w:r>
            </w:hyperlink>
          </w:p>
        </w:tc>
        <w:tc>
          <w:tcPr>
            <w:tcW w:w="4120" w:type="dxa"/>
            <w:vAlign w:val="bottom"/>
            <w:gridSpan w:val="4"/>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42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1">
              <w:r>
                <w:rPr>
                  <w:rFonts w:ascii="Arial" w:cs="Arial" w:eastAsia="Arial" w:hAnsi="Arial"/>
                  <w:sz w:val="18"/>
                  <w:szCs w:val="18"/>
                  <w:color w:val="0000EE"/>
                  <w:w w:val="95"/>
                </w:rPr>
                <w:t>DESCRIPTION OF DEBT SECURITIES WE MAY OFFER</w:t>
              </w:r>
            </w:hyperlink>
          </w:p>
        </w:tc>
        <w:tc>
          <w:tcPr>
            <w:tcW w:w="3960" w:type="dxa"/>
            <w:vAlign w:val="bottom"/>
            <w:gridSpan w:val="3"/>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8380" w:type="dxa"/>
            <w:vAlign w:val="bottom"/>
            <w:gridSpan w:val="1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DESCRIPTION OF WARRANTS WE MAY OFFER</w:t>
              </w:r>
            </w:hyperlink>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8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DESCRIPTION OF UNITS WE MAY OFFER</w:t>
              </w:r>
            </w:hyperlink>
          </w:p>
        </w:tc>
        <w:tc>
          <w:tcPr>
            <w:tcW w:w="4520" w:type="dxa"/>
            <w:vAlign w:val="bottom"/>
            <w:gridSpan w:val="5"/>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PLAN OF DISTRIBUTION</w:t>
              </w:r>
            </w:hyperlink>
          </w:p>
        </w:tc>
        <w:tc>
          <w:tcPr>
            <w:tcW w:w="1340" w:type="dxa"/>
            <w:vAlign w:val="bottom"/>
            <w:tcBorders>
              <w:top w:val="single" w:sz="8" w:color="0000EE"/>
            </w:tcBorders>
            <w:gridSpan w:val="3"/>
          </w:tcPr>
          <w:p>
            <w:pPr>
              <w:spacing w:after="0"/>
              <w:rPr>
                <w:sz w:val="17"/>
                <w:szCs w:val="17"/>
                <w:color w:val="auto"/>
              </w:rPr>
            </w:pPr>
          </w:p>
        </w:tc>
        <w:tc>
          <w:tcPr>
            <w:tcW w:w="4980" w:type="dxa"/>
            <w:vAlign w:val="bottom"/>
            <w:gridSpan w:val="7"/>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838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6920" w:type="dxa"/>
            <w:vAlign w:val="bottom"/>
            <w:gridSpan w:val="12"/>
          </w:tcPr>
          <w:p>
            <w:pPr>
              <w:spacing w:after="0"/>
              <w:rPr>
                <w:sz w:val="17"/>
                <w:szCs w:val="17"/>
                <w:color w:val="auto"/>
              </w:rPr>
            </w:pPr>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838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3820" w:type="dxa"/>
            <w:vAlign w:val="bottom"/>
            <w:gridSpan w:val="9"/>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196"/>
        </w:trPr>
        <w:tc>
          <w:tcPr>
            <w:tcW w:w="8380" w:type="dxa"/>
            <w:vAlign w:val="bottom"/>
            <w:gridSpan w:val="1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INCORPORATION OF CERTAIN DOCUMENTS BY REFERENCE</w:t>
              </w:r>
            </w:hyperlink>
          </w:p>
        </w:tc>
        <w:tc>
          <w:tcPr>
            <w:tcW w:w="3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229"/>
        </w:trPr>
        <w:tc>
          <w:tcPr>
            <w:tcW w:w="78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116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prospectus is part of an automatic shelf registration statement on Form S-3 that we filed with the Securities and Exchange Commission, or the SEC, as a “well-known seasoned issuer” as defined in Rule 405 under the Securities Act of 1933, as amended, or the Securities Act, utilizing a “shelf” registration process. Under this shelf registration process, we may, from time to time, offer and sell common stock, preferred stock, debt securities, warrants for debt and equity securities and units consisting of the foregoing in one or more transactions.</w:t>
      </w:r>
    </w:p>
    <w:p>
      <w:pPr>
        <w:spacing w:after="0" w:line="7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This prospectus only provides you with a general description of the securities we may sell in these transactions. Each time we sell any securities under this prospectus, we will provide a prospectus supplement that will contain specific information about the terms of that offering. The prospectus supplement also may add, update or change information contained in this prospectus. We may also authorize one or more free writing prospectuses to be provided to you that may contain material information relating to these offerings. This prospectus does not contain all of the information included in the registration statement we filed with the SEC. For further information about us or the securities offered hereby, you should carefully read this prospectus, any applicable prospectus supplement, any related free writing prospectuses, the information and documents incorporated herein by reference and the additional information under the heading “Where You Can Find Additional Information” before making an investment decision.</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You should rely only on the information contained or incorporated by reference in this prospectus, any applicable prospectus supplement and any related free writing prospectuses that we may authorize to be provided to you. We have not authorized any other person to provide you with different information. If anyone provides you with different or inconsistent information, you should not rely on it. This prospectus and the accompanying supplement to this prospectus are not an offer to sell these securities and it is not soliciting an offer to buy these securities in any jurisdiction where the offer or sale is not permitted. You should assume that the information appearing in this prospectus, any applicable prospectus supplement or any related free writing prospectuses, as well as information we have previously filed with the SEC and incorporated by reference, is accurate only as of the date on the cover of those documents. If any statement in one of these documents is inconsistent with a statement in another document having a later date-for example, a document incorporated by reference in this prospectus-the statement in the document having the later date modifies or supersedes the earlier statement as our business, financial condition, results of operations and prospects may have changed since the earlier dates.</w:t>
      </w:r>
    </w:p>
    <w:p>
      <w:pPr>
        <w:spacing w:after="0" w:line="7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This prospectus may not be used to consummate sales of any of these securities unless it is accompanied by a prospectus supplement. To the extent there are inconsistencies between any prospectus supplement, this prospectus and/or any documents incorporated by reference, the document with the most recent date will control.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the terms the “Company,” “Arcturus Therapeutics,” “we,” “us” and “our” refer to Arcturus Therapeutics Holdings Inc., a Delaware corporation, and its predecessors and consolidated subsidiaries.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of Arcturus Therapeutics Holdings Inc.</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Arcturus Therapeutics is an RNA medicines company focused on significant opportunities in rare diseases with a current focus on liver and respiratory diseases. In addition to our internal mRNA platform, our proprietary lipid nanoparticle deliver system, LUNAR®, enables multiple nucleic acid medicines. We have deep expertise in the discovery and development of RNA medicines, including key experience in the production of RNA drug substance and nanoparticle-formulated drug product.</w:t>
      </w:r>
    </w:p>
    <w:p>
      <w:pPr>
        <w:spacing w:after="0" w:line="79" w:lineRule="exact"/>
        <w:rPr>
          <w:sz w:val="20"/>
          <w:szCs w:val="20"/>
          <w:color w:val="auto"/>
        </w:rPr>
      </w:pPr>
    </w:p>
    <w:p>
      <w:pPr>
        <w:ind w:left="880" w:hanging="440"/>
        <w:spacing w:after="0"/>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 pipeline of seven drugs in late-stage discovery and early-stage development: two wholly-owned and five pharma partnered programs.</w:t>
      </w:r>
    </w:p>
    <w:p>
      <w:pPr>
        <w:spacing w:after="0" w:line="140" w:lineRule="exact"/>
        <w:rPr>
          <w:rFonts w:ascii="Arial" w:cs="Arial" w:eastAsia="Arial" w:hAnsi="Arial"/>
          <w:sz w:val="16"/>
          <w:szCs w:val="16"/>
          <w:color w:val="auto"/>
        </w:rPr>
      </w:pPr>
    </w:p>
    <w:p>
      <w:pPr>
        <w:ind w:left="880" w:right="52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developed a novel lipid-mediated delivery technology platform called LUNAR® which draws from a growing library of over 150 proprietary lipids intended to enable safer and more efficient delivery of RNA medicines.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wholly-owned, LUNAR® and nucleic acid technologies are covered by a patent portfolio of 152 patents and patent applications, issued in the United States, China, Europe, Japan and other countries.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principal executive offices are located in San Diego, California. Our key proprietary technology has the potential to address the major hurdles in RNA development, namely the effective and safe delivery of RNA therapeutics to disease-relevant target tissues. We believe the versatility of our platform to target multiple tissues, its compatibility with various nucleic acid therapeutics, and our expertise in developing scalable manufacturing processes puts us in a good position to deliver on the next generation of nucleic medicines.</w:t>
      </w:r>
    </w:p>
    <w:p>
      <w:pPr>
        <w:spacing w:after="0" w:line="79"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We believe that we can use our proprietary technologies to develop RNA medicines in multiple therapeutic approaches: (1) mRNA, DNA, and replicon protein replacement for therapeutics and protein delivery for vaccines; (2) siRNA, microRNA, and antisense oligonucleotides—knockdown of genes overexpressed in disease; and (3) CRISPR, TALEN, zinc finger proteins, megatals and meganucleases—gene editing of errant genes.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was founded in 2013 under the name Alcobra Ltd. On November 15, 2017, Alcobra Ltd. acquired Arcturus Therapeutics, Inc. (“Arcturus Inc.”) pursuant to a merger between the companies. Immediately after giving effect to the merger, on November 15, 2017, Alcobra Ltd. changed its name to Arcturus Therapeutics Ltd. (“Arcturus Ltd.”).</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June 12, 2019, Arcturus Ltd. redomiciled as a Delaware corporation following the completion of the actions contemplated by an Exchange Agreement dated as of February 8, 2019, between Arcturus Ltd. and the Company. Following the redomiciliation, the Company became the successor issuer to Arcturus Ltd. and each of Arcturus Ltd. and Arcturus Inc. became wholly-owned subsidiaries of the Company.</w:t>
      </w:r>
    </w:p>
    <w:p>
      <w:pPr>
        <w:spacing w:after="0" w:line="73"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Our principal executive offices are located at 10628 Science Center Drive, Suite 250, San Diego, California 92121, and our telephone number is (858) 900-2660. Our website is located at https://arcturusrx.com. We do not incorporate by reference into this prospectus the information on, or accessible through, our website, and you should not consider it as part of this prospectus. Our common stock trades on The Nasdaq Global Market under the symbol “ARCT”.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Investment in our securities involves risks. Prior to making a decision about investing in our securities, you should consider carefully all of the information included in and incorporated by reference or deemed to be incorporated by reference in this prospectus or the applicable prospectus supplement, including the risk factors incorporated by reference herein from our Annual Report on Form 10-K for the year ended December 31, 2018, filed with the SEC on March 18, 2019, as updated by annual, quarterly and other reports and documents we file with the SEC after the date of this prospectus and that are incorporated by reference herein or in the applicable prospectus supplement or any free writing prospectus. Each of these risk factors could have a material adverse effect on our business, results of operations, financial position or cash flows, which may result in the loss of all or part of your investment. The risks and uncertainties we have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our common stock or other securities could decline. To the extent a particular offering implicates additional known material risks, we will include a discussion of those risks in the applicable prospectus supplement.</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prospectus and the documents incorporated by reference into this prospectus contain certain forward-looking statements within the meaning of Section 27A of the Securities Act, and Section 21E of the Securities Exchange Act of 1934, as amended, or the Exchange Act, in reliance upon the safe harbor provisions of the Private Securities Litigation Reform Act of 1995. Forward-looking statements include, without limitation, statements regarding the success, safety and efficacy of our drug products, product approvals, product sales, revenues, development timelines, product acquisitions, liquidity and capital resources and trends, and other statements containing forward-looking words, such as, “believes,” “may,” “could,” “would,” “will,” “expects,” “intends,” “estimates,” “anticipates,” “plans,” “seeks,” or “continues” or the negative thereof or variation thereon or similar terminology (although not all forward-looking statements contain these words). Such forward-looking statements are based on the beliefs of our management as well as assumptions made by and information currently available to our management. Readers should not put undue reliance on these forward-looking statements because they involve known and unknown risks, uncertainties and other factors, some of which are beyond our control. These risks, uncertainties and other factors may cause our actual results, performance or achievements to be materially different from the anticipated future results, performance or achievements expressed or implied by the forward-looking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these differences include the following:</w:t>
      </w:r>
    </w:p>
    <w:p>
      <w:pPr>
        <w:spacing w:after="0" w:line="117" w:lineRule="exact"/>
        <w:rPr>
          <w:sz w:val="20"/>
          <w:szCs w:val="20"/>
          <w:color w:val="auto"/>
        </w:rPr>
      </w:pPr>
    </w:p>
    <w:p>
      <w:pPr>
        <w:ind w:left="880" w:right="46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cost, timing, progress and results of, and our expected ability to undertake certain activities and accomplish certain goals with respect to, our research and development activities, preclinical studies and clinical trials;</w:t>
      </w:r>
    </w:p>
    <w:p>
      <w:pPr>
        <w:spacing w:after="0" w:line="62" w:lineRule="exact"/>
        <w:rPr>
          <w:rFonts w:ascii="Arial" w:cs="Arial" w:eastAsia="Arial" w:hAnsi="Arial"/>
          <w:sz w:val="18"/>
          <w:szCs w:val="18"/>
          <w:color w:val="auto"/>
        </w:rPr>
      </w:pPr>
    </w:p>
    <w:p>
      <w:pPr>
        <w:ind w:left="880" w:right="16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 approved product candidate;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deploy funding for our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17" w:lineRule="exact"/>
        <w:rPr>
          <w:rFonts w:ascii="Arial" w:cs="Arial" w:eastAsia="Arial" w:hAnsi="Arial"/>
          <w:sz w:val="18"/>
          <w:szCs w:val="18"/>
          <w:color w:val="auto"/>
        </w:rPr>
      </w:pPr>
    </w:p>
    <w:p>
      <w:pPr>
        <w:ind w:left="880" w:right="20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strategic alliance partners’ election to pursue development and commercialization of any programs or product candidates that are subject to our collaboration and license agreements with such partners;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collaborators with relevant development, regulatory and commercialization expertise;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activities to be undertaken by our strategic alliance partners, collaborators and other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avoid, settle or be victorious at costly litigation with shareholders, former executives or others;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7" w:name="page8"/>
    <w:bookmarkEnd w:id="7"/>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and our expectations regarding future therapeutic and commercial potential with respect to, our product candidates;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sales and marketing capabilities, whether alone or with potential future collaborators;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experienced and seasoned scientific and management professionals to lead the Company;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future revenues, capital requirements and need for additional financing</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urge you to consider these factors carefully in evaluating the forward-looking statements contained in this prospectus and any prospectus supplement. All subsequent written or oral forward-looking statements attributable to our company or persons acting on our behalf are expressly qualified in their entirety by these cautionary statements. The forward-looking statements included in this prospectus are made only as of the date of this prospectus. We undertake no obligation to update publicly any forward-looking statements, whether as a result of new information, future events or otherwise, except to the extent that we are required to do so by law.</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Unless we indicate otherwise in the applicable prospectus supplement, we anticipate that the net proceeds from the sale of the securities offered from time to time hereby will be used for general corporate purposes, including, without limitation, research and development and clinical development costs to support the advancement of our in-development drug candidates, activities in connection with the launch of our in-development drug candidates, including hiring and building inventory supply, making acquisitions of assets, businesses, companies or securities, capital expenditures and for working capital. When a particular series of securities is offered, the related prospectus supplement will set forth our intended use of the net proceeds we receive from the sale of the securities. Pending the application of the net proceeds, we may invest the proceeds in short-term, interest-bearing instruments or other investment-grade securities.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 WE MAY OFFER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authorized capital stock consists of 30,000,000 shares of common stock, par value $0.001 per share, and 10,000,000 shares of preferred stock, par value $0.001 per share.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description of our common stock and preferred stock, together with the additional information included in any applicable prospectus supplements or related free writing prospectuses, summarizes the material terms and provisions of these types of securities, but it is not complete. For the complete terms of our common stock and preferred stock, please refer to our certificate of incorporation and our bylaws that are incorporated by reference into the registration statement which includes this prospectus and, with respect to preferred stock, any certificate of designation that we may file with the SEC for a series of preferred stock we may designate, if any.</w:t>
      </w:r>
    </w:p>
    <w:p>
      <w:pPr>
        <w:spacing w:after="0" w:line="8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will describe in a prospectus supplement or related free writing prospectuses, the specific terms of any common stock or preferred stock we may offer pursuant to this prospectus. If indicated in a prospectus supplement, the terms of such common stock or preferred stock may differ from the terms described below.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June 21, 2019, there were 13,118,844 shares of common stock outstanding. The holders of our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will not be able to elect directors on the basis of their votes alone.</w:t>
      </w:r>
    </w:p>
    <w:p>
      <w:pPr>
        <w:spacing w:after="0" w:line="3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preferences that may be applicable to any then outstanding shares of preferred stock, holders of common stock are entitled to receive ratably such dividends as may be declared by the board of directors out of funds legally available therefor. In the event of a liquidation, dissolution or winding up of us, holders of the common stock are entitled to share ratably in all assets remaining after payment of liabilities and the liquidation preferences of any then outstanding shares of preferred stock. Holders of common stock have no preemptive rights and no right to convert their common stock into any other securities. There are no redemption or sinking fund provisions applicable to our common stock. All outstanding shares of common stock are, and all shares of common stock to be issued under this prospectus will be, fully paid and non-assessable. The rights, preferences and privileges of holders of our common stock are subject to, and may be adversely affected by, the rights of the holders of shares of any of our outstanding preferred stock.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symbol “ARCT” on the NASDAQ.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Continental Stock Transfer &amp;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not declared any cash dividends on our common stock since inception and we do not anticipate paying any cash dividends on our common stock in the foreseeable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are authorized to issue a total of 10,000,000 shares of preferred stock. As of June 21, 2019, there were no shares of preferred stock issued and outstanding.</w:t>
      </w:r>
    </w:p>
    <w:p>
      <w:pPr>
        <w:spacing w:after="0" w:line="14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Preferred stock may be issued from time to time, in one or more series, as authorized by the board of directors, without stockholder approval. The prospectus supplement relating to the preferred shares offered thereby will include specific terms of any preferred shares offered, including, if applicable:</w:t>
      </w:r>
    </w:p>
    <w:p>
      <w:pPr>
        <w:spacing w:after="0" w:line="16"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shares of preferred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number of shares of preferred stock offered, the liquidation preference per share and the offering price of the shares of preferred stock;</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thereof applicable to the shares of preferred stock;</w:t>
      </w:r>
    </w:p>
    <w:p>
      <w:pPr>
        <w:spacing w:after="0" w:line="117" w:lineRule="exact"/>
        <w:rPr>
          <w:rFonts w:ascii="Arial" w:cs="Arial" w:eastAsia="Arial" w:hAnsi="Arial"/>
          <w:sz w:val="18"/>
          <w:szCs w:val="18"/>
          <w:color w:val="auto"/>
        </w:rPr>
      </w:pPr>
    </w:p>
    <w:p>
      <w:pPr>
        <w:ind w:left="880" w:right="36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shares of preferred stock are cumulative or not and, if cumulative, the date from which dividends on the shares of preferred stock shall accumulate;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shares of preferred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 for a sinking fund, if any, for the shares of preferred stock;</w:t>
      </w:r>
    </w:p>
    <w:p>
      <w:pPr>
        <w:spacing w:after="0" w:line="117"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provision for redemption or repurchase, if applicable, and any restrictions on our ability to exercise those redemption and repurchase rights of the shares of preferred stock;</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listing of the shares of preferred stock on any securities exchange;</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shares of preferred stock will be convertible into common shares, including the conversion price (or manner of calculation thereof);</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discussion of federal income tax considerations applicable to the shares of preferred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9" w:name="page10"/>
    <w:bookmarkEnd w:id="9"/>
    <w:p>
      <w:pPr>
        <w:ind w:left="880" w:right="4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relative ranking and preferences of the shares of preferred stock as to dividend rights and rights upon liquidation, dissolution or winding up of our affairs;</w:t>
      </w:r>
    </w:p>
    <w:p>
      <w:pPr>
        <w:spacing w:after="0" w:line="62"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limitations on issuance of any series or class of shares of preferred stock ranking senior to or on a parity with such series or class of shares of preferred stock as to dividend rights and rights upon liquidation, dissolution or winding up of our affairs;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the shares of preferred stock;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voting rights of such preferred stock.</w:t>
      </w:r>
    </w:p>
    <w:p>
      <w:pPr>
        <w:spacing w:after="0" w:line="117" w:lineRule="exact"/>
        <w:rPr>
          <w:sz w:val="20"/>
          <w:szCs w:val="20"/>
          <w:color w:val="auto"/>
        </w:rPr>
      </w:pPr>
    </w:p>
    <w:p>
      <w:pPr>
        <w:ind w:right="2060"/>
        <w:spacing w:after="0" w:line="375" w:lineRule="auto"/>
        <w:rPr>
          <w:sz w:val="20"/>
          <w:szCs w:val="20"/>
          <w:color w:val="auto"/>
        </w:rPr>
      </w:pPr>
      <w:r>
        <w:rPr>
          <w:rFonts w:ascii="Arial" w:cs="Arial" w:eastAsia="Arial" w:hAnsi="Arial"/>
          <w:sz w:val="18"/>
          <w:szCs w:val="18"/>
          <w:color w:val="auto"/>
        </w:rPr>
        <w:t xml:space="preserve">The transfer agent and registrar for any series or class of preferred stock will be set forth in the applicable prospectus supplement. </w:t>
      </w:r>
      <w:r>
        <w:rPr>
          <w:rFonts w:ascii="Arial" w:cs="Arial" w:eastAsia="Arial" w:hAnsi="Arial"/>
          <w:sz w:val="18"/>
          <w:szCs w:val="18"/>
          <w:b w:val="1"/>
          <w:bCs w:val="1"/>
          <w:color w:val="auto"/>
        </w:rPr>
        <w:t>Possible Anti-Takeover Effects of Delaware Law and our Charter Documents</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Provisions of the Delaware General Corporation Law, or DGCL, our certificate of incorporation, and our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board of directors is elected annually by all holders of our capital stock. The stockholders may nominate one or more persons for election as directors at an annual meeting of stockholders, but only if written notice of such stockholder’s intent to make such nomination or nominations has been received by the Secretary of the Company not less than forty-five (45) nor more than seventy-five (75) days prior to the first anniversary of the preceding year’s annual meeting of stockholders. Any vacancy on the board of directors resulting from death, resignation, removal or otherwise or newly created directorships may be filled by the vote of the majority of directors then in office, although less than a quorum, or by a sole remaining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w:t>
      </w:r>
    </w:p>
    <w:p>
      <w:pPr>
        <w:spacing w:after="0" w:line="117"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The affirmative vote of a majority of the entire board of directors may amend and repeal the bylaws. The bylaws may be altered, amended or repealed, and new bylaws may be adopted, at any annual meeting of the stockholders (or at any special meeting thereof duly called for that purpose) by a majority of the combined voting power of the then outstanding shares of capital stock of all classes and series of the Company entitled to vote generally in the election of directors, voting as a single class, provided that, in the notice of any such special meeting, notice of such purpose shall be given.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Size of Board and Vacancies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Pursuant to our certificate of incorporation, and our bylaws, the number of directors constituting the board shall be at least one and no more than nine and our board of directors has the exclusive right to fix the size of the board and to fill any vacancies resulting from death, resignation, disqualification or removal as well as any newly created directorships arising from an increase in the size of the board.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bylaws provide that special meetings of stockholders can be called only by the board of directors, the chairman of the board of directors or the chief executive officer. Stockholders are not permitted to call a special meeting and cannot require the board of directors to call a special meeting. There is no right of stockholders to act by written consent without a meeting.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DGCL provides that stockholders are denied the right to cumulate votes in the election of directors unless our certificate of incorporation provides otherwise. Our amended and certificate of incorporation does not provide for cumulative voting.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Liability</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bylaws limit the extent to which our directors are personally liable to us and our stockholders, to the fullest extent permitted by the DGCL. The inclusion of this provision in our bylaws may reduce the likelihood of derivative litigation against directors and may discourage or deter stockholders or management from bringing a lawsuit against directors for breach of their duty of care.</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WE MAY OFFER</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following description, together with the additional information we include in any applicable prospectus supplements or free writing prospectuses, summarizes the material terms and provisions of the debt securities that we may offer under this prospectus. We may issue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 w:name="page12"/>
    <w:bookmarkEnd w:id="11"/>
    <w:p>
      <w:pPr>
        <w:ind w:right="100"/>
        <w:spacing w:after="0" w:line="276" w:lineRule="auto"/>
        <w:rPr>
          <w:sz w:val="20"/>
          <w:szCs w:val="20"/>
          <w:color w:val="auto"/>
        </w:rPr>
      </w:pPr>
      <w:r>
        <w:rPr>
          <w:rFonts w:ascii="Arial" w:cs="Arial" w:eastAsia="Arial" w:hAnsi="Arial"/>
          <w:sz w:val="17"/>
          <w:szCs w:val="17"/>
          <w:color w:val="auto"/>
        </w:rPr>
        <w:t>We will issue any senior debt securities under the senior indenture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Except as we may otherwise indicate, the terms of the senior indenture and the subordinated indenture are identical.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spacing w:after="0" w:line="79" w:lineRule="exact"/>
        <w:rPr>
          <w:sz w:val="20"/>
          <w:szCs w:val="20"/>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title;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we will issue the series of debt securities in global form, and, if so, the terms and who the depositary will be;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U.S. person for tax purposes, and whether we can redeem the debt securities if we have to pay such additional amounts;</w:t>
      </w:r>
    </w:p>
    <w:p>
      <w:pPr>
        <w:spacing w:after="0" w:line="62" w:lineRule="exact"/>
        <w:rPr>
          <w:rFonts w:ascii="Arial" w:cs="Arial" w:eastAsia="Arial" w:hAnsi="Arial"/>
          <w:sz w:val="18"/>
          <w:szCs w:val="18"/>
          <w:color w:val="auto"/>
        </w:rPr>
      </w:pPr>
    </w:p>
    <w:p>
      <w:pPr>
        <w:ind w:left="880" w:right="60" w:hanging="440"/>
        <w:spacing w:after="0" w:line="308" w:lineRule="auto"/>
        <w:tabs>
          <w:tab w:leader="none" w:pos="8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17" w:lineRule="exact"/>
        <w:rPr>
          <w:rFonts w:ascii="Arial" w:cs="Arial" w:eastAsia="Arial" w:hAnsi="Arial"/>
          <w:sz w:val="18"/>
          <w:szCs w:val="18"/>
          <w:color w:val="auto"/>
        </w:rPr>
      </w:pPr>
    </w:p>
    <w:p>
      <w:pPr>
        <w:ind w:left="880" w:right="660" w:hanging="440"/>
        <w:spacing w:after="0" w:line="27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or provisional redemption provisions and the terms of those redemption provisions;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 w:name="page13"/>
    <w:bookmarkEnd w:id="12"/>
    <w:p>
      <w:pPr>
        <w:jc w:val="both"/>
        <w:ind w:left="880" w:right="640" w:hanging="440"/>
        <w:spacing w:after="0" w:line="264"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relating to modification of the terms of the security or the rights of the security holder;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indenture will restrict our ability or the ability of our subsidiaries to:</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 dividends or make distributions in respect of our capital stock or the capital stock of our subsidiaries;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place restrictions on our subsidiaries’ ability to pay dividends, make distributions or transfer assets;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engage in transactions with stockholders or affiliates;</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17" w:lineRule="exact"/>
        <w:rPr>
          <w:rFonts w:ascii="Arial" w:cs="Arial" w:eastAsia="Arial" w:hAnsi="Arial"/>
          <w:sz w:val="18"/>
          <w:szCs w:val="18"/>
          <w:color w:val="auto"/>
        </w:rPr>
      </w:pPr>
    </w:p>
    <w:p>
      <w:pPr>
        <w:ind w:left="1300" w:hanging="428"/>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whether the indenture will require us to maintain any interest coverage, fixed charge, cash flow-based, asset-based or other financial ratios;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applicability of the provisions in the indenture on discharge;</w:t>
      </w:r>
    </w:p>
    <w:p>
      <w:pPr>
        <w:spacing w:after="0" w:line="117"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currency of payment of debt securities if other than U.S. dollars and the manner of determining the equivalent amount in U.S. dollars; and</w:t>
      </w:r>
    </w:p>
    <w:p>
      <w:pPr>
        <w:spacing w:after="0" w:line="140" w:lineRule="exact"/>
        <w:rPr>
          <w:rFonts w:ascii="Arial" w:cs="Arial" w:eastAsia="Arial" w:hAnsi="Arial"/>
          <w:sz w:val="16"/>
          <w:szCs w:val="16"/>
          <w:color w:val="auto"/>
        </w:rPr>
      </w:pPr>
    </w:p>
    <w:p>
      <w:pPr>
        <w:ind w:left="880" w:hanging="440"/>
        <w:spacing w:after="0" w:line="342" w:lineRule="auto"/>
        <w:tabs>
          <w:tab w:leader="none" w:pos="8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U.S. federal income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indentures will not contain any covenant that restricts our ability to merge or consolidate, or sell, convey, transfer or 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Unless we provide otherwise in the prospectus supplement applicable to a particular series of debt securities, the following are events of default under the indentures with respect to any series of debt securities that we may issue:</w:t>
      </w:r>
    </w:p>
    <w:p>
      <w:pPr>
        <w:spacing w:after="0" w:line="62" w:lineRule="exact"/>
        <w:rPr>
          <w:sz w:val="20"/>
          <w:szCs w:val="20"/>
          <w:color w:val="auto"/>
        </w:rPr>
      </w:pPr>
    </w:p>
    <w:p>
      <w:pPr>
        <w:ind w:left="880" w:hanging="440"/>
        <w:spacing w:after="0"/>
        <w:tabs>
          <w:tab w:leader="none" w:pos="88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pay interest when due and payable and our failure continues for 90 days and the time for payment has not been extended;</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pay the principal, premium or sinking fund payment, if any, when due and payable and the time for payment has not been extended;</w:t>
      </w:r>
    </w:p>
    <w:p>
      <w:pPr>
        <w:spacing w:after="0" w:line="140" w:lineRule="exact"/>
        <w:rPr>
          <w:rFonts w:ascii="Arial" w:cs="Arial" w:eastAsia="Arial" w:hAnsi="Arial"/>
          <w:sz w:val="16"/>
          <w:szCs w:val="16"/>
          <w:color w:val="auto"/>
        </w:rPr>
      </w:pPr>
    </w:p>
    <w:p>
      <w:pPr>
        <w:jc w:val="both"/>
        <w:ind w:left="880" w:right="20" w:hanging="440"/>
        <w:spacing w:after="0" w:line="312"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spacing w:after="0" w:line="38" w:lineRule="exact"/>
        <w:rPr>
          <w:rFonts w:ascii="Arial" w:cs="Arial" w:eastAsia="Arial" w:hAnsi="Arial"/>
          <w:sz w:val="16"/>
          <w:szCs w:val="16"/>
          <w:color w:val="auto"/>
        </w:rPr>
      </w:pPr>
    </w:p>
    <w:p>
      <w:pPr>
        <w:ind w:left="880" w:hanging="440"/>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w:t>
      </w:r>
    </w:p>
    <w:p>
      <w:pPr>
        <w:spacing w:after="0" w:line="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50"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direction so given by the holders is not in conflict with any law or the applicable indenture; and</w:t>
      </w:r>
    </w:p>
    <w:p>
      <w:pPr>
        <w:spacing w:after="0" w:line="117" w:lineRule="exact"/>
        <w:rPr>
          <w:rFonts w:ascii="Arial" w:cs="Arial" w:eastAsia="Arial" w:hAnsi="Arial"/>
          <w:sz w:val="18"/>
          <w:szCs w:val="18"/>
          <w:color w:val="auto"/>
        </w:rPr>
      </w:pPr>
    </w:p>
    <w:p>
      <w:pPr>
        <w:ind w:left="880" w:right="480" w:hanging="440"/>
        <w:spacing w:after="0" w:line="277"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4" w:name="page15"/>
    <w:bookmarkEnd w:id="14"/>
    <w:p>
      <w:pPr>
        <w:ind w:right="100"/>
        <w:spacing w:after="0" w:line="257" w:lineRule="auto"/>
        <w:rPr>
          <w:sz w:val="20"/>
          <w:szCs w:val="20"/>
          <w:color w:val="auto"/>
        </w:rPr>
      </w:pPr>
      <w:r>
        <w:rPr>
          <w:rFonts w:ascii="Arial" w:cs="Arial" w:eastAsia="Arial" w:hAnsi="Arial"/>
          <w:sz w:val="18"/>
          <w:szCs w:val="18"/>
          <w:color w:val="auto"/>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spacing w:after="0" w:line="8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 holder of the debt securities of any series will have the right to institute a proceeding under the indentures or to appoint a receiver or trustee, or to seek other remedies only if:</w:t>
      </w:r>
    </w:p>
    <w:p>
      <w:pPr>
        <w:spacing w:after="0" w:line="62" w:lineRule="exact"/>
        <w:rPr>
          <w:sz w:val="20"/>
          <w:szCs w:val="20"/>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17" w:lineRule="exact"/>
        <w:rPr>
          <w:rFonts w:ascii="Arial" w:cs="Arial" w:eastAsia="Arial" w:hAnsi="Arial"/>
          <w:sz w:val="18"/>
          <w:szCs w:val="18"/>
          <w:color w:val="auto"/>
        </w:rPr>
      </w:pPr>
    </w:p>
    <w:p>
      <w:pPr>
        <w:ind w:left="880" w:right="300" w:hanging="440"/>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spacing w:after="0" w:line="73"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an indenture, the trustee shall be protected in withholding such notice if and so long as the board of directors, the executive committee or a trust committee of directors, or responsible officers of the trustee, in good faith determine that withholding notice is in the best interests of holders of the relevant series of debt securities.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2"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“-Consolidation, Merger or Sale”;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any indenture under the Trust Indenture Act;</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 as set forth in such indenture;</w:t>
      </w:r>
    </w:p>
    <w:p>
      <w:pPr>
        <w:spacing w:after="0" w:line="62" w:lineRule="exact"/>
        <w:rPr>
          <w:rFonts w:ascii="Arial" w:cs="Arial" w:eastAsia="Arial" w:hAnsi="Arial"/>
          <w:sz w:val="18"/>
          <w:szCs w:val="18"/>
          <w:color w:val="auto"/>
        </w:rPr>
      </w:pPr>
    </w:p>
    <w:p>
      <w:pPr>
        <w:jc w:val="both"/>
        <w:ind w:left="880" w:right="120" w:hanging="440"/>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117"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 and to make all appropriate changes for such purpose;</w:t>
      </w:r>
    </w:p>
    <w:p>
      <w:pPr>
        <w:spacing w:after="0" w:line="62" w:lineRule="exact"/>
        <w:rPr>
          <w:rFonts w:ascii="Arial" w:cs="Arial" w:eastAsia="Arial" w:hAnsi="Arial"/>
          <w:sz w:val="18"/>
          <w:szCs w:val="18"/>
          <w:color w:val="auto"/>
        </w:rPr>
      </w:pPr>
    </w:p>
    <w:p>
      <w:pPr>
        <w:ind w:left="880" w:right="160" w:hanging="440"/>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left="880" w:right="40" w:hanging="440"/>
        <w:spacing w:after="0" w:line="276"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securities; provided further, that in connection with any such amendment we will provide the trustee with an officers’ certificate certifying that such amendment will not adversely affect the rights or interests of the holders of such debt securities.</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with the consent of each holder of any outstanding debt securities affected:</w:t>
      </w:r>
    </w:p>
    <w:p>
      <w:pPr>
        <w:spacing w:after="0" w:line="79"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117"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reducing the percentage of debt securities, the holders of which are required to consent to any amendment, supplement, modification or waiver;</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any of our obligations to pay additional amounts;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reducing the amount of principal of an original issue discount security or any other note payable upon acceleration of the maturity thereof;</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the currency in which any note or any premium or interest is payable;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impairing the right to enforce any payment on or with respect to any note;</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adversely changing the right to convert or exchange, including decreasing the conversion rate or increasing the conversion price of, such note, if applicable;</w:t>
      </w:r>
    </w:p>
    <w:p>
      <w:pPr>
        <w:spacing w:after="0" w:line="62"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the subordinated indenture, modifying the subordination provisions in a manner adverse to the holders of the subordinated debt securities;</w:t>
      </w:r>
    </w:p>
    <w:p>
      <w:pPr>
        <w:spacing w:after="0" w:line="62"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debt securities are secured, changing the terms and conditions pursuant to which the debt securities are secured in a manner adverse to the holders of the secured debt securities;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reducing the requirements contained in the applicable indenture for quorum or voting;</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any of our obligations to maintain an office or agency in the places and for the purposes required by the indentures;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modifying any of the above provisions set forth in this paragraph.</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12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Each indenture provides that, subject to the terms of the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spacing w:after="0" w:line="73"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recover excess money held by the trustee;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sectPr>
      </w:pPr>
    </w:p>
    <w:bookmarkStart w:id="16" w:name="page17"/>
    <w:bookmarkEnd w:id="16"/>
    <w:p>
      <w:pPr>
        <w:ind w:right="240"/>
        <w:spacing w:after="0" w:line="277" w:lineRule="auto"/>
        <w:rPr>
          <w:sz w:val="20"/>
          <w:szCs w:val="20"/>
          <w:color w:val="auto"/>
        </w:rPr>
      </w:pPr>
      <w:r>
        <w:rPr>
          <w:rFonts w:ascii="Arial" w:cs="Arial" w:eastAsia="Arial" w:hAnsi="Arial"/>
          <w:sz w:val="18"/>
          <w:szCs w:val="18"/>
          <w:color w:val="auto"/>
        </w:rPr>
        <w:t>In order to exercise our rights to be discharged, we must deposit with the trustee money or government obligations sufficient to pay all the principal of, and any premium and interest on, the debt securities of the series on the dates payments are due.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7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117" w:lineRule="exact"/>
        <w:rPr>
          <w:sz w:val="20"/>
          <w:szCs w:val="20"/>
          <w:color w:val="auto"/>
        </w:rPr>
      </w:pPr>
    </w:p>
    <w:p>
      <w:pPr>
        <w:ind w:left="880" w:right="120" w:hanging="440"/>
        <w:spacing w:after="0" w:line="26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73" w:lineRule="exact"/>
        <w:rPr>
          <w:rFonts w:ascii="Arial" w:cs="Arial" w:eastAsia="Arial" w:hAnsi="Arial"/>
          <w:sz w:val="18"/>
          <w:szCs w:val="18"/>
          <w:color w:val="auto"/>
        </w:rPr>
      </w:pPr>
    </w:p>
    <w:p>
      <w:pPr>
        <w:ind w:left="880" w:right="12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Trustee</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 Debt Securities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subordinated debt securities will be unsecured and will be subordinate and junior in priority of payment to certain of our other indebtedness to the extent described in a prospectus supplement. The subordinated indenture does not limit the amount of subordinated debt securities that we may issue. It also does not limit us from issuing any other secured or unsecured debt.</w:t>
      </w:r>
    </w:p>
    <w:p>
      <w:pPr>
        <w:spacing w:after="0" w:line="7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senior debt securities will be unsecured and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 WE MAY OFFER</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of June 21, 2019, we had no warrants to purchase shares of our common stock outstanding. We typically issue warrants to purchase shares of our common stock to investors as part of a financing transaction, or in connection with services rendered by placement agents and outside consultants.</w:t>
      </w:r>
    </w:p>
    <w:p>
      <w:pPr>
        <w:spacing w:after="0" w:line="3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We may issue warrants to purchase debt securities, preferred stock, common stock or any combination of the foregoing. We may issue warrants independently or together with any other securities we offer under a prospectus supplement. The warrants may be attached to or separate from the securities. We will issue each series of warrants under a separate warrant agreement to be entered into between a warrant agent and us. The warrant agent will act solely as our agent in connection with the warrants and will not have any obligations or relationship of agency or trust for or with holders or beneficial owners of warrants. The following outlines some of the general terms and provisions of the warrants that we may issue from time to time. When we issue warrants, we will provide the specific terms of the warrants and the applicable warrant agreement in a prospectus supplement and any related free writing prospectuses and such terms may differ from those described below. To the extent the information contained in the prospectus supplement differs from this summary description, you should rely on the information in the prospectus supplement. The following description, and any description of the warrants included in a prospectus supplement, may not be complete and is subject to and qualified in its entirety by reference to the terms and provisions of the applicable warrant agreement. Equity Warrants</w:t>
      </w:r>
    </w:p>
    <w:p>
      <w:pPr>
        <w:spacing w:after="0" w:line="5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will describe in the applicable prospectus supplement and any related free writing prospectuses the terms of the preferred stock warrants or common stock warrants being offered, the warrant agreement relating to the preferred stock warrants or common stock warrants and the warrant certificates representing the preferred stock warrants or common stock warrants, including, as applicable:</w:t>
      </w:r>
    </w:p>
    <w:p>
      <w:pPr>
        <w:spacing w:after="0" w:line="73"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securities for which the warrants are exercisable;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applicable, the number of warrants issued with each share of preferred stock or share of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preferred stock or common stock will be separately transferable;</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8" w:name="page19"/>
    <w:bookmarkEnd w:id="18"/>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maximum or minimum number of warrants which may be exercised at any time;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exercise of the warrants;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Unless otherwise provided in the applicable warrant agreement and corresponding prospectus supplement or any related free writing prospectuses, holders of equity warrants will not be entitled, by virtue of being such holders, to vote, consent, receive dividends, receive notice as stockholders with respect to any meeting of stockholders for the election of our directors or any other matter, or to exercise any rights whatsoever as stockholders.</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Except as provided in the applicable warrant agreement and corresponding prospectus supplement or any related free writing prospectuses, the exercise price payable and the number of shares of common stock or preferred stock purchasable upon the exercise of each warrant will be subject to adjustment in certain events, including the issuance of a stock dividend to holders of common stock or preferred stock or a stock split, reverse stock split, combination, subdivision or reclassification of common stock or preferred stock. In lieu of adjusting the number of shares of common stock or preferred stock purchasable upon exercise of each warrant, we may elect to adjust the number of warrants. Unless otherwise provided in the applicable warrant agreement and corresponding prospectus supplement or any related free writing prospectuses, no adjustments in the number of shares purchasable upon exercise of the warrants will be required until all cumulative adjustments require an adjustment of at least 1% thereof. No fractional shares will be issued upon exercise of warrants, but we will pay the cash value of any fractional shares otherwise issuable. Notwithstanding the foregoing, except as otherwise provided in the applicable warrant agreement and corresponding prospectus supplement or any related free writing prospectuses, in case of any consolidation, merger, or sale or conveyance of our property as an entirety or substantially as an entirety, the holder of each outstanding warrant will have the right to the kind and amount of shares of stock and other securities and property, including cash, receivable by a holder of the number of shares of common stock or preferred stock into which each warrant was exercisable immediately prior to the particular triggering event.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will describe in the applicable prospectus supplement and any related free writing prospectuses the terms of the debt warrants being offered, the warrant agreement relating to the debt warrants and the debt warrant certificates representing the debt warrants, including, as applicable:</w:t>
      </w:r>
    </w:p>
    <w:p>
      <w:pPr>
        <w:spacing w:after="0" w:line="38" w:lineRule="exact"/>
        <w:rPr>
          <w:sz w:val="20"/>
          <w:szCs w:val="20"/>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or prices at which the debt warrants will be issued;</w:t>
      </w:r>
    </w:p>
    <w:p>
      <w:pPr>
        <w:spacing w:after="0" w:line="117"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aggregate principal amount and terms of the debt securities purchasable upon exercise of the debt warrants, and the procedures and conditions relating to the exercise of the debt warrants;</w:t>
      </w:r>
    </w:p>
    <w:p>
      <w:pPr>
        <w:spacing w:after="0" w:line="62"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and terms of any related debt securities with which the debt warrants are issued, and the number of the debt warrants issued with each security;</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if any, on and after which the debt warrants and the related debt securities will be separately transferable;</w:t>
      </w:r>
    </w:p>
    <w:p>
      <w:pPr>
        <w:spacing w:after="0" w:line="117"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principal amount of debt securities purchasable upon exercise of each debt warrant, and the price at which the principal amount of the debt securities may be purchased upon exercise;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the debt warrants will commence, and the date on which the right will expire;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maximum or minimum number of the debt warrants that may be exercised at any time;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9" w:name="page20"/>
    <w:bookmarkEnd w:id="19"/>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or adjustments in the exercise price of the debt warrants;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of the material U.S. federal income tax considerations applicable to the exercise of the debt warrants;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terms of the debt warrants and terms, procedures and limitations relating to the exercise of the debt warrants.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may be permitted under the warrant agreement, holders may exchange debt warrant certificates for new debt warrant certificates of different denominations, and may exercise debt warrants at the corporate trust office of the warrant agent or any other office indicated in the applicable prospectus supplement and any related free writing prospectuses. Prior to the exercise of their debt warrants, holders of debt warrants will not have any of the rights of holders of the securities purchasable upon the exercise and will not be entitled to payments of principal, premium or interest on the securities purchasable upon the exercise of debt warrants.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Each warrant will entitle the holder of the warrant to purchase for cash at the exercise price provided in the applicable warrant agreement and corresponding prospectus supplement or any related free writing prospectuses the principal amount of debt securities or shares of preferred stock or shares of common stock being offered. Holders may exercise warrants at any time up to the close of business on the expiration date provided in the applicable warrant agreement and corresponding prospectus supplement or any related free writing prospectuses. After the close of business on the expiration date, unexercised warrants are void.</w:t>
      </w:r>
    </w:p>
    <w:p>
      <w:pPr>
        <w:spacing w:after="0" w:line="8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Holders may exercise warrants as described in the applicable warrant agreement and corresponding prospectus supplement or any free writing prospectuses relating to the warrants being offered. Upon receipt of payment and the warrant certificate properly completed and duly executed at the corporate trust office of the warrant agent or any other office indicated in the applicable warrant agreement and corresponding prospectus supplement or any related free writing prospectuses, we will, as soon as practicable, forward the debt securities, shares of preferred stock or shares of common stock purchasable upon the exercise of the warrant. If less than all of the warrants represented by the warrant certificate are exercised, we will issue a new warrant certificate for the remaining warrants.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 WE MAY OFFER</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following description, together with the additional information we may include in any applicable prospectus supplements and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may issue units comprised of one or more shares of common stock, shares of preferred stock, debt securities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We will describe in the applicable prospectus supplement the terms of the series of units, including:</w:t>
      </w:r>
    </w:p>
    <w:p>
      <w:pPr>
        <w:spacing w:after="0" w:line="117" w:lineRule="exact"/>
        <w:rPr>
          <w:sz w:val="20"/>
          <w:szCs w:val="20"/>
          <w:color w:val="auto"/>
        </w:rPr>
      </w:pPr>
    </w:p>
    <w:p>
      <w:pPr>
        <w:ind w:left="880" w:right="6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provisions described in this section, as well as those described under “Description of Capital Stock We May Offer,” “Description of Debt Securities We May Offer” and “Description of Warrants We May Offer” will apply to each unit and to any common stock, preferred stock, debt security or warrant included in each unit,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may issue units in such amounts and in numerous distinct series as we determine.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8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the unit agents and any of their agents may treat the registered holder of any unit certificate as an absolute owner of the units evidenced by that certificate for any purpose and as the person entitled to exercise the rights attaching to the units so registered, despite any notice to the contrary.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may sell the offered securities from time to time.</w:t>
      </w:r>
    </w:p>
    <w:p>
      <w:pPr>
        <w:spacing w:after="0" w:line="117"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broker-dealers (acting as agent or principal);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 through a specific bidding or auction process or otherwise;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applicable prospectus supplement (and any related free writing prospectus that we may authorize to be provided to you) will describe the terms of the offering of the securities, including:</w:t>
      </w:r>
    </w:p>
    <w:p>
      <w:pPr>
        <w:spacing w:after="0" w:line="62" w:lineRule="exact"/>
        <w:rPr>
          <w:sz w:val="20"/>
          <w:szCs w:val="20"/>
          <w:color w:val="auto"/>
        </w:rPr>
      </w:pPr>
    </w:p>
    <w:p>
      <w:pPr>
        <w:ind w:left="880" w:right="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or names of any underwriters, if any, and if required, any dealers or agents and the amount of shares underwritten or purchased by each of them;</w:t>
      </w:r>
    </w:p>
    <w:p>
      <w:pPr>
        <w:spacing w:after="0" w:line="62"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price or other consideration to be paid in connection with the sale of the securities being offered and the proceeds we will receive from the sale;</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may distribute the securities from time to time in one or more transactions at:</w:t>
      </w:r>
    </w:p>
    <w:p>
      <w:pPr>
        <w:spacing w:after="0" w:line="117"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fixed price or prices, which may be changed from time to time;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prices related to such prevailing market prices;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Only underwriters named in the prospectus supplement are underwriters of the securities offered by the prospectus supplement.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we will execute an underwriting agreement with the underwriter at the time of sale. Any underwriters used in the sale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Subject to certain conditions, the underwriters will be obligated to purchase all of the securities offered by the prospectus supplement. We may change from time to time the public offering price and any discounts or concessions allowed or reallowed or paid to dealers.</w:t>
      </w:r>
    </w:p>
    <w:p>
      <w:pPr>
        <w:spacing w:after="0" w:line="8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may directly solicit offers to purchase the securities. We may also designate agents to solicit offers to purchase the securities from time to time. We will name in a prospectus supplement any agent involved in the offer or sale of our securities. Unless the prospectus supplement states otherwise, our agent will act on a best-efforts basis for the period of its appointment.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2" w:name="page23"/>
    <w:bookmarkEnd w:id="22"/>
    <w:p>
      <w:pPr>
        <w:ind w:right="260"/>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addition, we may enter into derivative transactions with third parties (including the writing of options), or sell securities not covered by this prospectus to third parties in privately negotiated transactions. If the applicable prospectus supplement indicates, in connection with such a transaction, the third parties may, pursuant to this prospectus and the applicable prospectus supplement, sell securities covered by this prospectus and the applicable prospectus supplement. If so, the third party may use securities borrowed from us or others to settle such sales and may use securities received from us to close out any related short positions. We may also loan or pledge securities covered by this prospectus and the applicable prospectus supplement to third parties, who may sell the loaned securities or, in an event of default in the case of a pledge, sell the pledged securities pursuant to this prospectus and the applicable prospectus supplement. The third party in such sale transactions will be an underwriter and will be identified in the applicable prospectus supplement or in a post-effective amendment.</w:t>
      </w:r>
    </w:p>
    <w:p>
      <w:pPr>
        <w:spacing w:after="0" w:line="8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All securities we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Shares of our common stock sold pursuant to the registration statement of which this prospectus is a part will be authorized for listing and trading on the NASDAQ. The applicable prospectus supplement will contain information, where applicable, as to any other listing, if any, on the NASDAQ or any securities market or other securities exchange of the securities covered by the prospectus supplement.</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Underwriters may engage in stabilizing and syndicate covering transactions in accordance with Rule 104 under the Exchange Act. Rule 104 permits stabilizing bids to purchase the securities being offered as long as the stabilizing bids do not exceed a specified maximum. Underwriters may over-allot the offered securities in connection with the offering, thus creating a short position in their account. Syndicate covering transactions involve purchases of the offered securities by underwriters in the open market after the distribution has been completed in order to cover syndicate short positions. Underwriters may also cover an over-allotment or short position by exercising their over-allotment option, if any. Stabilizing and syndicate covering transactions may cause the price of the offered securities to be higher than it would otherwise be in the absence of these transactions. These transactions, if commenced, may be discontinued at any time.</w:t>
      </w:r>
    </w:p>
    <w:p>
      <w:pPr>
        <w:spacing w:after="0" w:line="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Any underwriters who are qualified market makers on the NASDAQ may engage in passive market making transactions in the securities on the NASDAQ in accordance with Rule 103 of Regulation M, during the business day prior to the pricing of the offering, before the commencement of offers or sales of the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5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underwriters, dealers and agents may engage in other transactions with us, or perform other services for us, in the ordinary course of their business. We will describe such relationships in the prospectus supplement naming the underwriter and the nature of any such relationship.</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validity of the securities being offered hereby will be passed on by Dentons US LLP. Any underwriters, dealers or agents will also be advised about the validity of the securities and other legal matters by their own counsel, which will be named in the prospectus supplement.</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financial statements of Arcturus Therapeutics Ltd. at December 31, 2018, and for the year ended December 31, 2018, appearing in Arcturus Therapeutics Ltd.’s Annual Report (Form 10-K) for the year ended December 31, 2018 have been audited by Ernst &amp; Young LLP, independent registered public accounting firm, as set forth in their report thereon (which contains an explanatory paragraph describing conditions that raise substantial doubt about the Company’s ability to continue as a going concern as described in Note 1 to the consolidated financial statements), included therein, and incorporated herein by reference. Such consolidated financial statements are incorporated herein by reference in reliance upon such report given on the authority of such firm as experts in accounting and auditing.</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consolidated financial statements of Arcturus Therapeutics Ltd. at December 31, 2017, and for year then ended, have been audited by Kost Forer Gabbay and Kasierer, a member of Ernst &amp; Young Global, independent registered public accounting firm, as set forth in their report thereon and incorporated by reference herein. Such consolidated financial statements are incorporated herein by reference in reliance upon such report given on the authority of such firm as experts in accounting and auditing.</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reporting company and file annual, quarterly and current reports, proxy and information statements and other information with the SEC. This prospectus is part of a registration statement that we have filed with the SEC relating to the securities to be offered under this prospectus. This prospectus does not contain all of the information set forth in the registration statement and the exhibits to the registration statement. For further information with respect to us and the securities to be offered under this prospectus, we refer you to the registration statement and the exhibits and schedules filed as a part of the registration statement.</w:t>
      </w:r>
    </w:p>
    <w:p>
      <w:pPr>
        <w:spacing w:after="0" w:line="8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where you may read and copy the registration statement, as well as our reports, proxy and information statements and other information. The address of the SEC’s web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Copies of certain information filed by us with the SEC are also available on our website at https://arcturusrx.com. Information contained in or accessible through our website does not constitute a part of this prospectus and is not incorporated by reference in this prospectus.</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SEC allows us to “incorporate by reference” information into this prospectus. This means that we can disclose important information about us and our financial condition to you by referring you to another document filed separately with the SEC. The information incorporated by reference is considered to be part of this prospectus. This prospectus incorporates by reference the documents listed below that we have previously filed with the SEC:</w:t>
      </w:r>
    </w:p>
    <w:p>
      <w:pPr>
        <w:spacing w:after="0" w:line="39" w:lineRule="exact"/>
        <w:rPr>
          <w:sz w:val="20"/>
          <w:szCs w:val="20"/>
          <w:color w:val="auto"/>
        </w:rPr>
      </w:pPr>
    </w:p>
    <w:p>
      <w:pPr>
        <w:ind w:left="880" w:right="340" w:hanging="440"/>
        <w:spacing w:after="0" w:line="277" w:lineRule="auto"/>
        <w:tabs>
          <w:tab w:leader="none" w:pos="880" w:val="left"/>
        </w:tabs>
        <w:numPr>
          <w:ilvl w:val="0"/>
          <w:numId w:val="25"/>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fiscal year ended December 31, 2018, as filed with the SEC on </w:t>
      </w:r>
      <w:hyperlink r:id="rId43">
        <w:r>
          <w:rPr>
            <w:rFonts w:ascii="Arial" w:cs="Arial" w:eastAsia="Arial" w:hAnsi="Arial"/>
            <w:sz w:val="18"/>
            <w:szCs w:val="18"/>
            <w:u w:val="single" w:color="auto"/>
            <w:color w:val="0000EE"/>
          </w:rPr>
          <w:t>March 18,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as amended on </w:t>
      </w:r>
      <w:hyperlink r:id="rId44">
        <w:r>
          <w:rPr>
            <w:rFonts w:ascii="Arial" w:cs="Arial" w:eastAsia="Arial" w:hAnsi="Arial"/>
            <w:sz w:val="18"/>
            <w:szCs w:val="18"/>
            <w:u w:val="single" w:color="auto"/>
            <w:color w:val="0000EE"/>
          </w:rPr>
          <w:t>April 10, 2019</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as filed with the SEC on </w:t>
      </w:r>
      <w:hyperlink r:id="rId45">
        <w:r>
          <w:rPr>
            <w:rFonts w:ascii="Arial" w:cs="Arial" w:eastAsia="Arial" w:hAnsi="Arial"/>
            <w:sz w:val="18"/>
            <w:szCs w:val="18"/>
            <w:u w:val="single" w:color="auto"/>
            <w:color w:val="0000EE"/>
          </w:rPr>
          <w:t>May 13, 2019</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right="320" w:hanging="440"/>
        <w:spacing w:after="0" w:line="277" w:lineRule="auto"/>
        <w:tabs>
          <w:tab w:leader="none" w:pos="880" w:val="left"/>
        </w:tabs>
        <w:numPr>
          <w:ilvl w:val="0"/>
          <w:numId w:val="25"/>
        </w:numPr>
        <w:rPr>
          <w:rFonts w:ascii="Arial" w:cs="Arial" w:eastAsia="Arial" w:hAnsi="Arial"/>
          <w:sz w:val="18"/>
          <w:szCs w:val="18"/>
          <w:u w:val="single" w:color="auto"/>
          <w:color w:val="0000EE"/>
        </w:rPr>
      </w:pPr>
      <w:r>
        <w:rPr>
          <w:rFonts w:ascii="Arial" w:cs="Arial" w:eastAsia="Arial" w:hAnsi="Arial"/>
          <w:sz w:val="18"/>
          <w:szCs w:val="18"/>
          <w:color w:val="auto"/>
        </w:rPr>
        <w:t xml:space="preserve">Our Current Reports on Form 8-K, as filed with the SEC on </w:t>
      </w:r>
      <w:hyperlink r:id="rId46">
        <w:r>
          <w:rPr>
            <w:rFonts w:ascii="Arial" w:cs="Arial" w:eastAsia="Arial" w:hAnsi="Arial"/>
            <w:sz w:val="18"/>
            <w:szCs w:val="18"/>
            <w:u w:val="single" w:color="auto"/>
            <w:color w:val="0000EE"/>
          </w:rPr>
          <w:t>March 19, 2019</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w:t>
      </w:r>
      <w:hyperlink r:id="rId48">
        <w:r>
          <w:rPr>
            <w:rFonts w:ascii="Arial" w:cs="Arial" w:eastAsia="Arial" w:hAnsi="Arial"/>
            <w:sz w:val="18"/>
            <w:szCs w:val="18"/>
            <w:u w:val="single" w:color="auto"/>
            <w:color w:val="0000EE"/>
          </w:rPr>
          <w:t>May 20, 2019</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EE"/>
          </w:rPr>
          <w:t>June 14, 2019</w:t>
        </w:r>
      </w:hyperlink>
      <w:r>
        <w:rPr>
          <w:rFonts w:ascii="Arial" w:cs="Arial" w:eastAsia="Arial" w:hAnsi="Arial"/>
          <w:sz w:val="18"/>
          <w:szCs w:val="18"/>
          <w:color w:val="auto"/>
        </w:rPr>
        <w:t xml:space="preserve">, </w:t>
      </w:r>
      <w:hyperlink r:id="rId50">
        <w:r>
          <w:rPr>
            <w:rFonts w:ascii="Arial" w:cs="Arial" w:eastAsia="Arial" w:hAnsi="Arial"/>
            <w:sz w:val="18"/>
            <w:szCs w:val="18"/>
            <w:u w:val="single" w:color="auto"/>
            <w:color w:val="0000EE"/>
          </w:rPr>
          <w:t>June 19, 2019 and</w:t>
        </w:r>
      </w:hyperlink>
      <w:r>
        <w:rPr>
          <w:rFonts w:ascii="Arial" w:cs="Arial" w:eastAsia="Arial" w:hAnsi="Arial"/>
          <w:sz w:val="18"/>
          <w:szCs w:val="18"/>
          <w:color w:val="auto"/>
        </w:rPr>
        <w:t xml:space="preserve"> </w:t>
      </w:r>
      <w:hyperlink r:id="rId51">
        <w:r>
          <w:rPr>
            <w:rFonts w:ascii="Arial" w:cs="Arial" w:eastAsia="Arial" w:hAnsi="Arial"/>
            <w:sz w:val="18"/>
            <w:szCs w:val="18"/>
            <w:u w:val="single" w:color="auto"/>
            <w:color w:val="0000EE"/>
          </w:rPr>
          <w:t>June 20, 2019 (in each case, except for information contained therein which is furnished rather than filed); and</w:t>
        </w:r>
      </w:hyperlink>
    </w:p>
    <w:p>
      <w:pPr>
        <w:spacing w:after="0" w:line="62" w:lineRule="exact"/>
        <w:rPr>
          <w:rFonts w:ascii="Arial" w:cs="Arial" w:eastAsia="Arial" w:hAnsi="Arial"/>
          <w:sz w:val="18"/>
          <w:szCs w:val="18"/>
          <w:u w:val="single" w:color="auto"/>
          <w:color w:val="0000EE"/>
        </w:rPr>
      </w:pPr>
    </w:p>
    <w:p>
      <w:pPr>
        <w:ind w:left="880" w:right="260" w:hanging="440"/>
        <w:spacing w:after="0" w:line="264"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the registration statement on Form 8-A registering our common stock under Section 12 of the Exchange Act, which was filed with the SEC on </w:t>
      </w:r>
      <w:hyperlink r:id="rId52">
        <w:r>
          <w:rPr>
            <w:rFonts w:ascii="Arial" w:cs="Arial" w:eastAsia="Arial" w:hAnsi="Arial"/>
            <w:sz w:val="18"/>
            <w:szCs w:val="18"/>
            <w:u w:val="single" w:color="auto"/>
            <w:color w:val="0000EE"/>
          </w:rPr>
          <w:t>May 17, 2013</w:t>
        </w:r>
      </w:hyperlink>
      <w:r>
        <w:rPr>
          <w:rFonts w:ascii="Arial" w:cs="Arial" w:eastAsia="Arial" w:hAnsi="Arial"/>
          <w:sz w:val="18"/>
          <w:szCs w:val="18"/>
          <w:color w:val="auto"/>
        </w:rPr>
        <w:t xml:space="preserve">, including any amendments or reports filed for purposes of updating such description, including the Form 8-K12B filed on </w:t>
      </w:r>
      <w:hyperlink r:id="rId53">
        <w:r>
          <w:rPr>
            <w:rFonts w:ascii="Arial" w:cs="Arial" w:eastAsia="Arial" w:hAnsi="Arial"/>
            <w:sz w:val="18"/>
            <w:szCs w:val="18"/>
            <w:u w:val="single" w:color="auto"/>
            <w:color w:val="0000EE"/>
          </w:rPr>
          <w:t>June 14, 2019.</w:t>
        </w:r>
      </w:hyperlink>
    </w:p>
    <w:p>
      <w:pPr>
        <w:spacing w:after="0" w:line="181"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We also incorporate by reference into this prospectus all documents filed by us with the SEC pursuant to Sections 13(a), 13(c), 14 or 15(d) of the Exchange Act prior to the termination of any offering of securities made by this prospectus. Nothing in this prospectus shall be deemed to incorporate information furnished but not filed with the SEC (including without limitation, information furnished under Item 2.02 or Item 7.01 of Form 8-K, and any exhibits relating to such information).</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in this prospectus shall be deemed to be modified or superseded for purposes of this prospectus to the extent that a statement contained herein or in the applicable prospectus supplement or in any other subsequently filed document which also is or is deemed to be incorporated by reference modifies or supersedes the statement. Any statement so modified or superseded shall not be deemed, except as so modified or superseded, to constitute a part of this prospectus.</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You may request a copy of the filings incorporated herein by reference, including exhibits to such documents that are specifically incorporated by reference, at no cost, by writing or calling us at the following address or telephone number:</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Arcturus Therapeutics Holdings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10628 Science Center Drive, Suite 250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Telephone: (858) 900-2660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Investor Relations</w:t>
      </w:r>
    </w:p>
    <w:p>
      <w:pPr>
        <w:spacing w:after="0" w:line="10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Statements contained in this prospectus as to the contents of any contract or other documents are not necessarily complete, and in each instance investors are referred to the copy of the contract or other document filed as an exhibit to the registration statement, each such statement being qualified in all respects by such reference and the exhibits and schedules thereto.</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25" w:name="page26"/>
    <w:bookmarkEnd w:id="25"/>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2764790</wp:posOffset>
            </wp:positionH>
            <wp:positionV relativeFrom="page">
              <wp:posOffset>252095</wp:posOffset>
            </wp:positionV>
            <wp:extent cx="2032635" cy="677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2032635" cy="677545"/>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Units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102870</wp:posOffset>
            </wp:positionV>
            <wp:extent cx="25984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111760</wp:posOffset>
            </wp:positionV>
            <wp:extent cx="25984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June 21, 2019</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26" w:name="page27"/>
    <w:bookmarkEnd w:id="26"/>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common stock being registered hereunder. All of the amounts shown shall be paid by us and are estimates except for the SEC registration fee, which was previously paid.</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 Registration Fee</w:t>
            </w: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5320" w:type="dxa"/>
            <w:vAlign w:val="bottom"/>
            <w:shd w:val="clear" w:color="auto" w:fill="BDD6EE"/>
          </w:tcPr>
          <w:p>
            <w:pPr>
              <w:spacing w:after="0"/>
              <w:rPr>
                <w:sz w:val="20"/>
                <w:szCs w:val="20"/>
                <w:color w:val="auto"/>
              </w:rPr>
            </w:pPr>
            <w:r>
              <w:rPr>
                <w:rFonts w:ascii="Arial" w:cs="Arial" w:eastAsia="Arial" w:hAnsi="Arial"/>
                <w:sz w:val="18"/>
                <w:szCs w:val="18"/>
                <w:color w:val="auto"/>
              </w:rPr>
              <w:t>FINRA Filing Fee</w:t>
            </w:r>
          </w:p>
        </w:tc>
        <w:tc>
          <w:tcPr>
            <w:tcW w:w="1520" w:type="dxa"/>
            <w:vAlign w:val="bottom"/>
            <w:shd w:val="clear" w:color="auto" w:fill="BDD6EE"/>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BDD6EE"/>
          </w:tcPr>
          <w:p>
            <w:pPr>
              <w:spacing w:after="0"/>
              <w:rPr>
                <w:sz w:val="20"/>
                <w:szCs w:val="20"/>
                <w:color w:val="auto"/>
              </w:rPr>
            </w:pPr>
            <w:r>
              <w:rPr>
                <w:rFonts w:ascii="Arial" w:cs="Arial" w:eastAsia="Arial" w:hAnsi="Arial"/>
                <w:sz w:val="18"/>
                <w:szCs w:val="18"/>
                <w:color w:val="auto"/>
              </w:rPr>
              <w:t>Legal Fees and Expenses</w:t>
            </w:r>
          </w:p>
        </w:tc>
        <w:tc>
          <w:tcPr>
            <w:tcW w:w="1520" w:type="dxa"/>
            <w:vAlign w:val="bottom"/>
            <w:shd w:val="clear" w:color="auto" w:fill="BDD6EE"/>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Printing and Related Expenses</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BDD6EE"/>
          </w:tcPr>
          <w:p>
            <w:pPr>
              <w:spacing w:after="0"/>
              <w:rPr>
                <w:sz w:val="20"/>
                <w:szCs w:val="20"/>
                <w:color w:val="auto"/>
              </w:rPr>
            </w:pPr>
            <w:r>
              <w:rPr>
                <w:rFonts w:ascii="Arial" w:cs="Arial" w:eastAsia="Arial" w:hAnsi="Arial"/>
                <w:sz w:val="18"/>
                <w:szCs w:val="18"/>
                <w:color w:val="auto"/>
              </w:rPr>
              <w:t>Transfer Agent and Trustee Fees</w:t>
            </w:r>
          </w:p>
        </w:tc>
        <w:tc>
          <w:tcPr>
            <w:tcW w:w="1520" w:type="dxa"/>
            <w:vAlign w:val="bottom"/>
            <w:shd w:val="clear" w:color="auto" w:fill="BDD6EE"/>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Borders>
              <w:bottom w:val="single" w:sz="8" w:color="BDD6EE"/>
            </w:tcBorders>
          </w:tcPr>
          <w:p>
            <w:pPr>
              <w:spacing w:after="0"/>
              <w:rPr>
                <w:sz w:val="20"/>
                <w:szCs w:val="20"/>
                <w:color w:val="auto"/>
              </w:rPr>
            </w:pPr>
            <w:r>
              <w:rPr>
                <w:rFonts w:ascii="Arial" w:cs="Arial" w:eastAsia="Arial" w:hAnsi="Arial"/>
                <w:sz w:val="18"/>
                <w:szCs w:val="18"/>
                <w:color w:val="auto"/>
              </w:rPr>
              <w:t>Miscellaneous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Borders>
              <w:bottom w:val="single" w:sz="8" w:color="BDD6EE"/>
            </w:tcBorders>
            <w:shd w:val="clear" w:color="auto" w:fill="BDD6EE"/>
          </w:tcPr>
          <w:p>
            <w:pPr>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BDD6EE"/>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53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60" w:firstLine="8"/>
        <w:spacing w:after="0" w:line="277" w:lineRule="auto"/>
        <w:tabs>
          <w:tab w:leader="none" w:pos="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accordance with Rules 456(b) and 457(r), we are deferring payment of all applicable registration fees for the securities offered under this registration statement.</w:t>
      </w:r>
    </w:p>
    <w:p>
      <w:pPr>
        <w:spacing w:after="0" w:line="62" w:lineRule="exact"/>
        <w:rPr>
          <w:rFonts w:ascii="Arial" w:cs="Arial" w:eastAsia="Arial" w:hAnsi="Arial"/>
          <w:sz w:val="18"/>
          <w:szCs w:val="18"/>
          <w:color w:val="auto"/>
        </w:rPr>
      </w:pPr>
    </w:p>
    <w:p>
      <w:pPr>
        <w:ind w:left="280" w:hanging="223"/>
        <w:spacing w:after="0"/>
        <w:tabs>
          <w:tab w:leader="none" w:pos="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amount of securities and number of offerings are indeterminable and the expenses cannot be estimated at this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incorporated under the laws of the state of Delaware. Section 145(a) of the Delaware General Corporation Law, or the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p>
    <w:p>
      <w:pPr>
        <w:spacing w:after="0" w:line="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was serving at the request of the corporation as a director, officer, employee or agent of another corporation, joint venture, trust or other enterprise,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indemnity for such expenses which the court shall deem proper.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Further subsections of DGCL Section 145 provide that:</w:t>
      </w:r>
    </w:p>
    <w:p>
      <w:pPr>
        <w:spacing w:after="0" w:line="117"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(1)to the extent a present or former director or officer of a corporation has been successful on the merits or otherwise in the defense of any action, suit or proceeding referred to in subsections (a) and (b) of Section 145 or in the defense of any claim, issue or matter therein, such person shall be indemnified against expenses, including attorneys’ fees, actually and reasonably incurred by such person in connection therewith;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firstLine="8"/>
        <w:spacing w:after="0" w:line="264" w:lineRule="auto"/>
        <w:tabs>
          <w:tab w:leader="none" w:pos="2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p>
    <w:p>
      <w:pPr>
        <w:spacing w:after="0" w:line="73" w:lineRule="exact"/>
        <w:rPr>
          <w:rFonts w:ascii="Arial" w:cs="Arial" w:eastAsia="Arial" w:hAnsi="Arial"/>
          <w:sz w:val="18"/>
          <w:szCs w:val="18"/>
          <w:color w:val="auto"/>
        </w:rPr>
      </w:pPr>
    </w:p>
    <w:p>
      <w:pPr>
        <w:ind w:firstLine="8"/>
        <w:spacing w:after="0" w:line="302" w:lineRule="auto"/>
        <w:tabs>
          <w:tab w:leader="none" w:pos="2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4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Section 145 of the DGCL makes provision for the indemnification of officers and directors in terms sufficiently broad to indemnify our officers and directors under certain circumstances from liabilities (including reimbursement for expenses incurred) arising under the Securities Act of 1933. Our bylaws provide, in effect, that, to the fullest extent and under the circumstances permitted by Section 145 of the DGCL, we will indemnify any person (and the estate of any person) who was or is a party or is threatened to be made a party to any threatened, pending or completed action, suit or proceeding, whether civil, criminal, administrative or investigative, by reason of the fact that he or she is or was a director or officer of our company or is or was serving at our request as a director or officer of another corporation or enterprise. We may, in our discretion, similarly indemnify its employees and agents.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indemnification agreements with our officers and directors.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certificate of incorporation relieves our directors from monetary damages to us or our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acts or omissions not in good faith, or which involve intentional misconduct or a knowing violation of law, (iii) for willful or negligent violations of certain provisions in the DGCL imposing certain requirements with respect to stock repurchases, redemptions and dividends, or (iv) for any transactions from which the director derived an improper personal benefit.</w:t>
      </w:r>
    </w:p>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currently maintain an insurance policy which, within the limits and subject to the terms and conditions thereof, covers certain expenses and liabilities that may be incurred by directors and officers in connection with proceedings that may be brought against them as a result of an act or omission committed or suffered while acting as a director or officer of our company.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attached to this registration statement and incorporated herein by this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700" w:hanging="253"/>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40" w:hanging="255"/>
        <w:spacing w:after="0"/>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40" w:hanging="215"/>
        <w:spacing w:after="0"/>
        <w:tabs>
          <w:tab w:leader="none" w:pos="154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right="20" w:firstLine="1325"/>
        <w:spacing w:after="0" w:line="293" w:lineRule="auto"/>
        <w:tabs>
          <w:tab w:leader="none" w:pos="1582" w:val="left"/>
        </w:tabs>
        <w:numPr>
          <w:ilvl w:val="2"/>
          <w:numId w:val="2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8" w:name="page29"/>
    <w:bookmarkEnd w:id="28"/>
    <w:p>
      <w:pPr>
        <w:ind w:right="40" w:firstLine="1325"/>
        <w:spacing w:after="0" w:line="277" w:lineRule="auto"/>
        <w:tabs>
          <w:tab w:leader="none" w:pos="16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79" w:lineRule="exact"/>
        <w:rPr>
          <w:sz w:val="20"/>
          <w:szCs w:val="20"/>
          <w:color w:val="auto"/>
        </w:rPr>
      </w:pPr>
    </w:p>
    <w:p>
      <w:pPr>
        <w:jc w:val="both"/>
        <w:ind w:right="60" w:firstLine="885"/>
        <w:spacing w:after="0" w:line="264"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right="600" w:firstLine="885"/>
        <w:spacing w:after="0" w:line="277"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right="160" w:firstLine="1325"/>
        <w:spacing w:after="0" w:line="277" w:lineRule="auto"/>
        <w:tabs>
          <w:tab w:leader="none" w:pos="15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right="40" w:firstLine="1325"/>
        <w:spacing w:after="0" w:line="288" w:lineRule="auto"/>
        <w:tabs>
          <w:tab w:leader="none" w:pos="1582"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61" w:lineRule="exact"/>
        <w:rPr>
          <w:rFonts w:ascii="Arial" w:cs="Arial" w:eastAsia="Arial" w:hAnsi="Arial"/>
          <w:sz w:val="16"/>
          <w:szCs w:val="16"/>
          <w:color w:val="auto"/>
        </w:rPr>
      </w:pPr>
    </w:p>
    <w:p>
      <w:pPr>
        <w:ind w:firstLine="885"/>
        <w:spacing w:after="0" w:line="279" w:lineRule="auto"/>
        <w:tabs>
          <w:tab w:leader="none" w:pos="113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3" w:lineRule="exact"/>
        <w:rPr>
          <w:rFonts w:ascii="Arial" w:cs="Arial" w:eastAsia="Arial" w:hAnsi="Arial"/>
          <w:sz w:val="17"/>
          <w:szCs w:val="17"/>
          <w:color w:val="auto"/>
        </w:rPr>
      </w:pPr>
    </w:p>
    <w:p>
      <w:pPr>
        <w:ind w:left="1540" w:hanging="215"/>
        <w:spacing w:after="0"/>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right="180" w:firstLine="1325"/>
        <w:spacing w:after="0" w:line="277" w:lineRule="auto"/>
        <w:tabs>
          <w:tab w:leader="none" w:pos="158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right="680" w:firstLine="1325"/>
        <w:spacing w:after="0" w:line="277" w:lineRule="auto"/>
        <w:tabs>
          <w:tab w:leader="none" w:pos="1632"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620" w:hanging="295"/>
        <w:spacing w:after="0"/>
        <w:tabs>
          <w:tab w:leader="none" w:pos="1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ind w:left="-40" w:right="140" w:firstLine="447"/>
        <w:spacing w:after="0" w:line="257"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left="-40" w:right="20" w:firstLine="447"/>
        <w:spacing w:after="0" w:line="271" w:lineRule="auto"/>
        <w:tabs>
          <w:tab w:leader="none" w:pos="644"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described in Item 15,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registrants of expenses incurred or paid by a director, officer or controlling person of any registrant in the successful defense of any action, suit or proceeding) is asserted by such director, officer or controlling person in connection with the securities being registered, each appropriate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70" w:lineRule="exact"/>
        <w:rPr>
          <w:rFonts w:ascii="Arial" w:cs="Arial" w:eastAsia="Arial" w:hAnsi="Arial"/>
          <w:sz w:val="17"/>
          <w:szCs w:val="17"/>
          <w:color w:val="auto"/>
        </w:rPr>
      </w:pPr>
    </w:p>
    <w:p>
      <w:pPr>
        <w:ind w:left="-40" w:firstLine="447"/>
        <w:spacing w:after="0" w:line="264" w:lineRule="auto"/>
        <w:tabs>
          <w:tab w:leader="none" w:pos="65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registrants hereby undertake 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80" w:top="449" w:right="2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940" w:type="dxa"/>
            <w:vAlign w:val="bottom"/>
            <w:gridSpan w:val="4"/>
          </w:tcPr>
          <w:p>
            <w:pPr>
              <w:ind w:left="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3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80" w:type="dxa"/>
            <w:vAlign w:val="bottom"/>
            <w:tcBorders>
              <w:top w:val="single" w:sz="8" w:color="auto"/>
            </w:tcBorders>
          </w:tcPr>
          <w:p>
            <w:pPr>
              <w:jc w:val="right"/>
              <w:ind w:right="192"/>
              <w:spacing w:after="0" w:line="195" w:lineRule="exact"/>
              <w:rPr>
                <w:sz w:val="20"/>
                <w:szCs w:val="20"/>
                <w:color w:val="auto"/>
              </w:rPr>
            </w:pPr>
            <w:r>
              <w:rPr>
                <w:rFonts w:ascii="Arial" w:cs="Arial" w:eastAsia="Arial" w:hAnsi="Arial"/>
                <w:sz w:val="18"/>
                <w:szCs w:val="18"/>
                <w:color w:val="auto"/>
              </w:rPr>
              <w:t>1.1*</w:t>
            </w:r>
          </w:p>
        </w:tc>
        <w:tc>
          <w:tcPr>
            <w:tcW w:w="200" w:type="dxa"/>
            <w:vAlign w:val="bottom"/>
          </w:tcPr>
          <w:p>
            <w:pPr>
              <w:spacing w:after="0"/>
              <w:rPr>
                <w:sz w:val="16"/>
                <w:szCs w:val="16"/>
                <w:color w:val="auto"/>
              </w:rPr>
            </w:pPr>
          </w:p>
        </w:tc>
        <w:tc>
          <w:tcPr>
            <w:tcW w:w="10340" w:type="dxa"/>
            <w:vAlign w:val="bottom"/>
            <w:tcBorders>
              <w:top w:val="single" w:sz="8" w:color="auto"/>
            </w:tcBorders>
            <w:gridSpan w:val="6"/>
          </w:tcPr>
          <w:p>
            <w:pPr>
              <w:spacing w:after="0" w:line="195" w:lineRule="exact"/>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190"/>
        </w:trPr>
        <w:tc>
          <w:tcPr>
            <w:tcW w:w="880" w:type="dxa"/>
            <w:vAlign w:val="bottom"/>
          </w:tcPr>
          <w:p>
            <w:pPr>
              <w:jc w:val="right"/>
              <w:ind w:right="292"/>
              <w:spacing w:after="0" w:line="190"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6"/>
                <w:szCs w:val="16"/>
                <w:color w:val="auto"/>
              </w:rPr>
            </w:pPr>
          </w:p>
        </w:tc>
        <w:tc>
          <w:tcPr>
            <w:tcW w:w="10340" w:type="dxa"/>
            <w:vAlign w:val="bottom"/>
            <w:gridSpan w:val="6"/>
          </w:tcPr>
          <w:p>
            <w:pPr>
              <w:spacing w:after="0" w:line="190" w:lineRule="exact"/>
              <w:rPr>
                <w:rFonts w:ascii="Arial" w:cs="Arial" w:eastAsia="Arial" w:hAnsi="Arial"/>
                <w:sz w:val="18"/>
                <w:szCs w:val="18"/>
                <w:color w:val="0000EE"/>
              </w:rPr>
            </w:pPr>
            <w:hyperlink r:id="rId49">
              <w:r>
                <w:rPr>
                  <w:rFonts w:ascii="Arial" w:cs="Arial" w:eastAsia="Arial" w:hAnsi="Arial"/>
                  <w:sz w:val="18"/>
                  <w:szCs w:val="18"/>
                  <w:color w:val="0000EE"/>
                </w:rPr>
                <w:t>Certificate of Incorporation of Arcturus Therapeutics Holdings Inc.</w:t>
              </w:r>
            </w:hyperlink>
          </w:p>
        </w:tc>
        <w:tc>
          <w:tcPr>
            <w:tcW w:w="0" w:type="dxa"/>
            <w:vAlign w:val="bottom"/>
          </w:tcPr>
          <w:p>
            <w:pPr>
              <w:spacing w:after="0"/>
              <w:rPr>
                <w:sz w:val="1"/>
                <w:szCs w:val="1"/>
                <w:color w:val="auto"/>
              </w:rPr>
            </w:pPr>
          </w:p>
        </w:tc>
      </w:tr>
      <w:tr>
        <w:trPr>
          <w:trHeight w:val="196"/>
        </w:trPr>
        <w:tc>
          <w:tcPr>
            <w:tcW w:w="880" w:type="dxa"/>
            <w:vAlign w:val="bottom"/>
          </w:tcPr>
          <w:p>
            <w:pPr>
              <w:jc w:val="right"/>
              <w:ind w:right="292"/>
              <w:spacing w:after="0" w:line="196"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4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Bylaws of Arcturus Therapeutics Holdings Inc.</w:t>
              </w:r>
            </w:hyperlink>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jc w:val="right"/>
              <w:ind w:right="192"/>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0340" w:type="dxa"/>
            <w:vAlign w:val="bottom"/>
            <w:gridSpan w:val="6"/>
          </w:tcPr>
          <w:p>
            <w:pPr>
              <w:spacing w:after="0"/>
              <w:rPr>
                <w:sz w:val="20"/>
                <w:szCs w:val="20"/>
                <w:color w:val="auto"/>
              </w:rPr>
            </w:pPr>
            <w:r>
              <w:rPr>
                <w:rFonts w:ascii="Arial" w:cs="Arial" w:eastAsia="Arial" w:hAnsi="Arial"/>
                <w:sz w:val="18"/>
                <w:szCs w:val="18"/>
                <w:color w:val="auto"/>
              </w:rPr>
              <w:t>Form of Subordinated Debt Securities Indenture</w:t>
            </w:r>
          </w:p>
        </w:tc>
        <w:tc>
          <w:tcPr>
            <w:tcW w:w="0" w:type="dxa"/>
            <w:vAlign w:val="bottom"/>
          </w:tcPr>
          <w:p>
            <w:pPr>
              <w:spacing w:after="0"/>
              <w:rPr>
                <w:sz w:val="1"/>
                <w:szCs w:val="1"/>
                <w:color w:val="auto"/>
              </w:rPr>
            </w:pPr>
          </w:p>
        </w:tc>
      </w:tr>
      <w:tr>
        <w:trPr>
          <w:trHeight w:val="216"/>
        </w:trPr>
        <w:tc>
          <w:tcPr>
            <w:tcW w:w="880" w:type="dxa"/>
            <w:vAlign w:val="bottom"/>
          </w:tcPr>
          <w:p>
            <w:pPr>
              <w:jc w:val="right"/>
              <w:ind w:right="192"/>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0340" w:type="dxa"/>
            <w:vAlign w:val="bottom"/>
            <w:gridSpan w:val="6"/>
          </w:tcPr>
          <w:p>
            <w:pPr>
              <w:spacing w:after="0"/>
              <w:rPr>
                <w:sz w:val="20"/>
                <w:szCs w:val="20"/>
                <w:color w:val="auto"/>
              </w:rPr>
            </w:pPr>
            <w:r>
              <w:rPr>
                <w:rFonts w:ascii="Arial" w:cs="Arial" w:eastAsia="Arial" w:hAnsi="Arial"/>
                <w:sz w:val="18"/>
                <w:szCs w:val="18"/>
                <w:color w:val="auto"/>
              </w:rPr>
              <w:t>Form of Senior Debt Securities Indenture</w:t>
            </w:r>
          </w:p>
        </w:tc>
        <w:tc>
          <w:tcPr>
            <w:tcW w:w="0" w:type="dxa"/>
            <w:vAlign w:val="bottom"/>
          </w:tcPr>
          <w:p>
            <w:pPr>
              <w:spacing w:after="0"/>
              <w:rPr>
                <w:sz w:val="1"/>
                <w:szCs w:val="1"/>
                <w:color w:val="auto"/>
              </w:rPr>
            </w:pPr>
          </w:p>
        </w:tc>
      </w:tr>
      <w:tr>
        <w:trPr>
          <w:trHeight w:val="216"/>
        </w:trPr>
        <w:tc>
          <w:tcPr>
            <w:tcW w:w="880" w:type="dxa"/>
            <w:vAlign w:val="bottom"/>
          </w:tcPr>
          <w:p>
            <w:pPr>
              <w:jc w:val="right"/>
              <w:ind w:right="19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0340" w:type="dxa"/>
            <w:vAlign w:val="bottom"/>
            <w:gridSpan w:val="6"/>
          </w:tcPr>
          <w:p>
            <w:pPr>
              <w:spacing w:after="0"/>
              <w:rPr>
                <w:sz w:val="20"/>
                <w:szCs w:val="20"/>
                <w:color w:val="auto"/>
              </w:rPr>
            </w:pPr>
            <w:r>
              <w:rPr>
                <w:rFonts w:ascii="Arial" w:cs="Arial" w:eastAsia="Arial" w:hAnsi="Arial"/>
                <w:sz w:val="18"/>
                <w:szCs w:val="18"/>
                <w:color w:val="auto"/>
              </w:rPr>
              <w:t>Form of Warrant Certificate</w:t>
            </w:r>
          </w:p>
        </w:tc>
        <w:tc>
          <w:tcPr>
            <w:tcW w:w="0" w:type="dxa"/>
            <w:vAlign w:val="bottom"/>
          </w:tcPr>
          <w:p>
            <w:pPr>
              <w:spacing w:after="0"/>
              <w:rPr>
                <w:sz w:val="1"/>
                <w:szCs w:val="1"/>
                <w:color w:val="auto"/>
              </w:rPr>
            </w:pPr>
          </w:p>
        </w:tc>
      </w:tr>
      <w:tr>
        <w:trPr>
          <w:trHeight w:val="216"/>
        </w:trPr>
        <w:tc>
          <w:tcPr>
            <w:tcW w:w="880" w:type="dxa"/>
            <w:vAlign w:val="bottom"/>
          </w:tcPr>
          <w:p>
            <w:pPr>
              <w:jc w:val="right"/>
              <w:ind w:right="192"/>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0340" w:type="dxa"/>
            <w:vAlign w:val="bottom"/>
            <w:gridSpan w:val="6"/>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216"/>
        </w:trPr>
        <w:tc>
          <w:tcPr>
            <w:tcW w:w="880" w:type="dxa"/>
            <w:vAlign w:val="bottom"/>
          </w:tcPr>
          <w:p>
            <w:pPr>
              <w:jc w:val="right"/>
              <w:ind w:right="192"/>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0340" w:type="dxa"/>
            <w:vAlign w:val="bottom"/>
            <w:gridSpan w:val="6"/>
          </w:tcPr>
          <w:p>
            <w:pPr>
              <w:spacing w:after="0"/>
              <w:rPr>
                <w:sz w:val="20"/>
                <w:szCs w:val="20"/>
                <w:color w:val="auto"/>
              </w:rPr>
            </w:pPr>
            <w:r>
              <w:rPr>
                <w:rFonts w:ascii="Arial" w:cs="Arial" w:eastAsia="Arial" w:hAnsi="Arial"/>
                <w:sz w:val="18"/>
                <w:szCs w:val="18"/>
                <w:color w:val="auto"/>
              </w:rPr>
              <w:t>Form of Unit Agreement</w:t>
            </w:r>
          </w:p>
        </w:tc>
        <w:tc>
          <w:tcPr>
            <w:tcW w:w="0" w:type="dxa"/>
            <w:vAlign w:val="bottom"/>
          </w:tcPr>
          <w:p>
            <w:pPr>
              <w:spacing w:after="0"/>
              <w:rPr>
                <w:sz w:val="1"/>
                <w:szCs w:val="1"/>
                <w:color w:val="auto"/>
              </w:rPr>
            </w:pPr>
          </w:p>
        </w:tc>
      </w:tr>
      <w:tr>
        <w:trPr>
          <w:trHeight w:val="216"/>
        </w:trPr>
        <w:tc>
          <w:tcPr>
            <w:tcW w:w="880" w:type="dxa"/>
            <w:vAlign w:val="bottom"/>
          </w:tcPr>
          <w:p>
            <w:pPr>
              <w:jc w:val="right"/>
              <w:ind w:right="192"/>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0340" w:type="dxa"/>
            <w:vAlign w:val="bottom"/>
            <w:gridSpan w:val="6"/>
          </w:tcPr>
          <w:p>
            <w:pPr>
              <w:spacing w:after="0"/>
              <w:rPr>
                <w:sz w:val="20"/>
                <w:szCs w:val="20"/>
                <w:color w:val="auto"/>
              </w:rPr>
            </w:pPr>
            <w:r>
              <w:rPr>
                <w:rFonts w:ascii="Arial" w:cs="Arial" w:eastAsia="Arial" w:hAnsi="Arial"/>
                <w:sz w:val="18"/>
                <w:szCs w:val="18"/>
                <w:color w:val="auto"/>
              </w:rPr>
              <w:t>Opinion of Dentons US LLP</w:t>
            </w:r>
          </w:p>
        </w:tc>
        <w:tc>
          <w:tcPr>
            <w:tcW w:w="0" w:type="dxa"/>
            <w:vAlign w:val="bottom"/>
          </w:tcPr>
          <w:p>
            <w:pPr>
              <w:spacing w:after="0"/>
              <w:rPr>
                <w:sz w:val="1"/>
                <w:szCs w:val="1"/>
                <w:color w:val="auto"/>
              </w:rPr>
            </w:pPr>
          </w:p>
        </w:tc>
      </w:tr>
      <w:tr>
        <w:trPr>
          <w:trHeight w:val="190"/>
        </w:trPr>
        <w:tc>
          <w:tcPr>
            <w:tcW w:w="880" w:type="dxa"/>
            <w:vAlign w:val="bottom"/>
          </w:tcPr>
          <w:p>
            <w:pPr>
              <w:ind w:left="180"/>
              <w:spacing w:after="0" w:line="190" w:lineRule="exact"/>
              <w:rPr>
                <w:sz w:val="20"/>
                <w:szCs w:val="20"/>
                <w:color w:val="auto"/>
              </w:rPr>
            </w:pPr>
            <w:r>
              <w:rPr>
                <w:rFonts w:ascii="Arial" w:cs="Arial" w:eastAsia="Arial" w:hAnsi="Arial"/>
                <w:sz w:val="18"/>
                <w:szCs w:val="18"/>
                <w:color w:val="auto"/>
              </w:rPr>
              <w:t>23.1+</w:t>
            </w:r>
          </w:p>
        </w:tc>
        <w:tc>
          <w:tcPr>
            <w:tcW w:w="200" w:type="dxa"/>
            <w:vAlign w:val="bottom"/>
          </w:tcPr>
          <w:p>
            <w:pPr>
              <w:spacing w:after="0"/>
              <w:rPr>
                <w:sz w:val="16"/>
                <w:szCs w:val="16"/>
                <w:color w:val="auto"/>
              </w:rPr>
            </w:pPr>
          </w:p>
        </w:tc>
        <w:tc>
          <w:tcPr>
            <w:tcW w:w="4340" w:type="dxa"/>
            <w:vAlign w:val="bottom"/>
            <w:tcBorders>
              <w:bottom w:val="single" w:sz="8" w:color="0000EE"/>
            </w:tcBorders>
            <w:gridSpan w:val="4"/>
          </w:tcPr>
          <w:p>
            <w:pPr>
              <w:spacing w:after="0" w:line="190" w:lineRule="exact"/>
              <w:rPr>
                <w:sz w:val="20"/>
                <w:szCs w:val="20"/>
                <w:color w:val="auto"/>
              </w:rPr>
            </w:pPr>
            <w:r>
              <w:rPr>
                <w:rFonts w:ascii="Arial" w:cs="Arial" w:eastAsia="Arial" w:hAnsi="Arial"/>
                <w:sz w:val="18"/>
                <w:szCs w:val="18"/>
                <w:color w:val="0000EE"/>
                <w:w w:val="91"/>
              </w:rPr>
              <w:t>Consent of Independent Registered Public Accounting Firm</w:t>
            </w:r>
          </w:p>
        </w:tc>
        <w:tc>
          <w:tcPr>
            <w:tcW w:w="60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180"/>
              <w:spacing w:after="0" w:line="196" w:lineRule="exact"/>
              <w:rPr>
                <w:sz w:val="20"/>
                <w:szCs w:val="20"/>
                <w:color w:val="auto"/>
              </w:rPr>
            </w:pPr>
            <w:r>
              <w:rPr>
                <w:rFonts w:ascii="Arial" w:cs="Arial" w:eastAsia="Arial" w:hAnsi="Arial"/>
                <w:sz w:val="18"/>
                <w:szCs w:val="18"/>
                <w:color w:val="auto"/>
              </w:rPr>
              <w:t>23.2+</w:t>
            </w:r>
          </w:p>
        </w:tc>
        <w:tc>
          <w:tcPr>
            <w:tcW w:w="20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Consent of Independent Registered Public Accounting Firm</w:t>
            </w:r>
          </w:p>
        </w:tc>
        <w:tc>
          <w:tcPr>
            <w:tcW w:w="60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jc w:val="right"/>
              <w:ind w:right="192"/>
              <w:spacing w:after="0"/>
              <w:rPr>
                <w:sz w:val="20"/>
                <w:szCs w:val="20"/>
                <w:color w:val="auto"/>
              </w:rPr>
            </w:pPr>
            <w:r>
              <w:rPr>
                <w:rFonts w:ascii="Arial" w:cs="Arial" w:eastAsia="Arial" w:hAnsi="Arial"/>
                <w:sz w:val="18"/>
                <w:szCs w:val="18"/>
                <w:color w:val="auto"/>
              </w:rPr>
              <w:t>23.3*</w:t>
            </w:r>
          </w:p>
        </w:tc>
        <w:tc>
          <w:tcPr>
            <w:tcW w:w="200" w:type="dxa"/>
            <w:vAlign w:val="bottom"/>
          </w:tcPr>
          <w:p>
            <w:pPr>
              <w:spacing w:after="0"/>
              <w:rPr>
                <w:sz w:val="19"/>
                <w:szCs w:val="19"/>
                <w:color w:val="auto"/>
              </w:rPr>
            </w:pPr>
          </w:p>
        </w:tc>
        <w:tc>
          <w:tcPr>
            <w:tcW w:w="10340" w:type="dxa"/>
            <w:vAlign w:val="bottom"/>
            <w:gridSpan w:val="6"/>
          </w:tcPr>
          <w:p>
            <w:pPr>
              <w:spacing w:after="0"/>
              <w:rPr>
                <w:sz w:val="20"/>
                <w:szCs w:val="20"/>
                <w:color w:val="auto"/>
              </w:rPr>
            </w:pPr>
            <w:r>
              <w:rPr>
                <w:rFonts w:ascii="Arial" w:cs="Arial" w:eastAsia="Arial" w:hAnsi="Arial"/>
                <w:sz w:val="18"/>
                <w:szCs w:val="18"/>
                <w:color w:val="auto"/>
              </w:rPr>
              <w:t>Consent of Dentons US LLP (contained in Exhibit 5.1.)</w:t>
            </w:r>
          </w:p>
        </w:tc>
        <w:tc>
          <w:tcPr>
            <w:tcW w:w="0" w:type="dxa"/>
            <w:vAlign w:val="bottom"/>
          </w:tcPr>
          <w:p>
            <w:pPr>
              <w:spacing w:after="0"/>
              <w:rPr>
                <w:sz w:val="1"/>
                <w:szCs w:val="1"/>
                <w:color w:val="auto"/>
              </w:rPr>
            </w:pPr>
          </w:p>
        </w:tc>
      </w:tr>
      <w:tr>
        <w:trPr>
          <w:trHeight w:val="190"/>
        </w:trPr>
        <w:tc>
          <w:tcPr>
            <w:tcW w:w="880" w:type="dxa"/>
            <w:vAlign w:val="bottom"/>
          </w:tcPr>
          <w:p>
            <w:pPr>
              <w:ind w:left="180"/>
              <w:spacing w:after="0" w:line="190" w:lineRule="exact"/>
              <w:rPr>
                <w:sz w:val="20"/>
                <w:szCs w:val="20"/>
                <w:color w:val="auto"/>
              </w:rPr>
            </w:pPr>
            <w:r>
              <w:rPr>
                <w:rFonts w:ascii="Arial" w:cs="Arial" w:eastAsia="Arial" w:hAnsi="Arial"/>
                <w:sz w:val="18"/>
                <w:szCs w:val="18"/>
                <w:color w:val="auto"/>
              </w:rPr>
              <w:t>24.1+</w:t>
            </w:r>
          </w:p>
        </w:tc>
        <w:tc>
          <w:tcPr>
            <w:tcW w:w="200" w:type="dxa"/>
            <w:vAlign w:val="bottom"/>
          </w:tcPr>
          <w:p>
            <w:pPr>
              <w:spacing w:after="0"/>
              <w:rPr>
                <w:sz w:val="16"/>
                <w:szCs w:val="16"/>
                <w:color w:val="auto"/>
              </w:rPr>
            </w:pPr>
          </w:p>
        </w:tc>
        <w:tc>
          <w:tcPr>
            <w:tcW w:w="1340" w:type="dxa"/>
            <w:vAlign w:val="bottom"/>
            <w:tcBorders>
              <w:bottom w:val="single" w:sz="8" w:color="0000EE"/>
            </w:tcBorders>
          </w:tcPr>
          <w:p>
            <w:pPr>
              <w:spacing w:after="0" w:line="190"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Power of Attorney</w:t>
              </w:r>
            </w:hyperlink>
          </w:p>
        </w:tc>
        <w:tc>
          <w:tcPr>
            <w:tcW w:w="90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80" w:type="dxa"/>
            <w:vAlign w:val="bottom"/>
            <w:gridSpan w:val="2"/>
          </w:tcPr>
          <w:p>
            <w:pPr>
              <w:ind w:left="180"/>
              <w:spacing w:after="0"/>
              <w:rPr>
                <w:sz w:val="20"/>
                <w:szCs w:val="20"/>
                <w:color w:val="auto"/>
              </w:rPr>
            </w:pPr>
            <w:r>
              <w:rPr>
                <w:rFonts w:ascii="Arial" w:cs="Arial" w:eastAsia="Arial" w:hAnsi="Arial"/>
                <w:sz w:val="18"/>
                <w:szCs w:val="18"/>
                <w:color w:val="auto"/>
              </w:rPr>
              <w:t>25.l†</w:t>
            </w:r>
          </w:p>
        </w:tc>
        <w:tc>
          <w:tcPr>
            <w:tcW w:w="10340" w:type="dxa"/>
            <w:vAlign w:val="bottom"/>
            <w:gridSpan w:val="6"/>
          </w:tcPr>
          <w:p>
            <w:pPr>
              <w:spacing w:after="0"/>
              <w:rPr>
                <w:sz w:val="20"/>
                <w:szCs w:val="20"/>
                <w:color w:val="auto"/>
              </w:rPr>
            </w:pPr>
            <w:r>
              <w:rPr>
                <w:rFonts w:ascii="Arial" w:cs="Arial" w:eastAsia="Arial" w:hAnsi="Arial"/>
                <w:sz w:val="18"/>
                <w:szCs w:val="18"/>
                <w:color w:val="auto"/>
              </w:rPr>
              <w:t>Form T-l Statement of Eligibility and Qualification of the Trustee under the Indenture with respect to the debt securities.</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be filed by amendment hereto or pursuant to a Current Report on Form 8-K to be incorporated herein by reference.</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To be filed by amendment or pursuant to Trust Indenture Act Section 305(b)(2),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June 21, 2019.</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ARCTURUS THERAPEUTICS LTD.</w:t>
      </w:r>
    </w:p>
    <w:p>
      <w:pPr>
        <w:spacing w:after="0" w:line="225" w:lineRule="exact"/>
        <w:rPr>
          <w:sz w:val="20"/>
          <w:szCs w:val="20"/>
          <w:color w:val="auto"/>
        </w:rPr>
      </w:pPr>
    </w:p>
    <w:p>
      <w:pPr>
        <w:ind w:left="6860"/>
        <w:spacing w:after="0"/>
        <w:tabs>
          <w:tab w:leader="none" w:pos="7320" w:val="left"/>
        </w:tabs>
        <w:rPr>
          <w:sz w:val="20"/>
          <w:szCs w:val="20"/>
          <w:color w:val="auto"/>
        </w:rPr>
      </w:pPr>
      <w:r>
        <w:rPr>
          <w:rFonts w:ascii="Arial" w:cs="Arial" w:eastAsia="Arial" w:hAnsi="Arial"/>
          <w:sz w:val="18"/>
          <w:szCs w:val="18"/>
          <w:color w:val="auto"/>
        </w:rPr>
        <w:t>By:</w:t>
        <w:tab/>
        <w:t>/s/ Joseph E. Payne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-130810</wp:posOffset>
            </wp:positionV>
            <wp:extent cx="2590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Joseph E. Payne and Dr.</w:t>
      </w:r>
      <w:r>
        <w:rPr>
          <w:rFonts w:ascii="Arial" w:cs="Arial" w:eastAsia="Arial" w:hAnsi="Arial"/>
          <w:sz w:val="16"/>
          <w:szCs w:val="16"/>
          <w:b w:val="1"/>
          <w:bCs w:val="1"/>
          <w:color w:val="auto"/>
        </w:rPr>
        <w:t xml:space="preserve"> </w:t>
      </w:r>
      <w:r>
        <w:rPr>
          <w:rFonts w:ascii="Arial" w:cs="Arial" w:eastAsia="Arial" w:hAnsi="Arial"/>
          <w:sz w:val="16"/>
          <w:szCs w:val="16"/>
          <w:color w:val="auto"/>
        </w:rPr>
        <w:t>Padmanabh Chivukula, and each of them acting individually, as his or her true and lawful attorneys- in-fact and agent, with full power of each to act alone, with full powers of substitution and resubstitution, for him or her and in his or her name, place and stead, in any and all capacities, to sign any and all amendments to this registration statement (including post-effective amendments and any registration statement for the same offering that is to be effective under Rule 462(b) of the Securities Act), and to file the same with all exhibits thereto, and other documents in connection therewith, with the Securities and Exchange Commission, granting unto said attorneys-in-fact and agents, and full power and authority to do and perform each and every act and thing requisite and necessary to be done in connection therewith, as fully for all intents and purposes as he or she might or could do in person, hereby ratifying and confirming that all said attorneys-in-fact and agents, or any of them or their substitute or resubstitute, may lawfully do or cause to be done by virtue hereof.</w:t>
      </w:r>
    </w:p>
    <w:p>
      <w:pPr>
        <w:spacing w:after="0" w:line="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920" w:type="dxa"/>
            <w:vAlign w:val="bottom"/>
          </w:tcPr>
          <w:p>
            <w:pPr>
              <w:jc w:val="center"/>
              <w:ind w:left="430"/>
              <w:spacing w:after="0"/>
              <w:rPr>
                <w:sz w:val="20"/>
                <w:szCs w:val="20"/>
                <w:color w:val="auto"/>
              </w:rPr>
            </w:pPr>
            <w:r>
              <w:rPr>
                <w:rFonts w:ascii="Arial" w:cs="Arial" w:eastAsia="Arial" w:hAnsi="Arial"/>
                <w:sz w:val="18"/>
                <w:szCs w:val="18"/>
                <w:b w:val="1"/>
                <w:bCs w:val="1"/>
                <w:color w:val="auto"/>
                <w:w w:val="97"/>
              </w:rPr>
              <w:t>Title</w:t>
            </w:r>
          </w:p>
        </w:tc>
        <w:tc>
          <w:tcPr>
            <w:tcW w:w="1900" w:type="dxa"/>
            <w:vAlign w:val="bottom"/>
          </w:tcPr>
          <w:p>
            <w:pPr>
              <w:jc w:val="center"/>
              <w:ind w:left="81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Joseph E. Payne</w:t>
            </w:r>
          </w:p>
        </w:tc>
        <w:tc>
          <w:tcPr>
            <w:tcW w:w="5920" w:type="dxa"/>
            <w:vAlign w:val="bottom"/>
          </w:tcPr>
          <w:p>
            <w:pPr>
              <w:jc w:val="center"/>
              <w:ind w:left="350"/>
              <w:spacing w:after="0"/>
              <w:rPr>
                <w:sz w:val="20"/>
                <w:szCs w:val="20"/>
                <w:color w:val="auto"/>
              </w:rPr>
            </w:pPr>
            <w:r>
              <w:rPr>
                <w:rFonts w:ascii="Arial" w:cs="Arial" w:eastAsia="Arial" w:hAnsi="Arial"/>
                <w:sz w:val="18"/>
                <w:szCs w:val="18"/>
                <w:color w:val="auto"/>
                <w:w w:val="92"/>
              </w:rPr>
              <w:t>President, Chief Executive Officer</w:t>
            </w:r>
          </w:p>
        </w:tc>
        <w:tc>
          <w:tcPr>
            <w:tcW w:w="1900" w:type="dxa"/>
            <w:vAlign w:val="bottom"/>
            <w:vMerge w:val="restart"/>
          </w:tcPr>
          <w:p>
            <w:pPr>
              <w:jc w:val="center"/>
              <w:ind w:left="810"/>
              <w:spacing w:after="0"/>
              <w:rPr>
                <w:sz w:val="20"/>
                <w:szCs w:val="20"/>
                <w:color w:val="auto"/>
              </w:rPr>
            </w:pPr>
            <w:r>
              <w:rPr>
                <w:rFonts w:ascii="Arial" w:cs="Arial" w:eastAsia="Arial" w:hAnsi="Arial"/>
                <w:sz w:val="18"/>
                <w:szCs w:val="18"/>
                <w:color w:val="auto"/>
                <w:w w:val="87"/>
              </w:rPr>
              <w:t>June 21, 2019</w:t>
            </w:r>
          </w:p>
        </w:tc>
        <w:tc>
          <w:tcPr>
            <w:tcW w:w="0" w:type="dxa"/>
            <w:vAlign w:val="bottom"/>
          </w:tcPr>
          <w:p>
            <w:pPr>
              <w:spacing w:after="0"/>
              <w:rPr>
                <w:sz w:val="1"/>
                <w:szCs w:val="1"/>
                <w:color w:val="auto"/>
              </w:rPr>
            </w:pPr>
          </w:p>
        </w:tc>
      </w:tr>
      <w:tr>
        <w:trPr>
          <w:trHeight w:val="88"/>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85"/>
              </w:rPr>
              <w:t>Joseph E. Payne</w:t>
            </w:r>
          </w:p>
        </w:tc>
        <w:tc>
          <w:tcPr>
            <w:tcW w:w="5920" w:type="dxa"/>
            <w:vAlign w:val="bottom"/>
            <w:vMerge w:val="restart"/>
          </w:tcPr>
          <w:p>
            <w:pPr>
              <w:jc w:val="center"/>
              <w:ind w:left="35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40" w:type="dxa"/>
            <w:vAlign w:val="bottom"/>
            <w:vMerge w:val="continue"/>
          </w:tcPr>
          <w:p>
            <w:pPr>
              <w:spacing w:after="0"/>
              <w:rPr>
                <w:sz w:val="11"/>
                <w:szCs w:val="11"/>
                <w:color w:val="auto"/>
              </w:rPr>
            </w:pPr>
          </w:p>
        </w:tc>
        <w:tc>
          <w:tcPr>
            <w:tcW w:w="5920" w:type="dxa"/>
            <w:vAlign w:val="bottom"/>
            <w:vMerge w:val="continue"/>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Padmanabh Chivukula</w:t>
            </w:r>
          </w:p>
        </w:tc>
        <w:tc>
          <w:tcPr>
            <w:tcW w:w="5920" w:type="dxa"/>
            <w:vAlign w:val="bottom"/>
          </w:tcPr>
          <w:p>
            <w:pPr>
              <w:jc w:val="center"/>
              <w:ind w:left="370"/>
              <w:spacing w:after="0"/>
              <w:rPr>
                <w:sz w:val="20"/>
                <w:szCs w:val="20"/>
                <w:color w:val="auto"/>
              </w:rPr>
            </w:pPr>
            <w:r>
              <w:rPr>
                <w:rFonts w:ascii="Arial" w:cs="Arial" w:eastAsia="Arial" w:hAnsi="Arial"/>
                <w:sz w:val="18"/>
                <w:szCs w:val="18"/>
                <w:color w:val="auto"/>
                <w:w w:val="95"/>
              </w:rPr>
              <w:t>Chief Scientific Officer,</w:t>
            </w:r>
          </w:p>
        </w:tc>
        <w:tc>
          <w:tcPr>
            <w:tcW w:w="1900" w:type="dxa"/>
            <w:vAlign w:val="bottom"/>
            <w:vMerge w:val="restart"/>
          </w:tcPr>
          <w:p>
            <w:pPr>
              <w:jc w:val="center"/>
              <w:ind w:left="810"/>
              <w:spacing w:after="0"/>
              <w:rPr>
                <w:sz w:val="20"/>
                <w:szCs w:val="20"/>
                <w:color w:val="auto"/>
              </w:rPr>
            </w:pPr>
            <w:r>
              <w:rPr>
                <w:rFonts w:ascii="Arial" w:cs="Arial" w:eastAsia="Arial" w:hAnsi="Arial"/>
                <w:sz w:val="18"/>
                <w:szCs w:val="18"/>
                <w:color w:val="auto"/>
                <w:w w:val="87"/>
              </w:rPr>
              <w:t>June 21, 2019</w:t>
            </w:r>
          </w:p>
        </w:tc>
        <w:tc>
          <w:tcPr>
            <w:tcW w:w="0" w:type="dxa"/>
            <w:vAlign w:val="bottom"/>
          </w:tcPr>
          <w:p>
            <w:pPr>
              <w:spacing w:after="0"/>
              <w:rPr>
                <w:sz w:val="1"/>
                <w:szCs w:val="1"/>
                <w:color w:val="auto"/>
              </w:rPr>
            </w:pPr>
          </w:p>
        </w:tc>
      </w:tr>
      <w:tr>
        <w:trPr>
          <w:trHeight w:val="88"/>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1"/>
              </w:rPr>
              <w:t>Dr. Padmanabh Chivukula</w:t>
            </w:r>
          </w:p>
        </w:tc>
        <w:tc>
          <w:tcPr>
            <w:tcW w:w="5920" w:type="dxa"/>
            <w:vAlign w:val="bottom"/>
            <w:vMerge w:val="restart"/>
          </w:tcPr>
          <w:p>
            <w:pPr>
              <w:jc w:val="center"/>
              <w:ind w:left="350"/>
              <w:spacing w:after="0"/>
              <w:rPr>
                <w:sz w:val="20"/>
                <w:szCs w:val="20"/>
                <w:color w:val="auto"/>
              </w:rPr>
            </w:pPr>
            <w:r>
              <w:rPr>
                <w:rFonts w:ascii="Arial" w:cs="Arial" w:eastAsia="Arial" w:hAnsi="Arial"/>
                <w:sz w:val="18"/>
                <w:szCs w:val="18"/>
                <w:color w:val="auto"/>
                <w:w w:val="91"/>
              </w:rPr>
              <w:t>Chief Operating Officer and Secretary</w:t>
            </w: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40" w:type="dxa"/>
            <w:vAlign w:val="bottom"/>
            <w:vMerge w:val="continue"/>
          </w:tcPr>
          <w:p>
            <w:pPr>
              <w:spacing w:after="0"/>
              <w:rPr>
                <w:sz w:val="11"/>
                <w:szCs w:val="11"/>
                <w:color w:val="auto"/>
              </w:rPr>
            </w:pPr>
          </w:p>
        </w:tc>
        <w:tc>
          <w:tcPr>
            <w:tcW w:w="5920" w:type="dxa"/>
            <w:vAlign w:val="bottom"/>
            <w:vMerge w:val="continue"/>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Ferrell</w:t>
            </w:r>
          </w:p>
        </w:tc>
        <w:tc>
          <w:tcPr>
            <w:tcW w:w="5920" w:type="dxa"/>
            <w:vAlign w:val="bottom"/>
            <w:vMerge w:val="restart"/>
          </w:tcPr>
          <w:p>
            <w:pPr>
              <w:jc w:val="center"/>
              <w:ind w:left="370"/>
              <w:spacing w:after="0"/>
              <w:rPr>
                <w:sz w:val="20"/>
                <w:szCs w:val="20"/>
                <w:color w:val="auto"/>
              </w:rPr>
            </w:pPr>
            <w:r>
              <w:rPr>
                <w:rFonts w:ascii="Arial" w:cs="Arial" w:eastAsia="Arial" w:hAnsi="Arial"/>
                <w:sz w:val="18"/>
                <w:szCs w:val="18"/>
                <w:color w:val="auto"/>
                <w:w w:val="91"/>
              </w:rPr>
              <w:t>Chairman of the Board</w:t>
            </w:r>
          </w:p>
        </w:tc>
        <w:tc>
          <w:tcPr>
            <w:tcW w:w="1900" w:type="dxa"/>
            <w:vAlign w:val="bottom"/>
            <w:vMerge w:val="restart"/>
          </w:tcPr>
          <w:p>
            <w:pPr>
              <w:jc w:val="center"/>
              <w:ind w:left="810"/>
              <w:spacing w:after="0"/>
              <w:rPr>
                <w:sz w:val="20"/>
                <w:szCs w:val="20"/>
                <w:color w:val="auto"/>
              </w:rPr>
            </w:pPr>
            <w:r>
              <w:rPr>
                <w:rFonts w:ascii="Arial" w:cs="Arial" w:eastAsia="Arial" w:hAnsi="Arial"/>
                <w:sz w:val="18"/>
                <w:szCs w:val="18"/>
                <w:color w:val="auto"/>
                <w:w w:val="87"/>
              </w:rPr>
              <w:t>June 21, 2019</w:t>
            </w:r>
          </w:p>
        </w:tc>
        <w:tc>
          <w:tcPr>
            <w:tcW w:w="0" w:type="dxa"/>
            <w:vAlign w:val="bottom"/>
          </w:tcPr>
          <w:p>
            <w:pPr>
              <w:spacing w:after="0"/>
              <w:rPr>
                <w:sz w:val="1"/>
                <w:szCs w:val="1"/>
                <w:color w:val="auto"/>
              </w:rPr>
            </w:pPr>
          </w:p>
        </w:tc>
      </w:tr>
      <w:tr>
        <w:trPr>
          <w:trHeight w:val="88"/>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0"/>
              </w:rPr>
              <w:t>Dr. Peter Farrell</w:t>
            </w:r>
          </w:p>
        </w:tc>
        <w:tc>
          <w:tcPr>
            <w:tcW w:w="592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40" w:type="dxa"/>
            <w:vAlign w:val="bottom"/>
            <w:vMerge w:val="continue"/>
          </w:tcPr>
          <w:p>
            <w:pPr>
              <w:spacing w:after="0"/>
              <w:rPr>
                <w:sz w:val="11"/>
                <w:szCs w:val="11"/>
                <w:color w:val="auto"/>
              </w:rPr>
            </w:pPr>
          </w:p>
        </w:tc>
        <w:tc>
          <w:tcPr>
            <w:tcW w:w="59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Andrew Sassine</w:t>
            </w:r>
          </w:p>
        </w:tc>
        <w:tc>
          <w:tcPr>
            <w:tcW w:w="5920" w:type="dxa"/>
            <w:vAlign w:val="bottom"/>
          </w:tcPr>
          <w:p>
            <w:pPr>
              <w:jc w:val="center"/>
              <w:ind w:left="350"/>
              <w:spacing w:after="0"/>
              <w:rPr>
                <w:sz w:val="20"/>
                <w:szCs w:val="20"/>
                <w:color w:val="auto"/>
              </w:rPr>
            </w:pPr>
            <w:r>
              <w:rPr>
                <w:rFonts w:ascii="Arial" w:cs="Arial" w:eastAsia="Arial" w:hAnsi="Arial"/>
                <w:sz w:val="18"/>
                <w:szCs w:val="18"/>
                <w:color w:val="auto"/>
                <w:w w:val="94"/>
              </w:rPr>
              <w:t>Chief Financial Officer</w:t>
            </w:r>
          </w:p>
        </w:tc>
        <w:tc>
          <w:tcPr>
            <w:tcW w:w="1900" w:type="dxa"/>
            <w:vAlign w:val="bottom"/>
            <w:vMerge w:val="restart"/>
          </w:tcPr>
          <w:p>
            <w:pPr>
              <w:jc w:val="center"/>
              <w:ind w:left="810"/>
              <w:spacing w:after="0"/>
              <w:rPr>
                <w:sz w:val="20"/>
                <w:szCs w:val="20"/>
                <w:color w:val="auto"/>
              </w:rPr>
            </w:pPr>
            <w:r>
              <w:rPr>
                <w:rFonts w:ascii="Arial" w:cs="Arial" w:eastAsia="Arial" w:hAnsi="Arial"/>
                <w:sz w:val="18"/>
                <w:szCs w:val="18"/>
                <w:color w:val="auto"/>
                <w:w w:val="87"/>
              </w:rPr>
              <w:t>June 21, 2019</w:t>
            </w:r>
          </w:p>
        </w:tc>
        <w:tc>
          <w:tcPr>
            <w:tcW w:w="0" w:type="dxa"/>
            <w:vAlign w:val="bottom"/>
          </w:tcPr>
          <w:p>
            <w:pPr>
              <w:spacing w:after="0"/>
              <w:rPr>
                <w:sz w:val="1"/>
                <w:szCs w:val="1"/>
                <w:color w:val="auto"/>
              </w:rPr>
            </w:pPr>
          </w:p>
        </w:tc>
      </w:tr>
      <w:tr>
        <w:trPr>
          <w:trHeight w:val="88"/>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89"/>
              </w:rPr>
              <w:t>Andrew Sassine</w:t>
            </w:r>
          </w:p>
        </w:tc>
        <w:tc>
          <w:tcPr>
            <w:tcW w:w="5920" w:type="dxa"/>
            <w:vAlign w:val="bottom"/>
            <w:vMerge w:val="restart"/>
          </w:tcPr>
          <w:p>
            <w:pPr>
              <w:jc w:val="center"/>
              <w:ind w:left="37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40" w:type="dxa"/>
            <w:vAlign w:val="bottom"/>
            <w:vMerge w:val="continue"/>
          </w:tcPr>
          <w:p>
            <w:pPr>
              <w:spacing w:after="0"/>
              <w:rPr>
                <w:sz w:val="11"/>
                <w:szCs w:val="11"/>
                <w:color w:val="auto"/>
              </w:rPr>
            </w:pPr>
          </w:p>
        </w:tc>
        <w:tc>
          <w:tcPr>
            <w:tcW w:w="5920" w:type="dxa"/>
            <w:vAlign w:val="bottom"/>
            <w:vMerge w:val="continue"/>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Magda Marquet</w:t>
            </w:r>
          </w:p>
        </w:tc>
        <w:tc>
          <w:tcPr>
            <w:tcW w:w="5920" w:type="dxa"/>
            <w:vAlign w:val="bottom"/>
            <w:vMerge w:val="restart"/>
          </w:tcPr>
          <w:p>
            <w:pPr>
              <w:jc w:val="center"/>
              <w:ind w:left="350"/>
              <w:spacing w:after="0"/>
              <w:rPr>
                <w:sz w:val="20"/>
                <w:szCs w:val="20"/>
                <w:color w:val="auto"/>
              </w:rPr>
            </w:pPr>
            <w:r>
              <w:rPr>
                <w:rFonts w:ascii="Arial" w:cs="Arial" w:eastAsia="Arial" w:hAnsi="Arial"/>
                <w:sz w:val="18"/>
                <w:szCs w:val="18"/>
                <w:color w:val="auto"/>
                <w:w w:val="95"/>
              </w:rPr>
              <w:t>Director</w:t>
            </w:r>
          </w:p>
        </w:tc>
        <w:tc>
          <w:tcPr>
            <w:tcW w:w="1900" w:type="dxa"/>
            <w:vAlign w:val="bottom"/>
            <w:vMerge w:val="restart"/>
          </w:tcPr>
          <w:p>
            <w:pPr>
              <w:jc w:val="center"/>
              <w:ind w:left="810"/>
              <w:spacing w:after="0"/>
              <w:rPr>
                <w:sz w:val="20"/>
                <w:szCs w:val="20"/>
                <w:color w:val="auto"/>
              </w:rPr>
            </w:pPr>
            <w:r>
              <w:rPr>
                <w:rFonts w:ascii="Arial" w:cs="Arial" w:eastAsia="Arial" w:hAnsi="Arial"/>
                <w:sz w:val="18"/>
                <w:szCs w:val="18"/>
                <w:color w:val="auto"/>
                <w:w w:val="87"/>
              </w:rPr>
              <w:t>June 21, 2019</w:t>
            </w:r>
          </w:p>
        </w:tc>
        <w:tc>
          <w:tcPr>
            <w:tcW w:w="0" w:type="dxa"/>
            <w:vAlign w:val="bottom"/>
          </w:tcPr>
          <w:p>
            <w:pPr>
              <w:spacing w:after="0"/>
              <w:rPr>
                <w:sz w:val="1"/>
                <w:szCs w:val="1"/>
                <w:color w:val="auto"/>
              </w:rPr>
            </w:pPr>
          </w:p>
        </w:tc>
      </w:tr>
      <w:tr>
        <w:trPr>
          <w:trHeight w:val="88"/>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2"/>
              </w:rPr>
              <w:t>Dr. Magda Marquet</w:t>
            </w:r>
          </w:p>
        </w:tc>
        <w:tc>
          <w:tcPr>
            <w:tcW w:w="592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40" w:type="dxa"/>
            <w:vAlign w:val="bottom"/>
            <w:vMerge w:val="continue"/>
          </w:tcPr>
          <w:p>
            <w:pPr>
              <w:spacing w:after="0"/>
              <w:rPr>
                <w:sz w:val="11"/>
                <w:szCs w:val="11"/>
                <w:color w:val="auto"/>
              </w:rPr>
            </w:pPr>
          </w:p>
        </w:tc>
        <w:tc>
          <w:tcPr>
            <w:tcW w:w="59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Barlow</w:t>
            </w:r>
          </w:p>
        </w:tc>
        <w:tc>
          <w:tcPr>
            <w:tcW w:w="5920" w:type="dxa"/>
            <w:vAlign w:val="bottom"/>
            <w:vMerge w:val="restart"/>
          </w:tcPr>
          <w:p>
            <w:pPr>
              <w:jc w:val="center"/>
              <w:ind w:left="350"/>
              <w:spacing w:after="0"/>
              <w:rPr>
                <w:sz w:val="20"/>
                <w:szCs w:val="20"/>
                <w:color w:val="auto"/>
              </w:rPr>
            </w:pPr>
            <w:r>
              <w:rPr>
                <w:rFonts w:ascii="Arial" w:cs="Arial" w:eastAsia="Arial" w:hAnsi="Arial"/>
                <w:sz w:val="18"/>
                <w:szCs w:val="18"/>
                <w:color w:val="auto"/>
                <w:w w:val="95"/>
              </w:rPr>
              <w:t>Director</w:t>
            </w:r>
          </w:p>
        </w:tc>
        <w:tc>
          <w:tcPr>
            <w:tcW w:w="1900" w:type="dxa"/>
            <w:vAlign w:val="bottom"/>
            <w:vMerge w:val="restart"/>
          </w:tcPr>
          <w:p>
            <w:pPr>
              <w:jc w:val="center"/>
              <w:ind w:left="810"/>
              <w:spacing w:after="0"/>
              <w:rPr>
                <w:sz w:val="20"/>
                <w:szCs w:val="20"/>
                <w:color w:val="auto"/>
              </w:rPr>
            </w:pPr>
            <w:r>
              <w:rPr>
                <w:rFonts w:ascii="Arial" w:cs="Arial" w:eastAsia="Arial" w:hAnsi="Arial"/>
                <w:sz w:val="18"/>
                <w:szCs w:val="18"/>
                <w:color w:val="auto"/>
                <w:w w:val="87"/>
              </w:rPr>
              <w:t>June 21, 2019</w:t>
            </w:r>
          </w:p>
        </w:tc>
        <w:tc>
          <w:tcPr>
            <w:tcW w:w="0" w:type="dxa"/>
            <w:vAlign w:val="bottom"/>
          </w:tcPr>
          <w:p>
            <w:pPr>
              <w:spacing w:after="0"/>
              <w:rPr>
                <w:sz w:val="1"/>
                <w:szCs w:val="1"/>
                <w:color w:val="auto"/>
              </w:rPr>
            </w:pPr>
          </w:p>
        </w:tc>
      </w:tr>
      <w:tr>
        <w:trPr>
          <w:trHeight w:val="88"/>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88"/>
              </w:rPr>
              <w:t>James Barlow</w:t>
            </w:r>
          </w:p>
        </w:tc>
        <w:tc>
          <w:tcPr>
            <w:tcW w:w="592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40" w:type="dxa"/>
            <w:vAlign w:val="bottom"/>
            <w:vMerge w:val="continue"/>
          </w:tcPr>
          <w:p>
            <w:pPr>
              <w:spacing w:after="0"/>
              <w:rPr>
                <w:sz w:val="11"/>
                <w:szCs w:val="11"/>
                <w:color w:val="auto"/>
              </w:rPr>
            </w:pPr>
          </w:p>
        </w:tc>
        <w:tc>
          <w:tcPr>
            <w:tcW w:w="59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Karah Parschauer</w:t>
            </w:r>
          </w:p>
        </w:tc>
        <w:tc>
          <w:tcPr>
            <w:tcW w:w="5920" w:type="dxa"/>
            <w:vAlign w:val="bottom"/>
            <w:vMerge w:val="restart"/>
          </w:tcPr>
          <w:p>
            <w:pPr>
              <w:jc w:val="center"/>
              <w:ind w:left="350"/>
              <w:spacing w:after="0"/>
              <w:rPr>
                <w:sz w:val="20"/>
                <w:szCs w:val="20"/>
                <w:color w:val="auto"/>
              </w:rPr>
            </w:pPr>
            <w:r>
              <w:rPr>
                <w:rFonts w:ascii="Arial" w:cs="Arial" w:eastAsia="Arial" w:hAnsi="Arial"/>
                <w:sz w:val="18"/>
                <w:szCs w:val="18"/>
                <w:color w:val="auto"/>
                <w:w w:val="95"/>
              </w:rPr>
              <w:t>Director</w:t>
            </w:r>
          </w:p>
        </w:tc>
        <w:tc>
          <w:tcPr>
            <w:tcW w:w="1900" w:type="dxa"/>
            <w:vAlign w:val="bottom"/>
            <w:vMerge w:val="restart"/>
          </w:tcPr>
          <w:p>
            <w:pPr>
              <w:ind w:left="860"/>
              <w:spacing w:after="0"/>
              <w:rPr>
                <w:sz w:val="20"/>
                <w:szCs w:val="20"/>
                <w:color w:val="auto"/>
              </w:rPr>
            </w:pPr>
            <w:r>
              <w:rPr>
                <w:rFonts w:ascii="Arial" w:cs="Arial" w:eastAsia="Arial" w:hAnsi="Arial"/>
                <w:sz w:val="18"/>
                <w:szCs w:val="18"/>
                <w:color w:val="auto"/>
                <w:w w:val="89"/>
              </w:rPr>
              <w:t>June 21, 2019</w:t>
            </w:r>
          </w:p>
        </w:tc>
        <w:tc>
          <w:tcPr>
            <w:tcW w:w="0" w:type="dxa"/>
            <w:vAlign w:val="bottom"/>
          </w:tcPr>
          <w:p>
            <w:pPr>
              <w:spacing w:after="0"/>
              <w:rPr>
                <w:sz w:val="1"/>
                <w:szCs w:val="1"/>
                <w:color w:val="auto"/>
              </w:rPr>
            </w:pPr>
          </w:p>
        </w:tc>
      </w:tr>
      <w:tr>
        <w:trPr>
          <w:trHeight w:val="88"/>
        </w:trPr>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88"/>
              </w:rPr>
              <w:t>Karah Parschauer</w:t>
            </w:r>
          </w:p>
        </w:tc>
        <w:tc>
          <w:tcPr>
            <w:tcW w:w="592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240" w:type="dxa"/>
            <w:vAlign w:val="bottom"/>
            <w:vMerge w:val="continue"/>
          </w:tcPr>
          <w:p>
            <w:pPr>
              <w:spacing w:after="0"/>
              <w:rPr>
                <w:sz w:val="11"/>
                <w:szCs w:val="11"/>
                <w:color w:val="auto"/>
              </w:rPr>
            </w:pPr>
          </w:p>
        </w:tc>
        <w:tc>
          <w:tcPr>
            <w:tcW w:w="59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Keith Kummerfeld</w:t>
            </w:r>
          </w:p>
        </w:tc>
        <w:tc>
          <w:tcPr>
            <w:tcW w:w="5920" w:type="dxa"/>
            <w:vAlign w:val="bottom"/>
          </w:tcPr>
          <w:p>
            <w:pPr>
              <w:jc w:val="center"/>
              <w:ind w:left="430"/>
              <w:spacing w:after="0"/>
              <w:rPr>
                <w:sz w:val="20"/>
                <w:szCs w:val="20"/>
                <w:color w:val="auto"/>
              </w:rPr>
            </w:pPr>
            <w:r>
              <w:rPr>
                <w:rFonts w:ascii="Arial" w:cs="Arial" w:eastAsia="Arial" w:hAnsi="Arial"/>
                <w:sz w:val="18"/>
                <w:szCs w:val="18"/>
                <w:color w:val="auto"/>
                <w:w w:val="91"/>
              </w:rPr>
              <w:t>Vice President of Finance and Corporate Controller</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240" w:type="dxa"/>
            <w:vAlign w:val="bottom"/>
          </w:tcPr>
          <w:p>
            <w:pPr>
              <w:jc w:val="center"/>
              <w:spacing w:after="0"/>
              <w:rPr>
                <w:sz w:val="20"/>
                <w:szCs w:val="20"/>
                <w:color w:val="auto"/>
              </w:rPr>
            </w:pPr>
            <w:r>
              <w:rPr>
                <w:rFonts w:ascii="Arial" w:cs="Arial" w:eastAsia="Arial" w:hAnsi="Arial"/>
                <w:sz w:val="18"/>
                <w:szCs w:val="18"/>
                <w:color w:val="auto"/>
                <w:w w:val="93"/>
              </w:rPr>
              <w:t>Keith C. Kummerfeld</w:t>
            </w:r>
          </w:p>
        </w:tc>
        <w:tc>
          <w:tcPr>
            <w:tcW w:w="5920" w:type="dxa"/>
            <w:vAlign w:val="bottom"/>
          </w:tcPr>
          <w:p>
            <w:pPr>
              <w:jc w:val="center"/>
              <w:ind w:left="450"/>
              <w:spacing w:after="0"/>
              <w:rPr>
                <w:sz w:val="20"/>
                <w:szCs w:val="20"/>
                <w:color w:val="auto"/>
              </w:rPr>
            </w:pPr>
            <w:r>
              <w:rPr>
                <w:rFonts w:ascii="Arial" w:cs="Arial" w:eastAsia="Arial" w:hAnsi="Arial"/>
                <w:sz w:val="18"/>
                <w:szCs w:val="18"/>
                <w:i w:val="1"/>
                <w:iCs w:val="1"/>
                <w:color w:val="auto"/>
                <w:w w:val="95"/>
              </w:rPr>
              <w:t>(principal accounting officer)</w:t>
            </w:r>
          </w:p>
        </w:tc>
        <w:tc>
          <w:tcPr>
            <w:tcW w:w="1900" w:type="dxa"/>
            <w:vAlign w:val="bottom"/>
          </w:tcPr>
          <w:p>
            <w:pPr>
              <w:jc w:val="center"/>
              <w:ind w:left="810"/>
              <w:spacing w:after="0"/>
              <w:rPr>
                <w:sz w:val="20"/>
                <w:szCs w:val="20"/>
                <w:color w:val="auto"/>
              </w:rPr>
            </w:pPr>
            <w:r>
              <w:rPr>
                <w:rFonts w:ascii="Arial" w:cs="Arial" w:eastAsia="Arial" w:hAnsi="Arial"/>
                <w:sz w:val="18"/>
                <w:szCs w:val="18"/>
                <w:color w:val="auto"/>
                <w:w w:val="87"/>
              </w:rPr>
              <w:t>June 21, 2019</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1"/>
          <w:szCs w:val="11"/>
          <w:color w:val="auto"/>
        </w:rPr>
        <w:t>112623057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II-28</w:t>
      </w:r>
    </w:p>
    <w:p>
      <w:pPr>
        <w:sectPr>
          <w:pgSz w:w="11900" w:h="16838" w:orient="portrait"/>
          <w:cols w:equalWidth="0" w:num="1">
            <w:col w:w="11380"/>
          </w:cols>
          <w:pgMar w:left="240" w:top="337" w:right="2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Consent of Independent Registered Public Accounting Firm</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333333"/>
        </w:rPr>
        <w:t>We consent to the reference to our firm under the caption "Experts" in the Registration Statement (Form S-3) and related Prospectus of Arcturus Therapeutics Holdings Inc. for the registration of common stock, preferred stock, debt securities, warrants and/or units and to the incorporation by reference therein of our report dated March 15, 2019, with respect to the consolidated financial statements of Arcturus Therapeutics Ltd. included in its Annual Report (Form 10-K) for the year ended December 31, 2018,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33333"/>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333333"/>
        </w:rPr>
        <w:t>June 21, 2019</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ACCOUNTING FIRM</w:t>
      </w:r>
    </w:p>
    <w:p>
      <w:pPr>
        <w:spacing w:after="0" w:line="229"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S-3) of Arcturus Therapeutics Holdings Inc. and to the incorporation by reference therein of our report dated May 14, 2018, with respect to the consolidated financial statements of Arcturus Therapeutics Ltd. included in its Annual Report (Form 10-K) for the year ended December 31, 2018, filed with the Securities and Exchange Commission.</w:t>
      </w:r>
    </w:p>
    <w:p>
      <w:pPr>
        <w:sectPr>
          <w:pgSz w:w="11900" w:h="16838" w:orient="portrait"/>
          <w:cols w:equalWidth="0" w:num="1">
            <w:col w:w="11420"/>
          </w:cols>
          <w:pgMar w:left="240" w:top="121" w:right="23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June 21, 2019</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KOST FORER GABBAY &amp; KASIERER</w:t>
      </w:r>
    </w:p>
    <w:p>
      <w:pPr>
        <w:spacing w:after="0" w:line="3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A member of Ernst &amp; Young global</w:t>
      </w:r>
    </w:p>
    <w:sectPr>
      <w:pgSz w:w="11900" w:h="16838" w:orient="portrait"/>
      <w:cols w:equalWidth="0" w:num="2">
        <w:col w:w="6360" w:space="720"/>
        <w:col w:w="434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lvl w:ilvl="1">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lvl w:ilvl="1">
      <w:lvlJc w:val="left"/>
      <w:lvlText w:val="**"/>
      <w:numFmt w:val="bullet"/>
      <w:start w:val="1"/>
    </w:lvl>
  </w:abstractNum>
  <w:abstractNum w:abstractNumId="26">
    <w:nsid w:val="3A95F874"/>
    <w:multiLevelType w:val="hybridMultilevel"/>
    <w:lvl w:ilvl="0">
      <w:lvlJc w:val="left"/>
      <w:lvlText w:val="(%1)"/>
      <w:numFmt w:val="decimal"/>
      <w:start w:val="2"/>
    </w:lvl>
  </w:abstractNum>
  <w:abstractNum w:abstractNumId="27">
    <w:nsid w:val="813864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1E7FF521"/>
    <w:multiLevelType w:val="hybridMultilevel"/>
    <w:lvl w:ilvl="0">
      <w:lvlJc w:val="left"/>
      <w:lvlText w:val="(%1)"/>
      <w:numFmt w:val="lowerRoman"/>
      <w:start w:val="3"/>
    </w:lvl>
  </w:abstractNum>
  <w:abstractNum w:abstractNumId="29">
    <w:nsid w:val="7C3DBD3D"/>
    <w:multiLevelType w:val="hybridMultilevel"/>
    <w:lvl w:ilvl="0">
      <w:lvlJc w:val="left"/>
      <w:lvlText w:val="(%1)"/>
      <w:numFmt w:val="decimal"/>
      <w:start w:val="2"/>
    </w:lvl>
    <w:lvl w:ilvl="1">
      <w:lvlJc w:val="left"/>
      <w:lvlText w:val="(%2)"/>
      <w:numFmt w:val="lowerRoman"/>
      <w:start w:val="1"/>
    </w:lvl>
  </w:abstractNum>
  <w:abstractNum w:abstractNumId="30">
    <w:nsid w:val="737B8DDC"/>
    <w:multiLevelType w:val="hybridMultilevel"/>
    <w:lvl w:ilvl="0">
      <w:lvlJc w:val="left"/>
      <w:lvlText w:val="(%1)"/>
      <w:numFmt w:val="lowerLetter"/>
      <w:start w:val="2"/>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jpe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43" Type="http://schemas.openxmlformats.org/officeDocument/2006/relationships/hyperlink" Target="http://www.sec.gov/Archives/edgar/data/0001566049/000156459019008092/arct-10k_20181231.htm" TargetMode="External"/><Relationship Id="rId44" Type="http://schemas.openxmlformats.org/officeDocument/2006/relationships/hyperlink" Target="http://www.sec.gov/Archives/edgar/data/0001566049/000156459019011220/arct-10ka_20181231.htm" TargetMode="External"/><Relationship Id="rId45" Type="http://schemas.openxmlformats.org/officeDocument/2006/relationships/hyperlink" Target="http://www.sec.gov/Archives/edgar/data/0001566049/000156459019018656/arct-10q_20190331.htm" TargetMode="External"/><Relationship Id="rId46" Type="http://schemas.openxmlformats.org/officeDocument/2006/relationships/hyperlink" Target="http://www.sec.gov/Archives/edgar/data/0001566049/000156459019008354/arct-8k_20190318.htm" TargetMode="External"/><Relationship Id="rId47" Type="http://schemas.openxmlformats.org/officeDocument/2006/relationships/hyperlink" Target="http://www.sec.gov/Archives/edgar/data/0001566049/000156459019018889/arct-8k_20190513.htm" TargetMode="External"/><Relationship Id="rId48" Type="http://schemas.openxmlformats.org/officeDocument/2006/relationships/hyperlink" Target="http://www.sec.gov/Archives/edgar/data/0001566049/000156459019019850/arct-8k_20190520.htm" TargetMode="External"/><Relationship Id="rId49" Type="http://schemas.openxmlformats.org/officeDocument/2006/relationships/hyperlink" Target="http://www.sec.gov/Archives/edgar/data/1768224/000119312519173808/0001193125-19-173808-index.htm" TargetMode="External"/><Relationship Id="rId50" Type="http://schemas.openxmlformats.org/officeDocument/2006/relationships/hyperlink" Target="http://www.sec.gov/Archives/edgar/data/0001768224/000119312519176112/d754519d8k.htm" TargetMode="External"/><Relationship Id="rId51" Type="http://schemas.openxmlformats.org/officeDocument/2006/relationships/hyperlink" Target="http://www.sec.gov/Archives/edgar/data/0001768224/000119312519176908/d721252d8k.htm" TargetMode="External"/><Relationship Id="rId52" Type="http://schemas.openxmlformats.org/officeDocument/2006/relationships/hyperlink" Target="http://www.sec.gov/Archives/edgar/data/0001566049/000114420413030169/v345563_8a12b.htm" TargetMode="External"/><Relationship Id="rId53" Type="http://schemas.openxmlformats.org/officeDocument/2006/relationships/hyperlink" Target="http://www.sec.gov/Archives/edgar/data/0001768224/000119312519173808/d826633d8k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2019-12-01T14:13:36Z</dcterms:created>
  <dcterms:modified xsi:type="dcterms:W3CDTF">2019-12-01T14:13:36Z</dcterms:modified>
</cp:coreProperties>
</file>