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8"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4)</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Alcobra Ltd.</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Ordinary Shares, par value of NIS 0.01</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(Title of Class of Securities)</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M2239P 10 9</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AMIR EFRATI</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EXODUS CAPITAL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11 Menachem Begin Rd.</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Ramat-Gan, Israel 5268104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+972-77-3206050</w:t>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STEVE WOLOSKY, ESQ.</w:t>
      </w:r>
    </w:p>
    <w:p>
      <w:pPr>
        <w:jc w:val="center"/>
        <w:ind w:right="-159"/>
        <w:spacing w:after="0" w:line="238" w:lineRule="auto"/>
        <w:rPr>
          <w:sz w:val="20"/>
          <w:szCs w:val="20"/>
          <w:color w:val="auto"/>
        </w:rPr>
      </w:pPr>
      <w:r>
        <w:rPr>
          <w:rFonts w:ascii="Arial" w:cs="Arial" w:eastAsia="Arial" w:hAnsi="Arial"/>
          <w:sz w:val="22"/>
          <w:szCs w:val="22"/>
          <w:color w:val="auto"/>
        </w:rPr>
        <w:t>OLSHAN FROME WOLOSKY LLP</w:t>
      </w:r>
    </w:p>
    <w:p>
      <w:pPr>
        <w:jc w:val="center"/>
        <w:ind w:right="-159"/>
        <w:spacing w:after="0" w:line="230" w:lineRule="auto"/>
        <w:rPr>
          <w:sz w:val="20"/>
          <w:szCs w:val="20"/>
          <w:color w:val="auto"/>
        </w:rPr>
      </w:pPr>
      <w:r>
        <w:rPr>
          <w:rFonts w:ascii="Arial" w:cs="Arial" w:eastAsia="Arial" w:hAnsi="Arial"/>
          <w:sz w:val="22"/>
          <w:szCs w:val="22"/>
          <w:color w:val="auto"/>
        </w:rPr>
        <w:t>1325 Avenue of the Americas</w:t>
      </w:r>
    </w:p>
    <w:p>
      <w:pPr>
        <w:jc w:val="center"/>
        <w:ind w:right="-159"/>
        <w:spacing w:after="0" w:line="231" w:lineRule="auto"/>
        <w:rPr>
          <w:sz w:val="20"/>
          <w:szCs w:val="20"/>
          <w:color w:val="auto"/>
        </w:rPr>
      </w:pPr>
      <w:r>
        <w:rPr>
          <w:rFonts w:ascii="Arial" w:cs="Arial" w:eastAsia="Arial" w:hAnsi="Arial"/>
          <w:sz w:val="22"/>
          <w:szCs w:val="22"/>
          <w:color w:val="auto"/>
        </w:rPr>
        <w:t>New York, New York 10019</w:t>
      </w:r>
    </w:p>
    <w:p>
      <w:pPr>
        <w:jc w:val="center"/>
        <w:ind w:right="-159"/>
        <w:spacing w:after="0" w:line="231" w:lineRule="auto"/>
        <w:rPr>
          <w:sz w:val="20"/>
          <w:szCs w:val="20"/>
          <w:color w:val="auto"/>
        </w:rPr>
      </w:pPr>
      <w:r>
        <w:rPr>
          <w:rFonts w:ascii="Arial" w:cs="Arial" w:eastAsia="Arial" w:hAnsi="Arial"/>
          <w:sz w:val="22"/>
          <w:szCs w:val="22"/>
          <w:u w:val="single" w:color="auto"/>
          <w:color w:val="auto"/>
        </w:rPr>
        <w:t>(212) 451-2300</w:t>
      </w:r>
    </w:p>
    <w:p>
      <w:pPr>
        <w:jc w:val="center"/>
        <w:ind w:right="-159"/>
        <w:spacing w:after="0" w:line="230"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March 31, 2017</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Exodus Capital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2,664,738</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2,664,738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2,664,738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46"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7044055</wp:posOffset>
            </wp:positionH>
            <wp:positionV relativeFrom="page">
              <wp:posOffset>448945</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Exodus Management Israel Ltd.</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2,865,255</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2,865,255</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2,865,255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10.4%</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The Phoenix Holding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452,012</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452,012</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452,012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22"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Delek Group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452,012</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452,012</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452,012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22"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Itshak Sharon (Tshuva)</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452,012</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452,012</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452,012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22"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7044055</wp:posOffset>
            </wp:positionH>
            <wp:positionV relativeFrom="page">
              <wp:posOffset>534670</wp:posOffset>
            </wp:positionV>
            <wp:extent cx="360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Amir Efrati</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3,317,267</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3,317,267</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3,317,267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7" w:name="page8"/>
    <w:bookmarkEnd w:id="7"/>
    <w:p>
      <w:pPr>
        <w:jc w:val="both"/>
        <w:ind w:firstLine="1297"/>
        <w:spacing w:after="0" w:line="279" w:lineRule="auto"/>
        <w:rPr>
          <w:sz w:val="20"/>
          <w:szCs w:val="20"/>
          <w:color w:val="auto"/>
        </w:rPr>
      </w:pPr>
      <w:r>
        <w:rPr>
          <w:rFonts w:ascii="Arial" w:cs="Arial" w:eastAsia="Arial" w:hAnsi="Arial"/>
          <w:sz w:val="17"/>
          <w:szCs w:val="17"/>
          <w:color w:val="auto"/>
        </w:rPr>
        <w:t>The following constitutes Amendment No. 4 to the Schedule 13D filed by the undersigned (“Amendment No. 4”). This Amendment No. 4 amends the Schedule 13D as specifically set forth herein. Amendment No. 4 is being filed to reflect the removal of Brosh Capital L.P. and Brosh Funds Management Ltd. as Reporting Persons and the addition of The Phoenix Holding Ltd. (“Phoenix”), Delek Group Ltd. (“Delek”), and Itshak Sharon (Tshuva) (“Mr. Tshuva”) as Reporting Persons, due to the March 31, 2017 transactions as more fully described below.</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p>
    <w:p>
      <w:pPr>
        <w:spacing w:after="0" w:line="22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2 is hereby amended and restated to read as follows:</w:t>
      </w:r>
    </w:p>
    <w:p>
      <w:pPr>
        <w:spacing w:after="0" w:line="225" w:lineRule="exact"/>
        <w:rPr>
          <w:sz w:val="20"/>
          <w:szCs w:val="20"/>
          <w:color w:val="auto"/>
        </w:rPr>
      </w:pPr>
    </w:p>
    <w:p>
      <w:pPr>
        <w:ind w:left="1820" w:hanging="515"/>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statement is filed by:</w:t>
      </w:r>
    </w:p>
    <w:p>
      <w:pPr>
        <w:spacing w:after="0" w:line="225" w:lineRule="exact"/>
        <w:rPr>
          <w:sz w:val="20"/>
          <w:szCs w:val="20"/>
          <w:color w:val="auto"/>
        </w:rPr>
      </w:pPr>
    </w:p>
    <w:p>
      <w:pPr>
        <w:ind w:left="1940" w:hanging="622"/>
        <w:spacing w:after="0"/>
        <w:tabs>
          <w:tab w:leader="none" w:pos="1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Exodus Capital L.P., a Cayman Islands limited partnership (“Exodus”);</w:t>
      </w:r>
    </w:p>
    <w:p>
      <w:pPr>
        <w:spacing w:after="0" w:line="225" w:lineRule="exact"/>
        <w:rPr>
          <w:rFonts w:ascii="Arial" w:cs="Arial" w:eastAsia="Arial" w:hAnsi="Arial"/>
          <w:sz w:val="18"/>
          <w:szCs w:val="18"/>
          <w:color w:val="auto"/>
        </w:rPr>
      </w:pPr>
    </w:p>
    <w:p>
      <w:pPr>
        <w:ind w:left="1940" w:hanging="622"/>
        <w:spacing w:after="0" w:line="277" w:lineRule="auto"/>
        <w:tabs>
          <w:tab w:leader="none" w:pos="1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Exodus Management Israel Ltd., an Israeli corporation, which serves as the general partner of Exodus (“Exodus GP”) and as portfolio manager for a certain managed account (the “Exodus Managed Account”);</w:t>
      </w:r>
    </w:p>
    <w:p>
      <w:pPr>
        <w:spacing w:after="0" w:line="170" w:lineRule="exact"/>
        <w:rPr>
          <w:rFonts w:ascii="Arial" w:cs="Arial" w:eastAsia="Arial" w:hAnsi="Arial"/>
          <w:sz w:val="18"/>
          <w:szCs w:val="18"/>
          <w:color w:val="auto"/>
        </w:rPr>
      </w:pPr>
    </w:p>
    <w:p>
      <w:pPr>
        <w:jc w:val="both"/>
        <w:ind w:left="1940" w:hanging="622"/>
        <w:spacing w:after="0" w:line="286" w:lineRule="auto"/>
        <w:tabs>
          <w:tab w:leader="none" w:pos="1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Phoenix, an Israeli corporation, which is the direct or indirect, majority owner of certain subsidiaries that manage their own funds and/or the funds of others, including for holders of exchange-traded notes or various insurance policies, members of pension or provident funds, unit holders of mutual funds, and portfolio management clients (the “Subsidiaries”);</w:t>
      </w:r>
    </w:p>
    <w:p>
      <w:pPr>
        <w:spacing w:after="0" w:line="165" w:lineRule="exact"/>
        <w:rPr>
          <w:rFonts w:ascii="Arial" w:cs="Arial" w:eastAsia="Arial" w:hAnsi="Arial"/>
          <w:sz w:val="17"/>
          <w:szCs w:val="17"/>
          <w:color w:val="auto"/>
        </w:rPr>
      </w:pPr>
    </w:p>
    <w:p>
      <w:pPr>
        <w:ind w:left="1940" w:hanging="622"/>
        <w:spacing w:after="0"/>
        <w:tabs>
          <w:tab w:leader="none" w:pos="1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Delek, an Israeli corporation, which serves as the majority owner of Phoenix;</w:t>
      </w:r>
    </w:p>
    <w:p>
      <w:pPr>
        <w:spacing w:after="0" w:line="225" w:lineRule="exact"/>
        <w:rPr>
          <w:rFonts w:ascii="Arial" w:cs="Arial" w:eastAsia="Arial" w:hAnsi="Arial"/>
          <w:sz w:val="18"/>
          <w:szCs w:val="18"/>
          <w:color w:val="auto"/>
        </w:rPr>
      </w:pPr>
    </w:p>
    <w:p>
      <w:pPr>
        <w:ind w:left="1940" w:hanging="622"/>
        <w:spacing w:after="0"/>
        <w:tabs>
          <w:tab w:leader="none" w:pos="1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Tshuva, the majority owner of Delek’s outstanding share capital and voting rights; and</w:t>
      </w:r>
    </w:p>
    <w:p>
      <w:pPr>
        <w:spacing w:after="0" w:line="225" w:lineRule="exact"/>
        <w:rPr>
          <w:rFonts w:ascii="Arial" w:cs="Arial" w:eastAsia="Arial" w:hAnsi="Arial"/>
          <w:sz w:val="18"/>
          <w:szCs w:val="18"/>
          <w:color w:val="auto"/>
        </w:rPr>
      </w:pPr>
    </w:p>
    <w:p>
      <w:pPr>
        <w:ind w:left="1940" w:hanging="622"/>
        <w:spacing w:after="0"/>
        <w:tabs>
          <w:tab w:leader="none" w:pos="1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Amir Efrati, who serves as the portfolio manager of Exodus.</w:t>
      </w:r>
    </w:p>
    <w:p>
      <w:pPr>
        <w:spacing w:after="0" w:line="225"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124" w:lineRule="exact"/>
        <w:rPr>
          <w:sz w:val="20"/>
          <w:szCs w:val="20"/>
          <w:color w:val="auto"/>
        </w:rPr>
      </w:pPr>
    </w:p>
    <w:p>
      <w:pPr>
        <w:jc w:val="both"/>
        <w:ind w:firstLine="1305"/>
        <w:spacing w:after="0" w:line="255" w:lineRule="auto"/>
        <w:tabs>
          <w:tab w:leader="none" w:pos="182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of the principal office of each of Exodus, Exodus GP and Mr. Efrati is 11 Menachem Begin Rd., Ramat-Gan, Israel. The address of the principal office of Phoenix is Derech Hashalom 53, Givataim, 53454, Israel. The address of the principal office of each of Mr. Tshuva and Delek is 7 Giborei Israel Street, P.O.B. 8464, Netanya, 42504, Israel. The officers and directors of Exodus GP and each of their principal occupations and business addresses are set forth on Schedule A to the Schedule 13D and are incorporated by reference in this Item 2. The officers and directors of each of Phoenix and Delek and each of their principal occupations and business addresses are set forth on Schedule A to this Amendment No. 4 and are incorporated by reference in this Item 2.</w:t>
      </w:r>
    </w:p>
    <w:p>
      <w:pPr>
        <w:spacing w:after="0" w:line="193" w:lineRule="exact"/>
        <w:rPr>
          <w:rFonts w:ascii="Arial" w:cs="Arial" w:eastAsia="Arial" w:hAnsi="Arial"/>
          <w:sz w:val="18"/>
          <w:szCs w:val="18"/>
          <w:color w:val="auto"/>
        </w:rPr>
      </w:pPr>
    </w:p>
    <w:p>
      <w:pPr>
        <w:jc w:val="both"/>
        <w:ind w:firstLine="1305"/>
        <w:spacing w:after="0" w:line="273" w:lineRule="auto"/>
        <w:tabs>
          <w:tab w:leader="none" w:pos="184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principal business of Exodus is investing in securities. The principal business of Exodus GP is serving as the general partner of Exodus and as a portfolio manager for the Exodus Managed Account. The principal business of Phoenix is serving as an Insurance company that provides Non-Life, Health Insurance and Long-Term Savings, as well as the Phoenix Investments and Finance Ltd. - which manages its members' funds, Phoenix Insurance's nostro portfolio, and holds 100% in Excellence Nessuah Investment House. The principal business of Delek is serving as an integrated energy company, and as a leader of the natural gas exploration and production activities. The principal business of Mr. Tshuva is serving as the President of El Ad US Holding, Inc. The principal occupation of Mr. Efrati is serving as the portfolio manager of Exodus.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8" w:name="page9"/>
    <w:bookmarkEnd w:id="8"/>
    <w:p>
      <w:pPr>
        <w:ind w:firstLine="1305"/>
        <w:spacing w:after="0" w:line="308" w:lineRule="auto"/>
        <w:tabs>
          <w:tab w:leader="none" w:pos="1952" w:val="left"/>
        </w:tabs>
        <w:numPr>
          <w:ilvl w:val="0"/>
          <w:numId w:val="8"/>
        </w:numPr>
        <w:rPr>
          <w:rFonts w:ascii="Arial" w:cs="Arial" w:eastAsia="Arial" w:hAnsi="Arial"/>
          <w:sz w:val="17"/>
          <w:szCs w:val="17"/>
          <w:color w:val="auto"/>
        </w:rPr>
      </w:pPr>
      <w:r>
        <w:rPr>
          <w:rFonts w:ascii="Arial" w:cs="Arial" w:eastAsia="Arial" w:hAnsi="Arial"/>
          <w:sz w:val="17"/>
          <w:szCs w:val="17"/>
          <w:color w:val="auto"/>
        </w:rPr>
        <w:t>No Reporting Person nor any person listed on Schedule A to the Schedule 13D or Schedule A to this Amendment No. 4, each annexed hereto, has, during the last five years, been convicted in a criminal proceeding (excluding traffic violations or similar misdemeanors).</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1942"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Reporting Person nor any person listed on Schedule A to the Schedule 13D or Schedule A to this Amendment No. 4, each annexed hereto,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6" w:lineRule="exact"/>
        <w:rPr>
          <w:rFonts w:ascii="Arial" w:cs="Arial" w:eastAsia="Arial" w:hAnsi="Arial"/>
          <w:sz w:val="18"/>
          <w:szCs w:val="18"/>
          <w:color w:val="auto"/>
        </w:rPr>
      </w:pPr>
    </w:p>
    <w:p>
      <w:pPr>
        <w:ind w:right="20" w:firstLine="1305"/>
        <w:spacing w:after="0" w:line="277" w:lineRule="auto"/>
        <w:tabs>
          <w:tab w:leader="none" w:pos="1898"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Efrati is a citizen of Israel. The citizenship of the persons listed on Schedule A to the Schedule 13D and Schedule A to this Amendment No. 4, each annexed hereto, is set forth therein.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3 is hereby amended and restated to read as follows: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Shares purchased by Exodus, and held in the Exodus Managed Account, and by the Subsidiaries were purchased with working capital (which may, at any given time, include margin loans made by brokerage firms in the ordinary course of business) in open market purchases, except as otherwise noted in Schedule B, which is incorporated herein by reference. The aggregate purchase price of the 2,664,738 Shares owned directly by Exodus is approximately $2,761,331, excluding brokerage commissions. The aggregate purchase price of the 200,517 Shares held in the Exodus Managed Account is approximately $219,174, excluding brokerage commissions. The aggregate purchase price of the 452,012 Shares held by the Subsidiaries is approximately $515,294, excluding brokerage commissions.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5(a)-(c) are hereby amended and restated to read as follows:</w:t>
      </w:r>
    </w:p>
    <w:p>
      <w:pPr>
        <w:spacing w:after="0" w:line="225" w:lineRule="exact"/>
        <w:rPr>
          <w:sz w:val="20"/>
          <w:szCs w:val="20"/>
          <w:color w:val="auto"/>
        </w:rPr>
      </w:pPr>
    </w:p>
    <w:p>
      <w:pPr>
        <w:jc w:val="both"/>
        <w:ind w:firstLine="1305"/>
        <w:spacing w:after="0" w:line="264" w:lineRule="auto"/>
        <w:tabs>
          <w:tab w:leader="none" w:pos="1918"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aggregate percentage of Shares reported owned by each person named herein is based upon 27,560,920 Shares outstanding, which is the total number of Shares outstanding as reported in the Issuer’s Annual Report on Form 20-F filed with the Securities and Exchange Commission on March 4, 2016. All ownership information reported in this Item 5 is as of the close of business on April 3, 2017.</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Exodus</w:t>
      </w:r>
    </w:p>
    <w:p>
      <w:pPr>
        <w:spacing w:after="0" w:line="225" w:lineRule="exact"/>
        <w:rPr>
          <w:rFonts w:ascii="Arial" w:cs="Arial" w:eastAsia="Arial" w:hAnsi="Arial"/>
          <w:sz w:val="18"/>
          <w:szCs w:val="18"/>
          <w:color w:val="auto"/>
        </w:rPr>
      </w:pPr>
    </w:p>
    <w:p>
      <w:pPr>
        <w:ind w:left="1300" w:right="6320" w:hanging="644"/>
        <w:spacing w:after="0" w:line="501"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Exodus directly beneficially owns 2,664,738 Shares. Percentage: Approximately 9.7%</w:t>
      </w: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 Shared power to vote or direct vote: 2,664,738</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 Sole power to dispose or direct the disposition: 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4. Shared power to dispose or direct the disposition: 2,664,738</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ind w:left="1292" w:right="20" w:hanging="644"/>
        <w:spacing w:after="0" w:line="277" w:lineRule="auto"/>
        <w:tabs>
          <w:tab w:leader="none" w:pos="12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transactions in the Shares by Exodus since the filing of Amendment No. 3 to the Schedule 13D are set forth in Schedule B and are incorporated herein by reference.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Exodus GP</w:t>
      </w:r>
    </w:p>
    <w:p>
      <w:pPr>
        <w:spacing w:after="0" w:line="225" w:lineRule="exact"/>
        <w:rPr>
          <w:rFonts w:ascii="Arial" w:cs="Arial" w:eastAsia="Arial" w:hAnsi="Arial"/>
          <w:sz w:val="18"/>
          <w:szCs w:val="18"/>
          <w:color w:val="auto"/>
        </w:rPr>
      </w:pPr>
    </w:p>
    <w:p>
      <w:pPr>
        <w:ind w:left="1292" w:right="20" w:hanging="644"/>
        <w:spacing w:after="0" w:line="277" w:lineRule="auto"/>
        <w:tabs>
          <w:tab w:leader="none" w:pos="12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the general partner of Exodus, Exodus GP may be deemed to beneficially own the (i) 2,664,738 Shares beneficially owned by Exodus and (ii) 200,517 Shares held in the Exodus Managed Account.</w:t>
      </w:r>
    </w:p>
    <w:p>
      <w:pPr>
        <w:spacing w:after="0" w:line="170"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Percentage: Approximately 10.4%</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72" w:hanging="175"/>
        <w:spacing w:after="0"/>
        <w:tabs>
          <w:tab w:leader="none" w:pos="14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direct vote: 2,865,255</w:t>
      </w:r>
    </w:p>
    <w:p>
      <w:pPr>
        <w:spacing w:after="0" w:line="9" w:lineRule="exact"/>
        <w:rPr>
          <w:rFonts w:ascii="Arial" w:cs="Arial" w:eastAsia="Arial" w:hAnsi="Arial"/>
          <w:sz w:val="18"/>
          <w:szCs w:val="18"/>
          <w:color w:val="auto"/>
        </w:rPr>
      </w:pPr>
    </w:p>
    <w:p>
      <w:pPr>
        <w:ind w:left="1472" w:hanging="175"/>
        <w:spacing w:after="0"/>
        <w:tabs>
          <w:tab w:leader="none" w:pos="14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72" w:hanging="175"/>
        <w:spacing w:after="0"/>
        <w:tabs>
          <w:tab w:leader="none" w:pos="14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2,865,255</w:t>
      </w:r>
    </w:p>
    <w:p>
      <w:pPr>
        <w:spacing w:after="0" w:line="210"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Exodus GP has not entered into any transactions in the Shares since the filing of Amendment No. 3 to the Schedule 13D. The transactions in the Shares by Exodus and on behalf of the Exodus Managed Account since the filing of Amendment No. 3 to the Schedule 13D are set forth in Schedule B and are incorporated herein by reference.</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Phoenix</w:t>
      </w:r>
    </w:p>
    <w:p>
      <w:pPr>
        <w:spacing w:after="0" w:line="225" w:lineRule="exact"/>
        <w:rPr>
          <w:rFonts w:ascii="Arial" w:cs="Arial" w:eastAsia="Arial" w:hAnsi="Arial"/>
          <w:sz w:val="18"/>
          <w:szCs w:val="18"/>
          <w:color w:val="auto"/>
        </w:rPr>
      </w:pPr>
    </w:p>
    <w:p>
      <w:pPr>
        <w:ind w:left="1292" w:right="600" w:hanging="644"/>
        <w:spacing w:after="0" w:line="501" w:lineRule="auto"/>
        <w:tabs>
          <w:tab w:leader="none" w:pos="12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Phoenix, as the majority owner of the Subsidiaries, may be deemed to beneficially own the 452,012 Shares held by the Subsidiaries. Percentage: Approximately 1.6%</w:t>
      </w:r>
    </w:p>
    <w:p>
      <w:pPr>
        <w:ind w:left="1292" w:hanging="644"/>
        <w:spacing w:after="0"/>
        <w:tabs>
          <w:tab w:leader="none" w:pos="12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72" w:hanging="175"/>
        <w:spacing w:after="0"/>
        <w:tabs>
          <w:tab w:leader="none" w:pos="14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direct vote: 452,012</w:t>
      </w:r>
    </w:p>
    <w:p>
      <w:pPr>
        <w:spacing w:after="0" w:line="9" w:lineRule="exact"/>
        <w:rPr>
          <w:rFonts w:ascii="Arial" w:cs="Arial" w:eastAsia="Arial" w:hAnsi="Arial"/>
          <w:sz w:val="18"/>
          <w:szCs w:val="18"/>
          <w:color w:val="auto"/>
        </w:rPr>
      </w:pPr>
    </w:p>
    <w:p>
      <w:pPr>
        <w:ind w:left="1472" w:hanging="175"/>
        <w:spacing w:after="0"/>
        <w:tabs>
          <w:tab w:leader="none" w:pos="14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72" w:hanging="175"/>
        <w:spacing w:after="0"/>
        <w:tabs>
          <w:tab w:leader="none" w:pos="14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452,012</w:t>
      </w:r>
    </w:p>
    <w:p>
      <w:pPr>
        <w:spacing w:after="0" w:line="210"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Phoenix has not entered into any transactions in the Shares since the filing of Amendment No. 3 to the Schedule 13D. The transactions in the Shares on behalf of the Subsidiaries since the filing of Amendment No. 3 to the Schedule 13D are set forth in Schedule B and are incorporated herein by reference.</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Delek</w:t>
      </w:r>
    </w:p>
    <w:p>
      <w:pPr>
        <w:spacing w:after="0" w:line="225" w:lineRule="exact"/>
        <w:rPr>
          <w:rFonts w:ascii="Arial" w:cs="Arial" w:eastAsia="Arial" w:hAnsi="Arial"/>
          <w:sz w:val="18"/>
          <w:szCs w:val="18"/>
          <w:color w:val="auto"/>
        </w:rPr>
      </w:pPr>
    </w:p>
    <w:p>
      <w:pPr>
        <w:ind w:left="1292" w:right="1320" w:hanging="644"/>
        <w:spacing w:after="0" w:line="501" w:lineRule="auto"/>
        <w:tabs>
          <w:tab w:leader="none" w:pos="12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Delek, as the majority owner of Phoenix, may be deemed to beneficially own the 452,012 Shares held by the Subsidiaries. Percentage: Approximately 1.6%</w:t>
      </w:r>
    </w:p>
    <w:p>
      <w:pPr>
        <w:ind w:left="1292" w:hanging="644"/>
        <w:spacing w:after="0"/>
        <w:tabs>
          <w:tab w:leader="none" w:pos="12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72" w:hanging="175"/>
        <w:spacing w:after="0"/>
        <w:tabs>
          <w:tab w:leader="none" w:pos="14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direct vote: 452,012</w:t>
      </w:r>
    </w:p>
    <w:p>
      <w:pPr>
        <w:spacing w:after="0" w:line="9" w:lineRule="exact"/>
        <w:rPr>
          <w:rFonts w:ascii="Arial" w:cs="Arial" w:eastAsia="Arial" w:hAnsi="Arial"/>
          <w:sz w:val="18"/>
          <w:szCs w:val="18"/>
          <w:color w:val="auto"/>
        </w:rPr>
      </w:pPr>
    </w:p>
    <w:p>
      <w:pPr>
        <w:ind w:left="1472" w:hanging="175"/>
        <w:spacing w:after="0"/>
        <w:tabs>
          <w:tab w:leader="none" w:pos="14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72" w:hanging="175"/>
        <w:spacing w:after="0"/>
        <w:tabs>
          <w:tab w:leader="none" w:pos="14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452,012</w:t>
      </w:r>
    </w:p>
    <w:p>
      <w:pPr>
        <w:spacing w:after="0" w:line="210"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Delek has not entered into any transactions in the Shares since the filing of Amendment No. 3 to the Schedule 13D. The transactions in the Shares on behalf of the Subsidiaries since the filing of Amendment No. 3 to the Schedule 13D are set forth in Schedule B and are incorporated herein by reference.</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00" w:right="239" w:bottom="1440" w:gutter="0" w:footer="0" w:header="0"/>
        </w:sectPr>
      </w:pPr>
    </w:p>
    <w:bookmarkStart w:id="10" w:name="page11"/>
    <w:bookmarkEnd w:id="10"/>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Tshuva</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Mr. Tshuva, as the majority of Delek’s outstanding share capital and voting rights, directly and indirectly, through private companies wholly owned by him, may be deemed to beneficially own the 452,012 Shares held by the Subsidiaries.</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1.6%</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direct vote: 452,012</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452,012</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Mr. Tshuva has not entered into any transactions in the Shares since the filing of Amendment No. 3 to the Schedule 13D. The transactions in the Shares on behalf of the Subsidiaries since the filing of Amendment No. 3 to the Schedule 13D are set forth in Schedule B and are incorporated herein by reference.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Efrati</w:t>
      </w:r>
    </w:p>
    <w:p>
      <w:pPr>
        <w:spacing w:after="0" w:line="225" w:lineRule="exact"/>
        <w:rPr>
          <w:rFonts w:ascii="Arial" w:cs="Arial" w:eastAsia="Arial" w:hAnsi="Arial"/>
          <w:sz w:val="18"/>
          <w:szCs w:val="18"/>
          <w:color w:val="auto"/>
        </w:rPr>
      </w:pPr>
    </w:p>
    <w:p>
      <w:pPr>
        <w:jc w:val="both"/>
        <w:ind w:left="1300" w:right="20" w:hanging="644"/>
        <w:spacing w:after="0" w:line="31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Mr. Efrati as the portfolio manager of Exodus and because of that certain Power of Attorney Agreement between him and Phoenix granting him the power to vote and dispose of the Shares held in the Subsidiaries, may be deemed to beneficially own the: (i) 2,664,738 Shares owned by Exodus; (ii) 200,517 Shares held in the Exodus Managed Account; and (iii) 452,012 Shares held by the Subsidiaries.</w:t>
      </w:r>
    </w:p>
    <w:p>
      <w:pPr>
        <w:spacing w:after="0" w:line="1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Percentage: Approximately 12.0%</w:t>
      </w:r>
    </w:p>
    <w:p>
      <w:pPr>
        <w:spacing w:after="0" w:line="225" w:lineRule="exact"/>
        <w:rPr>
          <w:rFonts w:ascii="Arial" w:cs="Arial" w:eastAsia="Arial" w:hAnsi="Arial"/>
          <w:sz w:val="16"/>
          <w:szCs w:val="16"/>
          <w:color w:val="auto"/>
        </w:rPr>
      </w:pPr>
    </w:p>
    <w:p>
      <w:pPr>
        <w:ind w:left="1300" w:hanging="644"/>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direct vote: 3,317,267</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3,317,267</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Mr. Efrati has not entered into any transactions in the Shares since the filing of Amendment No. 3 to the Schedule 13D. The transactions in the Shares by Exodus and on behalf of the Exodus Managed Account and the Subsidiaries since the filing of Amendment No. 3 to the Schedule 13D are set forth in Schedule B and are incorporated herein by reference.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of the Subsidiaries operates under independent management and makes its own independent voting and investment decisions. The filing of this Schedule 13D shall not be construed as an admission that the Reporting Persons or Subsidiaries are, for purposes of Section 13(d) of the Securities Exchange Act of 1934, as amended, the beneficial owners of any of the securities reported herein. Each of the Reporting Persons and Subsidiaries specifically disclaims beneficial ownership of the securities reported herein that are not directly owned by such Reporting Person or Subsidiary, except to the extent of their pecuniary interest therein.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1" w:name="page12"/>
    <w:bookmarkEnd w:id="11"/>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6 is hereby amended to add the following:</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On April 4, 2017, the Reporting Persons entered into a Joint Filing Agreement in which the Reporting Persons agreed to the joint filing on behalf of each of them of statements on Schedule 13D with respect to securities of the Issuer, to the extent required by applicable law. The Joint Filing Agreement is attached hereto as Exhibit 99.1 and is incorporated herein by reference.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7 is hereby amended to add the following exhibit:</w:t>
      </w:r>
    </w:p>
    <w:p>
      <w:pPr>
        <w:spacing w:after="0" w:line="225" w:lineRule="exact"/>
        <w:rPr>
          <w:sz w:val="20"/>
          <w:szCs w:val="20"/>
          <w:color w:val="auto"/>
        </w:rPr>
      </w:pPr>
    </w:p>
    <w:p>
      <w:pPr>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Joint Filing Agreement by and among Exodus Capital L.P., Exodus Management Israel Ltd., The Phoenix Holding Ltd., Delek Group Ltd., Itshak Sharon (Tshuva) and Amir Efrati dated April 4,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4, 2017</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BROSH CAPITAL L.P.</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spacing w:after="0"/>
              <w:rPr>
                <w:sz w:val="20"/>
                <w:szCs w:val="20"/>
                <w:color w:val="auto"/>
              </w:rPr>
            </w:pPr>
            <w:r>
              <w:rPr>
                <w:rFonts w:ascii="Arial" w:cs="Arial" w:eastAsia="Arial" w:hAnsi="Arial"/>
                <w:sz w:val="18"/>
                <w:szCs w:val="18"/>
                <w:color w:val="auto"/>
              </w:rPr>
              <w:t>Brosh Funds Management Ltd.</w:t>
            </w:r>
          </w:p>
        </w:tc>
      </w:tr>
      <w:tr>
        <w:trPr>
          <w:trHeight w:val="230"/>
        </w:trPr>
        <w:tc>
          <w:tcPr>
            <w:tcW w:w="68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195"/>
        </w:trPr>
        <w:tc>
          <w:tcPr>
            <w:tcW w:w="6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6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EXODUS CAPITAL L.P.</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68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195"/>
        </w:trPr>
        <w:tc>
          <w:tcPr>
            <w:tcW w:w="6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6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BROSH FUNDS MANAGEMENT LTD.</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195"/>
        </w:trPr>
        <w:tc>
          <w:tcPr>
            <w:tcW w:w="6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6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EXODUS MANAGEMENT ISRAEL LTD.</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195"/>
        </w:trPr>
        <w:tc>
          <w:tcPr>
            <w:tcW w:w="6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6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THE PHOENIX HOLDING LTD.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195"/>
        </w:trPr>
        <w:tc>
          <w:tcPr>
            <w:tcW w:w="6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6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DELEK GROUP LTD.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195"/>
        </w:trPr>
        <w:tc>
          <w:tcPr>
            <w:tcW w:w="6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6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Amir Efrati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Individually, and as attorney-in-fact for Itshak Sharon (Tshuva)</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20" w:type="dxa"/>
            <w:vAlign w:val="bottom"/>
            <w:gridSpan w:val="6"/>
          </w:tcPr>
          <w:p>
            <w:pPr>
              <w:jc w:val="center"/>
              <w:ind w:right="1140"/>
              <w:spacing w:after="0"/>
              <w:rPr>
                <w:sz w:val="20"/>
                <w:szCs w:val="20"/>
                <w:color w:val="auto"/>
              </w:rPr>
            </w:pPr>
            <w:r>
              <w:rPr>
                <w:rFonts w:ascii="Arial" w:cs="Arial" w:eastAsia="Arial" w:hAnsi="Arial"/>
                <w:sz w:val="18"/>
                <w:szCs w:val="18"/>
                <w:b w:val="1"/>
                <w:bCs w:val="1"/>
                <w:color w:val="auto"/>
                <w:w w:val="99"/>
              </w:rPr>
              <w:t>SCHEDULE A</w:t>
            </w: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20" w:type="dxa"/>
            <w:vAlign w:val="bottom"/>
            <w:gridSpan w:val="6"/>
          </w:tcPr>
          <w:p>
            <w:pPr>
              <w:jc w:val="center"/>
              <w:ind w:right="1160"/>
              <w:spacing w:after="0"/>
              <w:rPr>
                <w:sz w:val="20"/>
                <w:szCs w:val="20"/>
                <w:color w:val="auto"/>
              </w:rPr>
            </w:pPr>
            <w:r>
              <w:rPr>
                <w:rFonts w:ascii="Arial" w:cs="Arial" w:eastAsia="Arial" w:hAnsi="Arial"/>
                <w:sz w:val="18"/>
                <w:szCs w:val="18"/>
                <w:b w:val="1"/>
                <w:bCs w:val="1"/>
                <w:color w:val="auto"/>
                <w:w w:val="91"/>
              </w:rPr>
              <w:t>Directors &amp; Officers of Phoenix Holding Ltd.</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Name and Position</w:t>
            </w:r>
          </w:p>
        </w:tc>
        <w:tc>
          <w:tcPr>
            <w:tcW w:w="720" w:type="dxa"/>
            <w:vAlign w:val="bottom"/>
          </w:tcPr>
          <w:p>
            <w:pPr>
              <w:spacing w:after="0"/>
              <w:rPr>
                <w:sz w:val="24"/>
                <w:szCs w:val="24"/>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rPr>
              <w:t>Present Principal Occupation</w:t>
            </w:r>
          </w:p>
        </w:tc>
        <w:tc>
          <w:tcPr>
            <w:tcW w:w="960" w:type="dxa"/>
            <w:vAlign w:val="bottom"/>
          </w:tcPr>
          <w:p>
            <w:pPr>
              <w:spacing w:after="0"/>
              <w:rPr>
                <w:sz w:val="24"/>
                <w:szCs w:val="24"/>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rPr>
              <w:t>Business Address</w:t>
            </w:r>
          </w:p>
        </w:tc>
        <w:tc>
          <w:tcPr>
            <w:tcW w:w="104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Citizenship</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Asaf Bartfeld, Director</w:t>
            </w:r>
          </w:p>
        </w:tc>
        <w:tc>
          <w:tcPr>
            <w:tcW w:w="3080" w:type="dxa"/>
            <w:vAlign w:val="bottom"/>
            <w:gridSpan w:val="4"/>
            <w:shd w:val="clear" w:color="auto" w:fill="CCEEFF"/>
          </w:tcPr>
          <w:p>
            <w:pPr>
              <w:ind w:left="400"/>
              <w:spacing w:after="0" w:line="201" w:lineRule="exact"/>
              <w:rPr>
                <w:sz w:val="20"/>
                <w:szCs w:val="20"/>
                <w:color w:val="auto"/>
              </w:rPr>
            </w:pPr>
            <w:r>
              <w:rPr>
                <w:rFonts w:ascii="Arial" w:cs="Arial" w:eastAsia="Arial" w:hAnsi="Arial"/>
                <w:sz w:val="18"/>
                <w:szCs w:val="18"/>
                <w:color w:val="auto"/>
              </w:rPr>
              <w:t>Chairman of the board</w:t>
            </w:r>
          </w:p>
        </w:tc>
        <w:tc>
          <w:tcPr>
            <w:tcW w:w="304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Delek Group Ltd. Giborey Israel</w:t>
            </w:r>
          </w:p>
        </w:tc>
        <w:tc>
          <w:tcPr>
            <w:tcW w:w="282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St.7, Netanya</w:t>
            </w:r>
          </w:p>
        </w:tc>
        <w:tc>
          <w:tcPr>
            <w:tcW w:w="10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Omer Shachar, Director</w:t>
            </w:r>
          </w:p>
        </w:tc>
        <w:tc>
          <w:tcPr>
            <w:tcW w:w="3080" w:type="dxa"/>
            <w:vAlign w:val="bottom"/>
            <w:gridSpan w:val="4"/>
          </w:tcPr>
          <w:p>
            <w:pPr>
              <w:ind w:left="400"/>
              <w:spacing w:after="0"/>
              <w:rPr>
                <w:sz w:val="20"/>
                <w:szCs w:val="20"/>
                <w:color w:val="auto"/>
              </w:rPr>
            </w:pPr>
            <w:r>
              <w:rPr>
                <w:rFonts w:ascii="Arial" w:cs="Arial" w:eastAsia="Arial" w:hAnsi="Arial"/>
                <w:sz w:val="18"/>
                <w:szCs w:val="18"/>
                <w:color w:val="auto"/>
              </w:rPr>
              <w:t>Board member</w:t>
            </w:r>
          </w:p>
        </w:tc>
        <w:tc>
          <w:tcPr>
            <w:tcW w:w="3040" w:type="dxa"/>
            <w:vAlign w:val="bottom"/>
            <w:gridSpan w:val="4"/>
          </w:tcPr>
          <w:p>
            <w:pPr>
              <w:ind w:left="180"/>
              <w:spacing w:after="0"/>
              <w:rPr>
                <w:sz w:val="20"/>
                <w:szCs w:val="20"/>
                <w:color w:val="auto"/>
              </w:rPr>
            </w:pPr>
            <w:r>
              <w:rPr>
                <w:rFonts w:ascii="Arial" w:cs="Arial" w:eastAsia="Arial" w:hAnsi="Arial"/>
                <w:sz w:val="18"/>
                <w:szCs w:val="18"/>
                <w:color w:val="auto"/>
              </w:rPr>
              <w:t>Pesach Lev St.4, Lod</w:t>
            </w: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Israel Kass, Director</w:t>
            </w:r>
          </w:p>
        </w:tc>
        <w:tc>
          <w:tcPr>
            <w:tcW w:w="3080" w:type="dxa"/>
            <w:vAlign w:val="bottom"/>
            <w:gridSpan w:val="4"/>
            <w:shd w:val="clear" w:color="auto" w:fill="CCEEFF"/>
          </w:tcPr>
          <w:p>
            <w:pPr>
              <w:ind w:left="400"/>
              <w:spacing w:after="0" w:line="201" w:lineRule="exact"/>
              <w:rPr>
                <w:sz w:val="20"/>
                <w:szCs w:val="20"/>
                <w:color w:val="auto"/>
              </w:rPr>
            </w:pPr>
            <w:r>
              <w:rPr>
                <w:rFonts w:ascii="Arial" w:cs="Arial" w:eastAsia="Arial" w:hAnsi="Arial"/>
                <w:sz w:val="18"/>
                <w:szCs w:val="18"/>
                <w:color w:val="auto"/>
              </w:rPr>
              <w:t>Board member</w:t>
            </w:r>
          </w:p>
        </w:tc>
        <w:tc>
          <w:tcPr>
            <w:tcW w:w="304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Mayer's Cars &amp;Trucks Co. Ltd. Itzhak</w:t>
            </w:r>
          </w:p>
        </w:tc>
        <w:tc>
          <w:tcPr>
            <w:tcW w:w="282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Sadeh St.17, Tel-Aviv</w:t>
            </w:r>
          </w:p>
        </w:tc>
        <w:tc>
          <w:tcPr>
            <w:tcW w:w="10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Moshe Abramovitz, Director</w:t>
            </w:r>
          </w:p>
        </w:tc>
        <w:tc>
          <w:tcPr>
            <w:tcW w:w="3080" w:type="dxa"/>
            <w:vAlign w:val="bottom"/>
            <w:gridSpan w:val="4"/>
          </w:tcPr>
          <w:p>
            <w:pPr>
              <w:ind w:left="400"/>
              <w:spacing w:after="0"/>
              <w:rPr>
                <w:sz w:val="20"/>
                <w:szCs w:val="20"/>
                <w:color w:val="auto"/>
              </w:rPr>
            </w:pPr>
            <w:r>
              <w:rPr>
                <w:rFonts w:ascii="Arial" w:cs="Arial" w:eastAsia="Arial" w:hAnsi="Arial"/>
                <w:sz w:val="18"/>
                <w:szCs w:val="18"/>
                <w:color w:val="auto"/>
              </w:rPr>
              <w:t>Board member</w:t>
            </w:r>
          </w:p>
        </w:tc>
        <w:tc>
          <w:tcPr>
            <w:tcW w:w="3040" w:type="dxa"/>
            <w:vAlign w:val="bottom"/>
            <w:gridSpan w:val="4"/>
          </w:tcPr>
          <w:p>
            <w:pPr>
              <w:ind w:left="180"/>
              <w:spacing w:after="0"/>
              <w:rPr>
                <w:sz w:val="20"/>
                <w:szCs w:val="20"/>
                <w:color w:val="auto"/>
              </w:rPr>
            </w:pPr>
            <w:r>
              <w:rPr>
                <w:rFonts w:ascii="Arial" w:cs="Arial" w:eastAsia="Arial" w:hAnsi="Arial"/>
                <w:sz w:val="18"/>
                <w:szCs w:val="18"/>
                <w:color w:val="auto"/>
              </w:rPr>
              <w:t>N/A</w:t>
            </w: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Ronny Maliniak, Director</w:t>
            </w:r>
          </w:p>
        </w:tc>
        <w:tc>
          <w:tcPr>
            <w:tcW w:w="308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Board member</w:t>
            </w:r>
          </w:p>
        </w:tc>
        <w:tc>
          <w:tcPr>
            <w:tcW w:w="30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28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Avraham Harel, Director</w:t>
            </w:r>
          </w:p>
        </w:tc>
        <w:tc>
          <w:tcPr>
            <w:tcW w:w="3080" w:type="dxa"/>
            <w:vAlign w:val="bottom"/>
            <w:gridSpan w:val="4"/>
          </w:tcPr>
          <w:p>
            <w:pPr>
              <w:ind w:left="400"/>
              <w:spacing w:after="0"/>
              <w:rPr>
                <w:sz w:val="20"/>
                <w:szCs w:val="20"/>
                <w:color w:val="auto"/>
              </w:rPr>
            </w:pPr>
            <w:r>
              <w:rPr>
                <w:rFonts w:ascii="Arial" w:cs="Arial" w:eastAsia="Arial" w:hAnsi="Arial"/>
                <w:sz w:val="18"/>
                <w:szCs w:val="18"/>
                <w:color w:val="auto"/>
              </w:rPr>
              <w:t>Board member</w:t>
            </w:r>
          </w:p>
        </w:tc>
        <w:tc>
          <w:tcPr>
            <w:tcW w:w="3040" w:type="dxa"/>
            <w:vAlign w:val="bottom"/>
            <w:gridSpan w:val="4"/>
          </w:tcPr>
          <w:p>
            <w:pPr>
              <w:ind w:left="180"/>
              <w:spacing w:after="0"/>
              <w:rPr>
                <w:sz w:val="20"/>
                <w:szCs w:val="20"/>
                <w:color w:val="auto"/>
              </w:rPr>
            </w:pPr>
            <w:r>
              <w:rPr>
                <w:rFonts w:ascii="Arial" w:cs="Arial" w:eastAsia="Arial" w:hAnsi="Arial"/>
                <w:sz w:val="18"/>
                <w:szCs w:val="18"/>
                <w:color w:val="auto"/>
              </w:rPr>
              <w:t>Ester Ha-Malka St.4, Bnei Brak</w:t>
            </w: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Rivi Cohen, Director</w:t>
            </w:r>
          </w:p>
        </w:tc>
        <w:tc>
          <w:tcPr>
            <w:tcW w:w="308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Board member</w:t>
            </w:r>
          </w:p>
        </w:tc>
        <w:tc>
          <w:tcPr>
            <w:tcW w:w="30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28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3"/>
          </w:tcPr>
          <w:p>
            <w:pPr>
              <w:spacing w:after="0" w:line="201" w:lineRule="exact"/>
              <w:rPr>
                <w:sz w:val="20"/>
                <w:szCs w:val="20"/>
                <w:color w:val="auto"/>
              </w:rPr>
            </w:pPr>
            <w:r>
              <w:rPr>
                <w:rFonts w:ascii="Arial" w:cs="Arial" w:eastAsia="Arial" w:hAnsi="Arial"/>
                <w:sz w:val="18"/>
                <w:szCs w:val="18"/>
                <w:color w:val="auto"/>
              </w:rPr>
              <w:t>Leora Pratt Levin, Director</w:t>
            </w:r>
          </w:p>
        </w:tc>
        <w:tc>
          <w:tcPr>
            <w:tcW w:w="3080" w:type="dxa"/>
            <w:vAlign w:val="bottom"/>
            <w:gridSpan w:val="4"/>
          </w:tcPr>
          <w:p>
            <w:pPr>
              <w:ind w:left="400"/>
              <w:spacing w:after="0" w:line="201" w:lineRule="exact"/>
              <w:rPr>
                <w:sz w:val="20"/>
                <w:szCs w:val="20"/>
                <w:color w:val="auto"/>
              </w:rPr>
            </w:pPr>
            <w:r>
              <w:rPr>
                <w:rFonts w:ascii="Arial" w:cs="Arial" w:eastAsia="Arial" w:hAnsi="Arial"/>
                <w:sz w:val="18"/>
                <w:szCs w:val="18"/>
                <w:color w:val="auto"/>
              </w:rPr>
              <w:t>Board member</w:t>
            </w:r>
          </w:p>
        </w:tc>
        <w:tc>
          <w:tcPr>
            <w:tcW w:w="3040" w:type="dxa"/>
            <w:vAlign w:val="bottom"/>
            <w:gridSpan w:val="4"/>
          </w:tcPr>
          <w:p>
            <w:pPr>
              <w:ind w:left="180"/>
              <w:spacing w:after="0" w:line="201" w:lineRule="exact"/>
              <w:rPr>
                <w:sz w:val="20"/>
                <w:szCs w:val="20"/>
                <w:color w:val="auto"/>
              </w:rPr>
            </w:pPr>
            <w:r>
              <w:rPr>
                <w:rFonts w:ascii="Arial" w:cs="Arial" w:eastAsia="Arial" w:hAnsi="Arial"/>
                <w:sz w:val="18"/>
                <w:szCs w:val="18"/>
                <w:color w:val="auto"/>
                <w:w w:val="96"/>
              </w:rPr>
              <w:t>Delek Group Ltd. Giborey Israel St.7,</w:t>
            </w:r>
          </w:p>
        </w:tc>
        <w:tc>
          <w:tcPr>
            <w:tcW w:w="282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4"/>
          </w:tcPr>
          <w:p>
            <w:pPr>
              <w:ind w:left="180"/>
              <w:spacing w:after="0"/>
              <w:rPr>
                <w:sz w:val="20"/>
                <w:szCs w:val="20"/>
                <w:color w:val="auto"/>
              </w:rPr>
            </w:pPr>
            <w:r>
              <w:rPr>
                <w:rFonts w:ascii="Arial" w:cs="Arial" w:eastAsia="Arial" w:hAnsi="Arial"/>
                <w:sz w:val="18"/>
                <w:szCs w:val="18"/>
                <w:color w:val="auto"/>
              </w:rPr>
              <w:t>Netanya</w:t>
            </w: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Eyal Lapidot</w:t>
            </w:r>
          </w:p>
        </w:tc>
        <w:tc>
          <w:tcPr>
            <w:tcW w:w="3080" w:type="dxa"/>
            <w:vAlign w:val="bottom"/>
            <w:gridSpan w:val="4"/>
            <w:shd w:val="clear" w:color="auto" w:fill="CCEEFF"/>
          </w:tcPr>
          <w:p>
            <w:pPr>
              <w:ind w:left="400"/>
              <w:spacing w:after="0" w:line="201" w:lineRule="exact"/>
              <w:rPr>
                <w:sz w:val="20"/>
                <w:szCs w:val="20"/>
                <w:color w:val="auto"/>
              </w:rPr>
            </w:pPr>
            <w:r>
              <w:rPr>
                <w:rFonts w:ascii="Arial" w:cs="Arial" w:eastAsia="Arial" w:hAnsi="Arial"/>
                <w:sz w:val="18"/>
                <w:szCs w:val="18"/>
                <w:color w:val="auto"/>
              </w:rPr>
              <w:t>President &amp; CEO</w:t>
            </w:r>
          </w:p>
        </w:tc>
        <w:tc>
          <w:tcPr>
            <w:tcW w:w="304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Derech Hashalom 53, Givataim,</w:t>
            </w:r>
          </w:p>
        </w:tc>
        <w:tc>
          <w:tcPr>
            <w:tcW w:w="282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53454, Israel</w:t>
            </w:r>
          </w:p>
        </w:tc>
        <w:tc>
          <w:tcPr>
            <w:tcW w:w="10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3"/>
          </w:tcPr>
          <w:p>
            <w:pPr>
              <w:spacing w:after="0" w:line="201" w:lineRule="exact"/>
              <w:rPr>
                <w:sz w:val="20"/>
                <w:szCs w:val="20"/>
                <w:color w:val="auto"/>
              </w:rPr>
            </w:pPr>
            <w:r>
              <w:rPr>
                <w:rFonts w:ascii="Arial" w:cs="Arial" w:eastAsia="Arial" w:hAnsi="Arial"/>
                <w:sz w:val="18"/>
                <w:szCs w:val="18"/>
                <w:color w:val="auto"/>
              </w:rPr>
              <w:t>Eli Schwartz</w:t>
            </w:r>
          </w:p>
        </w:tc>
        <w:tc>
          <w:tcPr>
            <w:tcW w:w="3080" w:type="dxa"/>
            <w:vAlign w:val="bottom"/>
            <w:gridSpan w:val="4"/>
          </w:tcPr>
          <w:p>
            <w:pPr>
              <w:ind w:left="400"/>
              <w:spacing w:after="0" w:line="201" w:lineRule="exact"/>
              <w:rPr>
                <w:sz w:val="20"/>
                <w:szCs w:val="20"/>
                <w:color w:val="auto"/>
              </w:rPr>
            </w:pPr>
            <w:r>
              <w:rPr>
                <w:rFonts w:ascii="Arial" w:cs="Arial" w:eastAsia="Arial" w:hAnsi="Arial"/>
                <w:sz w:val="18"/>
                <w:szCs w:val="18"/>
                <w:color w:val="auto"/>
              </w:rPr>
              <w:t>Executive Vice President, Chief</w:t>
            </w:r>
          </w:p>
        </w:tc>
        <w:tc>
          <w:tcPr>
            <w:tcW w:w="304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Derech Hashalom 53, Givataim,</w:t>
            </w:r>
          </w:p>
        </w:tc>
        <w:tc>
          <w:tcPr>
            <w:tcW w:w="282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80" w:type="dxa"/>
            <w:vAlign w:val="bottom"/>
            <w:gridSpan w:val="4"/>
          </w:tcPr>
          <w:p>
            <w:pPr>
              <w:ind w:left="400"/>
              <w:spacing w:after="0"/>
              <w:rPr>
                <w:sz w:val="20"/>
                <w:szCs w:val="20"/>
                <w:color w:val="auto"/>
              </w:rPr>
            </w:pPr>
            <w:r>
              <w:rPr>
                <w:rFonts w:ascii="Arial" w:cs="Arial" w:eastAsia="Arial" w:hAnsi="Arial"/>
                <w:sz w:val="18"/>
                <w:szCs w:val="18"/>
                <w:color w:val="auto"/>
              </w:rPr>
              <w:t>Financial Officer</w:t>
            </w:r>
          </w:p>
        </w:tc>
        <w:tc>
          <w:tcPr>
            <w:tcW w:w="3040" w:type="dxa"/>
            <w:vAlign w:val="bottom"/>
            <w:gridSpan w:val="4"/>
          </w:tcPr>
          <w:p>
            <w:pPr>
              <w:ind w:left="180"/>
              <w:spacing w:after="0"/>
              <w:rPr>
                <w:sz w:val="20"/>
                <w:szCs w:val="20"/>
                <w:color w:val="auto"/>
              </w:rPr>
            </w:pPr>
            <w:r>
              <w:rPr>
                <w:rFonts w:ascii="Arial" w:cs="Arial" w:eastAsia="Arial" w:hAnsi="Arial"/>
                <w:sz w:val="18"/>
                <w:szCs w:val="18"/>
                <w:color w:val="auto"/>
              </w:rPr>
              <w:t>53454, Israel</w:t>
            </w: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Menachem Neemam</w:t>
            </w:r>
          </w:p>
        </w:tc>
        <w:tc>
          <w:tcPr>
            <w:tcW w:w="3080" w:type="dxa"/>
            <w:vAlign w:val="bottom"/>
            <w:gridSpan w:val="4"/>
            <w:shd w:val="clear" w:color="auto" w:fill="CCEEFF"/>
          </w:tcPr>
          <w:p>
            <w:pPr>
              <w:ind w:left="400"/>
              <w:spacing w:after="0" w:line="201" w:lineRule="exact"/>
              <w:rPr>
                <w:sz w:val="20"/>
                <w:szCs w:val="20"/>
                <w:color w:val="auto"/>
              </w:rPr>
            </w:pPr>
            <w:r>
              <w:rPr>
                <w:rFonts w:ascii="Arial" w:cs="Arial" w:eastAsia="Arial" w:hAnsi="Arial"/>
                <w:sz w:val="18"/>
                <w:szCs w:val="18"/>
                <w:color w:val="auto"/>
                <w:w w:val="97"/>
              </w:rPr>
              <w:t>Senior Vice President, Chief Legal</w:t>
            </w:r>
          </w:p>
        </w:tc>
        <w:tc>
          <w:tcPr>
            <w:tcW w:w="304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Derech Hashalom 53, Givataim,</w:t>
            </w:r>
          </w:p>
        </w:tc>
        <w:tc>
          <w:tcPr>
            <w:tcW w:w="282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8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w w:val="99"/>
              </w:rPr>
              <w:t>Counsel and Corporate Secretary</w:t>
            </w:r>
          </w:p>
        </w:tc>
        <w:tc>
          <w:tcPr>
            <w:tcW w:w="30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53454, Israel</w:t>
            </w:r>
          </w:p>
        </w:tc>
        <w:tc>
          <w:tcPr>
            <w:tcW w:w="10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3"/>
          </w:tcPr>
          <w:p>
            <w:pPr>
              <w:spacing w:after="0" w:line="201" w:lineRule="exact"/>
              <w:rPr>
                <w:sz w:val="20"/>
                <w:szCs w:val="20"/>
                <w:color w:val="auto"/>
              </w:rPr>
            </w:pPr>
            <w:r>
              <w:rPr>
                <w:rFonts w:ascii="Arial" w:cs="Arial" w:eastAsia="Arial" w:hAnsi="Arial"/>
                <w:sz w:val="18"/>
                <w:szCs w:val="18"/>
                <w:color w:val="auto"/>
              </w:rPr>
              <w:t>Roy Yakir</w:t>
            </w:r>
          </w:p>
        </w:tc>
        <w:tc>
          <w:tcPr>
            <w:tcW w:w="3080" w:type="dxa"/>
            <w:vAlign w:val="bottom"/>
            <w:gridSpan w:val="4"/>
          </w:tcPr>
          <w:p>
            <w:pPr>
              <w:ind w:left="400"/>
              <w:spacing w:after="0" w:line="201" w:lineRule="exact"/>
              <w:rPr>
                <w:sz w:val="20"/>
                <w:szCs w:val="20"/>
                <w:color w:val="auto"/>
              </w:rPr>
            </w:pPr>
            <w:r>
              <w:rPr>
                <w:rFonts w:ascii="Arial" w:cs="Arial" w:eastAsia="Arial" w:hAnsi="Arial"/>
                <w:sz w:val="18"/>
                <w:szCs w:val="18"/>
                <w:color w:val="auto"/>
              </w:rPr>
              <w:t>Executive Vice President - Chief</w:t>
            </w:r>
          </w:p>
        </w:tc>
        <w:tc>
          <w:tcPr>
            <w:tcW w:w="304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Derech Hashalom 53, Givataim,</w:t>
            </w:r>
          </w:p>
        </w:tc>
        <w:tc>
          <w:tcPr>
            <w:tcW w:w="282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80" w:type="dxa"/>
            <w:vAlign w:val="bottom"/>
            <w:gridSpan w:val="4"/>
          </w:tcPr>
          <w:p>
            <w:pPr>
              <w:ind w:left="400"/>
              <w:spacing w:after="0"/>
              <w:rPr>
                <w:sz w:val="20"/>
                <w:szCs w:val="20"/>
                <w:color w:val="auto"/>
              </w:rPr>
            </w:pPr>
            <w:r>
              <w:rPr>
                <w:rFonts w:ascii="Arial" w:cs="Arial" w:eastAsia="Arial" w:hAnsi="Arial"/>
                <w:sz w:val="18"/>
                <w:szCs w:val="18"/>
                <w:color w:val="auto"/>
              </w:rPr>
              <w:t>Investment Manager</w:t>
            </w:r>
          </w:p>
        </w:tc>
        <w:tc>
          <w:tcPr>
            <w:tcW w:w="3040" w:type="dxa"/>
            <w:vAlign w:val="bottom"/>
            <w:gridSpan w:val="4"/>
          </w:tcPr>
          <w:p>
            <w:pPr>
              <w:ind w:left="180"/>
              <w:spacing w:after="0"/>
              <w:rPr>
                <w:sz w:val="20"/>
                <w:szCs w:val="20"/>
                <w:color w:val="auto"/>
              </w:rPr>
            </w:pPr>
            <w:r>
              <w:rPr>
                <w:rFonts w:ascii="Arial" w:cs="Arial" w:eastAsia="Arial" w:hAnsi="Arial"/>
                <w:sz w:val="18"/>
                <w:szCs w:val="18"/>
                <w:color w:val="auto"/>
              </w:rPr>
              <w:t>53454, Israel</w:t>
            </w: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Shmuel Rozenbloom</w:t>
            </w:r>
          </w:p>
        </w:tc>
        <w:tc>
          <w:tcPr>
            <w:tcW w:w="3080" w:type="dxa"/>
            <w:vAlign w:val="bottom"/>
            <w:gridSpan w:val="4"/>
            <w:shd w:val="clear" w:color="auto" w:fill="CCEEFF"/>
          </w:tcPr>
          <w:p>
            <w:pPr>
              <w:ind w:left="400"/>
              <w:spacing w:after="0" w:line="201" w:lineRule="exact"/>
              <w:rPr>
                <w:sz w:val="20"/>
                <w:szCs w:val="20"/>
                <w:color w:val="auto"/>
              </w:rPr>
            </w:pPr>
            <w:r>
              <w:rPr>
                <w:rFonts w:ascii="Arial" w:cs="Arial" w:eastAsia="Arial" w:hAnsi="Arial"/>
                <w:sz w:val="18"/>
                <w:szCs w:val="18"/>
                <w:color w:val="auto"/>
              </w:rPr>
              <w:t>Internal Auditor</w:t>
            </w:r>
          </w:p>
        </w:tc>
        <w:tc>
          <w:tcPr>
            <w:tcW w:w="304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Derech Hashalom 53, Givataim,</w:t>
            </w:r>
          </w:p>
        </w:tc>
        <w:tc>
          <w:tcPr>
            <w:tcW w:w="282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53454, Israel</w:t>
            </w:r>
          </w:p>
        </w:tc>
        <w:tc>
          <w:tcPr>
            <w:tcW w:w="10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3"/>
          </w:tcPr>
          <w:p>
            <w:pPr>
              <w:spacing w:after="0" w:line="201" w:lineRule="exact"/>
              <w:rPr>
                <w:sz w:val="20"/>
                <w:szCs w:val="20"/>
                <w:color w:val="auto"/>
              </w:rPr>
            </w:pPr>
            <w:r>
              <w:rPr>
                <w:rFonts w:ascii="Arial" w:cs="Arial" w:eastAsia="Arial" w:hAnsi="Arial"/>
                <w:sz w:val="18"/>
                <w:szCs w:val="18"/>
                <w:color w:val="auto"/>
              </w:rPr>
              <w:t>Amit Netanel</w:t>
            </w:r>
          </w:p>
        </w:tc>
        <w:tc>
          <w:tcPr>
            <w:tcW w:w="3080" w:type="dxa"/>
            <w:vAlign w:val="bottom"/>
            <w:gridSpan w:val="4"/>
          </w:tcPr>
          <w:p>
            <w:pPr>
              <w:ind w:left="400"/>
              <w:spacing w:after="0" w:line="201" w:lineRule="exact"/>
              <w:rPr>
                <w:sz w:val="20"/>
                <w:szCs w:val="20"/>
                <w:color w:val="auto"/>
              </w:rPr>
            </w:pPr>
            <w:r>
              <w:rPr>
                <w:rFonts w:ascii="Arial" w:cs="Arial" w:eastAsia="Arial" w:hAnsi="Arial"/>
                <w:sz w:val="18"/>
                <w:szCs w:val="18"/>
                <w:color w:val="auto"/>
              </w:rPr>
              <w:t>Vice President, Risks Manager</w:t>
            </w:r>
          </w:p>
        </w:tc>
        <w:tc>
          <w:tcPr>
            <w:tcW w:w="304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Derech Hashalom 53, Givataim,</w:t>
            </w:r>
          </w:p>
        </w:tc>
        <w:tc>
          <w:tcPr>
            <w:tcW w:w="282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4"/>
          </w:tcPr>
          <w:p>
            <w:pPr>
              <w:ind w:left="180"/>
              <w:spacing w:after="0"/>
              <w:rPr>
                <w:sz w:val="20"/>
                <w:szCs w:val="20"/>
                <w:color w:val="auto"/>
              </w:rPr>
            </w:pPr>
            <w:r>
              <w:rPr>
                <w:rFonts w:ascii="Arial" w:cs="Arial" w:eastAsia="Arial" w:hAnsi="Arial"/>
                <w:sz w:val="18"/>
                <w:szCs w:val="18"/>
                <w:color w:val="auto"/>
              </w:rPr>
              <w:t>53454, Israel</w:t>
            </w: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M2239P 10 9</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520" w:type="dxa"/>
            <w:vAlign w:val="bottom"/>
            <w:gridSpan w:val="6"/>
          </w:tcPr>
          <w:p>
            <w:pPr>
              <w:spacing w:after="0"/>
              <w:rPr>
                <w:sz w:val="20"/>
                <w:szCs w:val="20"/>
                <w:color w:val="auto"/>
              </w:rPr>
            </w:pPr>
            <w:r>
              <w:rPr>
                <w:rFonts w:ascii="Arial" w:cs="Arial" w:eastAsia="Arial" w:hAnsi="Arial"/>
                <w:sz w:val="18"/>
                <w:szCs w:val="18"/>
                <w:b w:val="1"/>
                <w:bCs w:val="1"/>
                <w:color w:val="auto"/>
              </w:rPr>
              <w:t>Directors &amp; Officers of Delek Group Ltd.</w:t>
            </w: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80" w:type="dxa"/>
            <w:vAlign w:val="bottom"/>
            <w:gridSpan w:val="3"/>
          </w:tcPr>
          <w:p>
            <w:pPr>
              <w:ind w:left="680"/>
              <w:spacing w:after="0"/>
              <w:rPr>
                <w:sz w:val="20"/>
                <w:szCs w:val="20"/>
                <w:color w:val="auto"/>
              </w:rPr>
            </w:pPr>
            <w:r>
              <w:rPr>
                <w:rFonts w:ascii="Arial" w:cs="Arial" w:eastAsia="Arial" w:hAnsi="Arial"/>
                <w:sz w:val="18"/>
                <w:szCs w:val="18"/>
                <w:color w:val="auto"/>
              </w:rPr>
              <w:t>Name and Position</w:t>
            </w:r>
          </w:p>
        </w:tc>
        <w:tc>
          <w:tcPr>
            <w:tcW w:w="500" w:type="dxa"/>
            <w:vAlign w:val="bottom"/>
          </w:tcPr>
          <w:p>
            <w:pPr>
              <w:spacing w:after="0"/>
              <w:rPr>
                <w:sz w:val="24"/>
                <w:szCs w:val="24"/>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Present Principal Occupation</w:t>
            </w:r>
          </w:p>
        </w:tc>
        <w:tc>
          <w:tcPr>
            <w:tcW w:w="90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Business Address</w:t>
            </w:r>
          </w:p>
        </w:tc>
        <w:tc>
          <w:tcPr>
            <w:tcW w:w="100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Citizenship</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Gabriel Last, Director</w:t>
            </w:r>
          </w:p>
        </w:tc>
        <w:tc>
          <w:tcPr>
            <w:tcW w:w="292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Chairman of the board</w:t>
            </w:r>
          </w:p>
        </w:tc>
        <w:tc>
          <w:tcPr>
            <w:tcW w:w="5800" w:type="dxa"/>
            <w:vAlign w:val="bottom"/>
            <w:gridSpan w:val="7"/>
            <w:shd w:val="clear" w:color="auto" w:fill="CCEEFF"/>
          </w:tcPr>
          <w:p>
            <w:pPr>
              <w:ind w:left="120"/>
              <w:spacing w:after="0" w:line="201" w:lineRule="exact"/>
              <w:rPr>
                <w:sz w:val="20"/>
                <w:szCs w:val="20"/>
                <w:color w:val="auto"/>
              </w:rPr>
            </w:pPr>
            <w:r>
              <w:rPr>
                <w:rFonts w:ascii="Arial" w:cs="Arial" w:eastAsia="Arial" w:hAnsi="Arial"/>
                <w:sz w:val="18"/>
                <w:szCs w:val="18"/>
                <w:color w:val="auto"/>
              </w:rPr>
              <w:t>19  Abba  Eban  Blvd.,  P.O.B.  2054,  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Herzeliya 4612001</w:t>
            </w:r>
          </w:p>
        </w:tc>
        <w:tc>
          <w:tcPr>
            <w:tcW w:w="1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w w:val="97"/>
              </w:rPr>
              <w:t>Itshak Sharon (Tshuva), Director *</w:t>
            </w: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Avi Harel, Director</w:t>
            </w:r>
          </w:p>
        </w:tc>
        <w:tc>
          <w:tcPr>
            <w:tcW w:w="29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Board Member</w:t>
            </w:r>
          </w:p>
        </w:tc>
        <w:tc>
          <w:tcPr>
            <w:tcW w:w="30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Yatkovski Achim St 40, Petah Tikva</w:t>
            </w:r>
          </w:p>
        </w:tc>
        <w:tc>
          <w:tcPr>
            <w:tcW w:w="27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3"/>
          </w:tcPr>
          <w:p>
            <w:pPr>
              <w:spacing w:after="0" w:line="201" w:lineRule="exact"/>
              <w:rPr>
                <w:sz w:val="20"/>
                <w:szCs w:val="20"/>
                <w:color w:val="auto"/>
              </w:rPr>
            </w:pPr>
            <w:r>
              <w:rPr>
                <w:rFonts w:ascii="Arial" w:cs="Arial" w:eastAsia="Arial" w:hAnsi="Arial"/>
                <w:sz w:val="18"/>
                <w:szCs w:val="18"/>
                <w:color w:val="auto"/>
              </w:rPr>
              <w:t>Roni Ron Milo, Director</w:t>
            </w:r>
          </w:p>
        </w:tc>
        <w:tc>
          <w:tcPr>
            <w:tcW w:w="292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Board Member</w:t>
            </w:r>
          </w:p>
        </w:tc>
        <w:tc>
          <w:tcPr>
            <w:tcW w:w="3020" w:type="dxa"/>
            <w:vAlign w:val="bottom"/>
            <w:gridSpan w:val="4"/>
          </w:tcPr>
          <w:p>
            <w:pPr>
              <w:ind w:left="120"/>
              <w:spacing w:after="0" w:line="201" w:lineRule="exact"/>
              <w:rPr>
                <w:sz w:val="20"/>
                <w:szCs w:val="20"/>
                <w:color w:val="auto"/>
              </w:rPr>
            </w:pPr>
            <w:r>
              <w:rPr>
                <w:rFonts w:ascii="Arial" w:cs="Arial" w:eastAsia="Arial" w:hAnsi="Arial"/>
                <w:sz w:val="18"/>
                <w:szCs w:val="18"/>
                <w:color w:val="auto"/>
                <w:w w:val="97"/>
              </w:rPr>
              <w:t>Sderot David HaMelech 26, Tel Aviv-</w:t>
            </w:r>
          </w:p>
        </w:tc>
        <w:tc>
          <w:tcPr>
            <w:tcW w:w="278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4"/>
          </w:tcPr>
          <w:p>
            <w:pPr>
              <w:ind w:left="120"/>
              <w:spacing w:after="0"/>
              <w:rPr>
                <w:sz w:val="20"/>
                <w:szCs w:val="20"/>
                <w:color w:val="auto"/>
              </w:rPr>
            </w:pPr>
            <w:r>
              <w:rPr>
                <w:rFonts w:ascii="Arial" w:cs="Arial" w:eastAsia="Arial" w:hAnsi="Arial"/>
                <w:sz w:val="18"/>
                <w:szCs w:val="18"/>
                <w:color w:val="auto"/>
              </w:rPr>
              <w:t>Yafo</w:t>
            </w: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Carmit Elroy, Director</w:t>
            </w:r>
          </w:p>
        </w:tc>
        <w:tc>
          <w:tcPr>
            <w:tcW w:w="29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Board Member</w:t>
            </w:r>
          </w:p>
        </w:tc>
        <w:tc>
          <w:tcPr>
            <w:tcW w:w="30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HaShomer St 18, Avihayil</w:t>
            </w:r>
          </w:p>
        </w:tc>
        <w:tc>
          <w:tcPr>
            <w:tcW w:w="27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Arie Zief, Director</w:t>
            </w:r>
          </w:p>
        </w:tc>
        <w:tc>
          <w:tcPr>
            <w:tcW w:w="2920" w:type="dxa"/>
            <w:vAlign w:val="bottom"/>
            <w:gridSpan w:val="4"/>
          </w:tcPr>
          <w:p>
            <w:pPr>
              <w:ind w:left="180"/>
              <w:spacing w:after="0"/>
              <w:rPr>
                <w:sz w:val="20"/>
                <w:szCs w:val="20"/>
                <w:color w:val="auto"/>
              </w:rPr>
            </w:pPr>
            <w:r>
              <w:rPr>
                <w:rFonts w:ascii="Arial" w:cs="Arial" w:eastAsia="Arial" w:hAnsi="Arial"/>
                <w:sz w:val="18"/>
                <w:szCs w:val="18"/>
                <w:color w:val="auto"/>
              </w:rPr>
              <w:t>Board Member</w:t>
            </w:r>
          </w:p>
        </w:tc>
        <w:tc>
          <w:tcPr>
            <w:tcW w:w="3020" w:type="dxa"/>
            <w:vAlign w:val="bottom"/>
            <w:gridSpan w:val="4"/>
          </w:tcPr>
          <w:p>
            <w:pPr>
              <w:ind w:left="120"/>
              <w:spacing w:after="0"/>
              <w:rPr>
                <w:sz w:val="20"/>
                <w:szCs w:val="20"/>
                <w:color w:val="auto"/>
              </w:rPr>
            </w:pPr>
            <w:r>
              <w:rPr>
                <w:rFonts w:ascii="Arial" w:cs="Arial" w:eastAsia="Arial" w:hAnsi="Arial"/>
                <w:sz w:val="18"/>
                <w:szCs w:val="18"/>
                <w:color w:val="auto"/>
              </w:rPr>
              <w:t>Harzfeld St 22, Herzliya</w:t>
            </w:r>
          </w:p>
        </w:tc>
        <w:tc>
          <w:tcPr>
            <w:tcW w:w="2780" w:type="dxa"/>
            <w:vAlign w:val="bottom"/>
            <w:gridSpan w:val="3"/>
          </w:tcPr>
          <w:p>
            <w:pPr>
              <w:ind w:left="60"/>
              <w:spacing w:after="0"/>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Yehudit Tytelman, Director</w:t>
            </w:r>
          </w:p>
        </w:tc>
        <w:tc>
          <w:tcPr>
            <w:tcW w:w="29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Board Member</w:t>
            </w:r>
          </w:p>
        </w:tc>
        <w:tc>
          <w:tcPr>
            <w:tcW w:w="30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Ussishkin St 26b, Herzliya</w:t>
            </w:r>
          </w:p>
        </w:tc>
        <w:tc>
          <w:tcPr>
            <w:tcW w:w="27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3"/>
          </w:tcPr>
          <w:p>
            <w:pPr>
              <w:spacing w:after="0" w:line="201" w:lineRule="exact"/>
              <w:rPr>
                <w:sz w:val="20"/>
                <w:szCs w:val="20"/>
                <w:color w:val="auto"/>
              </w:rPr>
            </w:pPr>
            <w:r>
              <w:rPr>
                <w:rFonts w:ascii="Arial" w:cs="Arial" w:eastAsia="Arial" w:hAnsi="Arial"/>
                <w:sz w:val="18"/>
                <w:szCs w:val="18"/>
                <w:color w:val="auto"/>
              </w:rPr>
              <w:t>Asaf Bartfeld</w:t>
            </w:r>
          </w:p>
        </w:tc>
        <w:tc>
          <w:tcPr>
            <w:tcW w:w="292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President &amp; CEO</w:t>
            </w:r>
          </w:p>
        </w:tc>
        <w:tc>
          <w:tcPr>
            <w:tcW w:w="5800" w:type="dxa"/>
            <w:vAlign w:val="bottom"/>
            <w:gridSpan w:val="7"/>
          </w:tcPr>
          <w:p>
            <w:pPr>
              <w:ind w:left="120"/>
              <w:spacing w:after="0" w:line="201" w:lineRule="exact"/>
              <w:rPr>
                <w:sz w:val="20"/>
                <w:szCs w:val="20"/>
                <w:color w:val="auto"/>
              </w:rPr>
            </w:pPr>
            <w:r>
              <w:rPr>
                <w:rFonts w:ascii="Arial" w:cs="Arial" w:eastAsia="Arial" w:hAnsi="Arial"/>
                <w:sz w:val="18"/>
                <w:szCs w:val="18"/>
                <w:color w:val="auto"/>
              </w:rPr>
              <w:t>19  Abba  Eban  Blvd.,  P.O.B.  2054,  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4"/>
          </w:tcPr>
          <w:p>
            <w:pPr>
              <w:ind w:left="120"/>
              <w:spacing w:after="0"/>
              <w:rPr>
                <w:sz w:val="20"/>
                <w:szCs w:val="20"/>
                <w:color w:val="auto"/>
              </w:rPr>
            </w:pPr>
            <w:r>
              <w:rPr>
                <w:rFonts w:ascii="Arial" w:cs="Arial" w:eastAsia="Arial" w:hAnsi="Arial"/>
                <w:sz w:val="18"/>
                <w:szCs w:val="18"/>
                <w:color w:val="auto"/>
              </w:rPr>
              <w:t>Herzeliya 4612001</w:t>
            </w: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Barak Mashraki</w:t>
            </w:r>
          </w:p>
        </w:tc>
        <w:tc>
          <w:tcPr>
            <w:tcW w:w="292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CFO</w:t>
            </w:r>
          </w:p>
        </w:tc>
        <w:tc>
          <w:tcPr>
            <w:tcW w:w="5800" w:type="dxa"/>
            <w:vAlign w:val="bottom"/>
            <w:gridSpan w:val="7"/>
            <w:shd w:val="clear" w:color="auto" w:fill="CCEEFF"/>
          </w:tcPr>
          <w:p>
            <w:pPr>
              <w:ind w:left="120"/>
              <w:spacing w:after="0" w:line="201" w:lineRule="exact"/>
              <w:rPr>
                <w:sz w:val="20"/>
                <w:szCs w:val="20"/>
                <w:color w:val="auto"/>
              </w:rPr>
            </w:pPr>
            <w:r>
              <w:rPr>
                <w:rFonts w:ascii="Arial" w:cs="Arial" w:eastAsia="Arial" w:hAnsi="Arial"/>
                <w:sz w:val="18"/>
                <w:szCs w:val="18"/>
                <w:color w:val="auto"/>
              </w:rPr>
              <w:t>19  Abba  Eban  Blvd.,  P.O.B.  2054,  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Herzeliya 4612001</w:t>
            </w:r>
          </w:p>
        </w:tc>
        <w:tc>
          <w:tcPr>
            <w:tcW w:w="1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3"/>
          </w:tcPr>
          <w:p>
            <w:pPr>
              <w:spacing w:after="0" w:line="201" w:lineRule="exact"/>
              <w:rPr>
                <w:sz w:val="20"/>
                <w:szCs w:val="20"/>
                <w:color w:val="auto"/>
              </w:rPr>
            </w:pPr>
            <w:r>
              <w:rPr>
                <w:rFonts w:ascii="Arial" w:cs="Arial" w:eastAsia="Arial" w:hAnsi="Arial"/>
                <w:sz w:val="18"/>
                <w:szCs w:val="18"/>
                <w:color w:val="auto"/>
              </w:rPr>
              <w:t>Idan Wallace</w:t>
            </w:r>
          </w:p>
        </w:tc>
        <w:tc>
          <w:tcPr>
            <w:tcW w:w="292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Deputy CEO of Delek Group</w:t>
            </w:r>
          </w:p>
        </w:tc>
        <w:tc>
          <w:tcPr>
            <w:tcW w:w="5800" w:type="dxa"/>
            <w:vAlign w:val="bottom"/>
            <w:gridSpan w:val="7"/>
          </w:tcPr>
          <w:p>
            <w:pPr>
              <w:ind w:left="120"/>
              <w:spacing w:after="0" w:line="201" w:lineRule="exact"/>
              <w:rPr>
                <w:sz w:val="20"/>
                <w:szCs w:val="20"/>
                <w:color w:val="auto"/>
              </w:rPr>
            </w:pPr>
            <w:r>
              <w:rPr>
                <w:rFonts w:ascii="Arial" w:cs="Arial" w:eastAsia="Arial" w:hAnsi="Arial"/>
                <w:sz w:val="18"/>
                <w:szCs w:val="18"/>
                <w:color w:val="auto"/>
              </w:rPr>
              <w:t>19  Abba  Eban  Blvd.,  P.O.B.  2054,  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4"/>
          </w:tcPr>
          <w:p>
            <w:pPr>
              <w:ind w:left="120"/>
              <w:spacing w:after="0"/>
              <w:rPr>
                <w:sz w:val="20"/>
                <w:szCs w:val="20"/>
                <w:color w:val="auto"/>
              </w:rPr>
            </w:pPr>
            <w:r>
              <w:rPr>
                <w:rFonts w:ascii="Arial" w:cs="Arial" w:eastAsia="Arial" w:hAnsi="Arial"/>
                <w:sz w:val="18"/>
                <w:szCs w:val="18"/>
                <w:color w:val="auto"/>
              </w:rPr>
              <w:t>Herzeliya 4612001</w:t>
            </w: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Amir Lang</w:t>
            </w:r>
          </w:p>
        </w:tc>
        <w:tc>
          <w:tcPr>
            <w:tcW w:w="292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VP Business Development, Mergers</w:t>
            </w:r>
          </w:p>
        </w:tc>
        <w:tc>
          <w:tcPr>
            <w:tcW w:w="3020" w:type="dxa"/>
            <w:vAlign w:val="bottom"/>
            <w:gridSpan w:val="4"/>
            <w:shd w:val="clear" w:color="auto" w:fill="CCEEFF"/>
          </w:tcPr>
          <w:p>
            <w:pPr>
              <w:ind w:left="120"/>
              <w:spacing w:after="0" w:line="201" w:lineRule="exact"/>
              <w:rPr>
                <w:sz w:val="20"/>
                <w:szCs w:val="20"/>
                <w:color w:val="auto"/>
              </w:rPr>
            </w:pPr>
            <w:r>
              <w:rPr>
                <w:rFonts w:ascii="Arial" w:cs="Arial" w:eastAsia="Arial" w:hAnsi="Arial"/>
                <w:sz w:val="18"/>
                <w:szCs w:val="18"/>
                <w:color w:val="auto"/>
              </w:rPr>
              <w:t>19 Abba Eban Blvd., P.O.B. 2054,</w:t>
            </w:r>
          </w:p>
        </w:tc>
        <w:tc>
          <w:tcPr>
            <w:tcW w:w="278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9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&amp; Acquisitions</w:t>
            </w:r>
          </w:p>
        </w:tc>
        <w:tc>
          <w:tcPr>
            <w:tcW w:w="30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Herzeliya 4612001</w:t>
            </w:r>
          </w:p>
        </w:tc>
        <w:tc>
          <w:tcPr>
            <w:tcW w:w="1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3"/>
          </w:tcPr>
          <w:p>
            <w:pPr>
              <w:spacing w:after="0" w:line="201" w:lineRule="exact"/>
              <w:rPr>
                <w:sz w:val="20"/>
                <w:szCs w:val="20"/>
                <w:color w:val="auto"/>
              </w:rPr>
            </w:pPr>
            <w:r>
              <w:rPr>
                <w:rFonts w:ascii="Arial" w:cs="Arial" w:eastAsia="Arial" w:hAnsi="Arial"/>
                <w:sz w:val="18"/>
                <w:szCs w:val="18"/>
                <w:color w:val="auto"/>
              </w:rPr>
              <w:t>Michael Grinberg</w:t>
            </w:r>
          </w:p>
        </w:tc>
        <w:tc>
          <w:tcPr>
            <w:tcW w:w="292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Director of Internal Audit</w:t>
            </w:r>
          </w:p>
        </w:tc>
        <w:tc>
          <w:tcPr>
            <w:tcW w:w="3020" w:type="dxa"/>
            <w:vAlign w:val="bottom"/>
            <w:gridSpan w:val="4"/>
          </w:tcPr>
          <w:p>
            <w:pPr>
              <w:ind w:left="120"/>
              <w:spacing w:after="0" w:line="201" w:lineRule="exact"/>
              <w:rPr>
                <w:sz w:val="20"/>
                <w:szCs w:val="20"/>
                <w:color w:val="auto"/>
              </w:rPr>
            </w:pPr>
            <w:r>
              <w:rPr>
                <w:rFonts w:ascii="Arial" w:cs="Arial" w:eastAsia="Arial" w:hAnsi="Arial"/>
                <w:sz w:val="18"/>
                <w:szCs w:val="18"/>
                <w:color w:val="auto"/>
              </w:rPr>
              <w:t>19 Abba Eban Blvd., P.O.B. 2054,</w:t>
            </w:r>
          </w:p>
        </w:tc>
        <w:tc>
          <w:tcPr>
            <w:tcW w:w="278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4"/>
          </w:tcPr>
          <w:p>
            <w:pPr>
              <w:ind w:left="120"/>
              <w:spacing w:after="0"/>
              <w:rPr>
                <w:sz w:val="20"/>
                <w:szCs w:val="20"/>
                <w:color w:val="auto"/>
              </w:rPr>
            </w:pPr>
            <w:r>
              <w:rPr>
                <w:rFonts w:ascii="Arial" w:cs="Arial" w:eastAsia="Arial" w:hAnsi="Arial"/>
                <w:sz w:val="18"/>
                <w:szCs w:val="18"/>
                <w:color w:val="auto"/>
              </w:rPr>
              <w:t>Herzeliya 4612001</w:t>
            </w: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Leora Pratt Levin</w:t>
            </w:r>
          </w:p>
        </w:tc>
        <w:tc>
          <w:tcPr>
            <w:tcW w:w="292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V P &amp; Legal Counsel</w:t>
            </w:r>
          </w:p>
        </w:tc>
        <w:tc>
          <w:tcPr>
            <w:tcW w:w="3020" w:type="dxa"/>
            <w:vAlign w:val="bottom"/>
            <w:gridSpan w:val="4"/>
            <w:shd w:val="clear" w:color="auto" w:fill="CCEEFF"/>
          </w:tcPr>
          <w:p>
            <w:pPr>
              <w:ind w:left="120"/>
              <w:spacing w:after="0" w:line="201" w:lineRule="exact"/>
              <w:rPr>
                <w:sz w:val="20"/>
                <w:szCs w:val="20"/>
                <w:color w:val="auto"/>
              </w:rPr>
            </w:pPr>
            <w:r>
              <w:rPr>
                <w:rFonts w:ascii="Arial" w:cs="Arial" w:eastAsia="Arial" w:hAnsi="Arial"/>
                <w:sz w:val="18"/>
                <w:szCs w:val="18"/>
                <w:color w:val="auto"/>
              </w:rPr>
              <w:t>19 Abba Eban Blvd., P.O.B. 2054,</w:t>
            </w:r>
          </w:p>
        </w:tc>
        <w:tc>
          <w:tcPr>
            <w:tcW w:w="278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Herzeliya 4612001</w:t>
            </w:r>
          </w:p>
        </w:tc>
        <w:tc>
          <w:tcPr>
            <w:tcW w:w="1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3"/>
          </w:tcPr>
          <w:p>
            <w:pPr>
              <w:spacing w:after="0" w:line="201" w:lineRule="exact"/>
              <w:rPr>
                <w:sz w:val="20"/>
                <w:szCs w:val="20"/>
                <w:color w:val="auto"/>
              </w:rPr>
            </w:pPr>
            <w:r>
              <w:rPr>
                <w:rFonts w:ascii="Arial" w:cs="Arial" w:eastAsia="Arial" w:hAnsi="Arial"/>
                <w:sz w:val="18"/>
                <w:szCs w:val="18"/>
                <w:color w:val="auto"/>
              </w:rPr>
              <w:t>Ido Adar</w:t>
            </w:r>
          </w:p>
        </w:tc>
        <w:tc>
          <w:tcPr>
            <w:tcW w:w="292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Treasurer</w:t>
            </w:r>
          </w:p>
        </w:tc>
        <w:tc>
          <w:tcPr>
            <w:tcW w:w="3020" w:type="dxa"/>
            <w:vAlign w:val="bottom"/>
            <w:gridSpan w:val="4"/>
          </w:tcPr>
          <w:p>
            <w:pPr>
              <w:ind w:left="120"/>
              <w:spacing w:after="0" w:line="201" w:lineRule="exact"/>
              <w:rPr>
                <w:sz w:val="20"/>
                <w:szCs w:val="20"/>
                <w:color w:val="auto"/>
              </w:rPr>
            </w:pPr>
            <w:r>
              <w:rPr>
                <w:rFonts w:ascii="Arial" w:cs="Arial" w:eastAsia="Arial" w:hAnsi="Arial"/>
                <w:sz w:val="18"/>
                <w:szCs w:val="18"/>
                <w:color w:val="auto"/>
              </w:rPr>
              <w:t>19 Abba Eban Blvd., P.O.B. 2054,</w:t>
            </w:r>
          </w:p>
        </w:tc>
        <w:tc>
          <w:tcPr>
            <w:tcW w:w="278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4"/>
          </w:tcPr>
          <w:p>
            <w:pPr>
              <w:ind w:left="120"/>
              <w:spacing w:after="0"/>
              <w:rPr>
                <w:sz w:val="20"/>
                <w:szCs w:val="20"/>
                <w:color w:val="auto"/>
              </w:rPr>
            </w:pPr>
            <w:r>
              <w:rPr>
                <w:rFonts w:ascii="Arial" w:cs="Arial" w:eastAsia="Arial" w:hAnsi="Arial"/>
                <w:sz w:val="18"/>
                <w:szCs w:val="18"/>
                <w:color w:val="auto"/>
              </w:rPr>
              <w:t>Herzeliya 4612001</w:t>
            </w: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Yossi Barnea</w:t>
            </w:r>
          </w:p>
        </w:tc>
        <w:tc>
          <w:tcPr>
            <w:tcW w:w="292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Chief Investment Officer</w:t>
            </w:r>
          </w:p>
        </w:tc>
        <w:tc>
          <w:tcPr>
            <w:tcW w:w="3020" w:type="dxa"/>
            <w:vAlign w:val="bottom"/>
            <w:gridSpan w:val="4"/>
            <w:shd w:val="clear" w:color="auto" w:fill="CCEEFF"/>
          </w:tcPr>
          <w:p>
            <w:pPr>
              <w:ind w:left="120"/>
              <w:spacing w:after="0" w:line="201" w:lineRule="exact"/>
              <w:rPr>
                <w:sz w:val="20"/>
                <w:szCs w:val="20"/>
                <w:color w:val="auto"/>
              </w:rPr>
            </w:pPr>
            <w:r>
              <w:rPr>
                <w:rFonts w:ascii="Arial" w:cs="Arial" w:eastAsia="Arial" w:hAnsi="Arial"/>
                <w:sz w:val="18"/>
                <w:szCs w:val="18"/>
                <w:color w:val="auto"/>
              </w:rPr>
              <w:t>19 Abba Eban Blvd., P.O.B. 2054,</w:t>
            </w:r>
          </w:p>
        </w:tc>
        <w:tc>
          <w:tcPr>
            <w:tcW w:w="278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Israeli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Herzeliya 4612001</w:t>
            </w:r>
          </w:p>
        </w:tc>
        <w:tc>
          <w:tcPr>
            <w:tcW w:w="1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Mr. Tshuva is a Reporting Person and, as such, the information with respect to Mr. Tshuva called for by Item 2 of Schedule 13D is 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M2239P 10 9</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40" w:type="dxa"/>
            <w:vAlign w:val="bottom"/>
            <w:gridSpan w:val="6"/>
          </w:tcPr>
          <w:p>
            <w:pPr>
              <w:jc w:val="center"/>
              <w:ind w:right="2640"/>
              <w:spacing w:after="0"/>
              <w:rPr>
                <w:sz w:val="20"/>
                <w:szCs w:val="20"/>
                <w:color w:val="auto"/>
              </w:rPr>
            </w:pPr>
            <w:r>
              <w:rPr>
                <w:rFonts w:ascii="Arial" w:cs="Arial" w:eastAsia="Arial" w:hAnsi="Arial"/>
                <w:sz w:val="18"/>
                <w:szCs w:val="18"/>
                <w:b w:val="1"/>
                <w:bCs w:val="1"/>
                <w:color w:val="auto"/>
                <w:w w:val="99"/>
              </w:rPr>
              <w:t>SCHEDULE B</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89"/>
              </w:rPr>
              <w:t>Transaction in the Shares Since the Filing of Amendment No. 3 to the Schedule 13D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rPr>
              <w:t>Nature of Transaction</w:t>
            </w:r>
          </w:p>
        </w:tc>
        <w:tc>
          <w:tcPr>
            <w:tcW w:w="460" w:type="dxa"/>
            <w:vAlign w:val="bottom"/>
          </w:tcPr>
          <w:p>
            <w:pPr>
              <w:spacing w:after="0"/>
              <w:rPr>
                <w:sz w:val="24"/>
                <w:szCs w:val="24"/>
                <w:color w:val="auto"/>
              </w:rPr>
            </w:pPr>
          </w:p>
        </w:tc>
        <w:tc>
          <w:tcPr>
            <w:tcW w:w="2140" w:type="dxa"/>
            <w:vAlign w:val="bottom"/>
            <w:gridSpan w:val="4"/>
          </w:tcPr>
          <w:p>
            <w:pPr>
              <w:jc w:val="center"/>
              <w:ind w:left="410"/>
              <w:spacing w:after="0"/>
              <w:rPr>
                <w:sz w:val="20"/>
                <w:szCs w:val="20"/>
                <w:color w:val="auto"/>
              </w:rPr>
            </w:pPr>
            <w:r>
              <w:rPr>
                <w:rFonts w:ascii="Arial" w:cs="Arial" w:eastAsia="Arial" w:hAnsi="Arial"/>
                <w:sz w:val="18"/>
                <w:szCs w:val="18"/>
                <w:color w:val="auto"/>
                <w:w w:val="88"/>
              </w:rPr>
              <w:t>Date of Purchase/Sale</w:t>
            </w:r>
          </w:p>
        </w:tc>
        <w:tc>
          <w:tcPr>
            <w:tcW w:w="128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Securities Purchased</w:t>
            </w:r>
          </w:p>
        </w:tc>
        <w:tc>
          <w:tcPr>
            <w:tcW w:w="2460" w:type="dxa"/>
            <w:vAlign w:val="bottom"/>
            <w:gridSpan w:val="4"/>
          </w:tcPr>
          <w:p>
            <w:pPr>
              <w:jc w:val="center"/>
              <w:ind w:right="380"/>
              <w:spacing w:after="0"/>
              <w:rPr>
                <w:sz w:val="20"/>
                <w:szCs w:val="20"/>
                <w:color w:val="auto"/>
              </w:rPr>
            </w:pPr>
            <w:r>
              <w:rPr>
                <w:rFonts w:ascii="Arial" w:cs="Arial" w:eastAsia="Arial" w:hAnsi="Arial"/>
                <w:sz w:val="18"/>
                <w:szCs w:val="18"/>
                <w:color w:val="auto"/>
                <w:w w:val="88"/>
              </w:rPr>
              <w:t>Price Per Share [U.S. cents]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20" w:type="dxa"/>
            <w:vAlign w:val="bottom"/>
            <w:gridSpan w:val="8"/>
          </w:tcPr>
          <w:p>
            <w:pPr>
              <w:jc w:val="center"/>
              <w:ind w:right="2280"/>
              <w:spacing w:after="0"/>
              <w:rPr>
                <w:sz w:val="20"/>
                <w:szCs w:val="20"/>
                <w:color w:val="auto"/>
              </w:rPr>
            </w:pPr>
            <w:r>
              <w:rPr>
                <w:rFonts w:ascii="Arial" w:cs="Arial" w:eastAsia="Arial" w:hAnsi="Arial"/>
                <w:sz w:val="18"/>
                <w:szCs w:val="18"/>
                <w:b w:val="1"/>
                <w:bCs w:val="1"/>
                <w:color w:val="auto"/>
                <w:w w:val="98"/>
              </w:rPr>
              <w:t>EXODUS CAPITAL L.P.</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20" w:type="dxa"/>
            <w:vAlign w:val="bottom"/>
            <w:gridSpan w:val="3"/>
            <w:shd w:val="clear" w:color="auto" w:fill="CCEEFF"/>
          </w:tcPr>
          <w:p>
            <w:pPr>
              <w:jc w:val="center"/>
              <w:ind w:left="1230"/>
              <w:spacing w:after="0"/>
              <w:rPr>
                <w:sz w:val="20"/>
                <w:szCs w:val="20"/>
                <w:color w:val="auto"/>
              </w:rPr>
            </w:pPr>
            <w:r>
              <w:rPr>
                <w:rFonts w:ascii="Arial" w:cs="Arial" w:eastAsia="Arial" w:hAnsi="Arial"/>
                <w:sz w:val="18"/>
                <w:szCs w:val="18"/>
                <w:color w:val="auto"/>
                <w:w w:val="90"/>
              </w:rPr>
              <w:t>03/30/2017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center"/>
              <w:ind w:left="1170"/>
              <w:spacing w:after="0"/>
              <w:rPr>
                <w:sz w:val="20"/>
                <w:szCs w:val="20"/>
                <w:color w:val="auto"/>
              </w:rPr>
            </w:pPr>
            <w:r>
              <w:rPr>
                <w:rFonts w:ascii="Arial" w:cs="Arial" w:eastAsia="Arial" w:hAnsi="Arial"/>
                <w:sz w:val="18"/>
                <w:szCs w:val="18"/>
                <w:color w:val="auto"/>
                <w:w w:val="88"/>
              </w:rPr>
              <w:t>2,800</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113.98</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20" w:type="dxa"/>
            <w:vAlign w:val="bottom"/>
            <w:gridSpan w:val="3"/>
          </w:tcPr>
          <w:p>
            <w:pPr>
              <w:jc w:val="center"/>
              <w:ind w:left="1230"/>
              <w:spacing w:after="0"/>
              <w:rPr>
                <w:sz w:val="20"/>
                <w:szCs w:val="20"/>
                <w:color w:val="auto"/>
              </w:rPr>
            </w:pPr>
            <w:r>
              <w:rPr>
                <w:rFonts w:ascii="Arial" w:cs="Arial" w:eastAsia="Arial" w:hAnsi="Arial"/>
                <w:sz w:val="18"/>
                <w:szCs w:val="18"/>
                <w:color w:val="auto"/>
                <w:w w:val="90"/>
              </w:rPr>
              <w:t>03/31/2017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3"/>
          </w:tcPr>
          <w:p>
            <w:pPr>
              <w:jc w:val="center"/>
              <w:ind w:left="1190"/>
              <w:spacing w:after="0"/>
              <w:rPr>
                <w:sz w:val="20"/>
                <w:szCs w:val="20"/>
                <w:color w:val="auto"/>
              </w:rPr>
            </w:pPr>
            <w:r>
              <w:rPr>
                <w:rFonts w:ascii="Arial" w:cs="Arial" w:eastAsia="Arial" w:hAnsi="Arial"/>
                <w:sz w:val="18"/>
                <w:szCs w:val="18"/>
                <w:color w:val="auto"/>
                <w:w w:val="90"/>
              </w:rPr>
              <w:t>40,440</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color w:val="auto"/>
                <w:w w:val="87"/>
              </w:rPr>
              <w:t>113.94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20" w:type="dxa"/>
            <w:vAlign w:val="bottom"/>
            <w:gridSpan w:val="3"/>
            <w:shd w:val="clear" w:color="auto" w:fill="CCEEFF"/>
          </w:tcPr>
          <w:p>
            <w:pPr>
              <w:jc w:val="center"/>
              <w:ind w:left="1230"/>
              <w:spacing w:after="0"/>
              <w:rPr>
                <w:sz w:val="20"/>
                <w:szCs w:val="20"/>
                <w:color w:val="auto"/>
              </w:rPr>
            </w:pPr>
            <w:r>
              <w:rPr>
                <w:rFonts w:ascii="Arial" w:cs="Arial" w:eastAsia="Arial" w:hAnsi="Arial"/>
                <w:sz w:val="18"/>
                <w:szCs w:val="18"/>
                <w:color w:val="auto"/>
                <w:w w:val="90"/>
              </w:rPr>
              <w:t>03/31/2017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center"/>
              <w:ind w:left="1190"/>
              <w:spacing w:after="0"/>
              <w:rPr>
                <w:sz w:val="20"/>
                <w:szCs w:val="20"/>
                <w:color w:val="auto"/>
              </w:rPr>
            </w:pPr>
            <w:r>
              <w:rPr>
                <w:rFonts w:ascii="Arial" w:cs="Arial" w:eastAsia="Arial" w:hAnsi="Arial"/>
                <w:sz w:val="18"/>
                <w:szCs w:val="18"/>
                <w:color w:val="auto"/>
                <w:w w:val="89"/>
              </w:rPr>
              <w:t>121,817</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114.00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20" w:type="dxa"/>
            <w:vAlign w:val="bottom"/>
            <w:gridSpan w:val="3"/>
          </w:tcPr>
          <w:p>
            <w:pPr>
              <w:jc w:val="center"/>
              <w:ind w:left="1230"/>
              <w:spacing w:after="0"/>
              <w:rPr>
                <w:sz w:val="20"/>
                <w:szCs w:val="20"/>
                <w:color w:val="auto"/>
              </w:rPr>
            </w:pPr>
            <w:r>
              <w:rPr>
                <w:rFonts w:ascii="Arial" w:cs="Arial" w:eastAsia="Arial" w:hAnsi="Arial"/>
                <w:sz w:val="18"/>
                <w:szCs w:val="18"/>
                <w:color w:val="auto"/>
                <w:w w:val="90"/>
              </w:rPr>
              <w:t>03/31/2017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3"/>
          </w:tcPr>
          <w:p>
            <w:pPr>
              <w:jc w:val="center"/>
              <w:ind w:left="1190"/>
              <w:spacing w:after="0"/>
              <w:rPr>
                <w:sz w:val="20"/>
                <w:szCs w:val="20"/>
                <w:color w:val="auto"/>
              </w:rPr>
            </w:pPr>
            <w:r>
              <w:rPr>
                <w:rFonts w:ascii="Arial" w:cs="Arial" w:eastAsia="Arial" w:hAnsi="Arial"/>
                <w:sz w:val="18"/>
                <w:szCs w:val="18"/>
                <w:color w:val="auto"/>
                <w:w w:val="90"/>
              </w:rPr>
              <w:t>69,615</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color w:val="auto"/>
                <w:w w:val="87"/>
              </w:rPr>
              <w:t>114.00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20" w:type="dxa"/>
            <w:vAlign w:val="bottom"/>
            <w:gridSpan w:val="3"/>
            <w:shd w:val="clear" w:color="auto" w:fill="CCEEFF"/>
          </w:tcPr>
          <w:p>
            <w:pPr>
              <w:jc w:val="center"/>
              <w:ind w:left="1230"/>
              <w:spacing w:after="0"/>
              <w:rPr>
                <w:sz w:val="20"/>
                <w:szCs w:val="20"/>
                <w:color w:val="auto"/>
              </w:rPr>
            </w:pPr>
            <w:r>
              <w:rPr>
                <w:rFonts w:ascii="Arial" w:cs="Arial" w:eastAsia="Arial" w:hAnsi="Arial"/>
                <w:sz w:val="18"/>
                <w:szCs w:val="18"/>
                <w:color w:val="auto"/>
                <w:w w:val="90"/>
              </w:rPr>
              <w:t>03/31/2017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center"/>
              <w:ind w:left="1190"/>
              <w:spacing w:after="0"/>
              <w:rPr>
                <w:sz w:val="20"/>
                <w:szCs w:val="20"/>
                <w:color w:val="auto"/>
              </w:rPr>
            </w:pPr>
            <w:r>
              <w:rPr>
                <w:rFonts w:ascii="Arial" w:cs="Arial" w:eastAsia="Arial" w:hAnsi="Arial"/>
                <w:sz w:val="18"/>
                <w:szCs w:val="18"/>
                <w:color w:val="auto"/>
                <w:w w:val="89"/>
              </w:rPr>
              <w:t>201,119</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114.00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20" w:type="dxa"/>
            <w:vAlign w:val="bottom"/>
            <w:gridSpan w:val="3"/>
          </w:tcPr>
          <w:p>
            <w:pPr>
              <w:jc w:val="center"/>
              <w:ind w:left="1230"/>
              <w:spacing w:after="0"/>
              <w:rPr>
                <w:sz w:val="20"/>
                <w:szCs w:val="20"/>
                <w:color w:val="auto"/>
              </w:rPr>
            </w:pPr>
            <w:r>
              <w:rPr>
                <w:rFonts w:ascii="Arial" w:cs="Arial" w:eastAsia="Arial" w:hAnsi="Arial"/>
                <w:sz w:val="18"/>
                <w:szCs w:val="18"/>
                <w:color w:val="auto"/>
                <w:w w:val="90"/>
              </w:rPr>
              <w:t>03/31/2017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3"/>
          </w:tcPr>
          <w:p>
            <w:pPr>
              <w:jc w:val="center"/>
              <w:ind w:left="1190"/>
              <w:spacing w:after="0"/>
              <w:rPr>
                <w:sz w:val="20"/>
                <w:szCs w:val="20"/>
                <w:color w:val="auto"/>
              </w:rPr>
            </w:pPr>
            <w:r>
              <w:rPr>
                <w:rFonts w:ascii="Arial" w:cs="Arial" w:eastAsia="Arial" w:hAnsi="Arial"/>
                <w:sz w:val="18"/>
                <w:szCs w:val="18"/>
                <w:color w:val="auto"/>
                <w:w w:val="89"/>
              </w:rPr>
              <w:t>452,011</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color w:val="auto"/>
                <w:w w:val="87"/>
              </w:rPr>
              <w:t>114.00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20" w:type="dxa"/>
            <w:vAlign w:val="bottom"/>
            <w:gridSpan w:val="3"/>
            <w:shd w:val="clear" w:color="auto" w:fill="CCEEFF"/>
          </w:tcPr>
          <w:p>
            <w:pPr>
              <w:jc w:val="center"/>
              <w:ind w:left="1230"/>
              <w:spacing w:after="0"/>
              <w:rPr>
                <w:sz w:val="20"/>
                <w:szCs w:val="20"/>
                <w:color w:val="auto"/>
              </w:rPr>
            </w:pPr>
            <w:r>
              <w:rPr>
                <w:rFonts w:ascii="Arial" w:cs="Arial" w:eastAsia="Arial" w:hAnsi="Arial"/>
                <w:sz w:val="18"/>
                <w:szCs w:val="18"/>
                <w:color w:val="auto"/>
                <w:w w:val="90"/>
              </w:rPr>
              <w:t>04/03/2017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center"/>
              <w:ind w:left="1190"/>
              <w:spacing w:after="0"/>
              <w:rPr>
                <w:sz w:val="20"/>
                <w:szCs w:val="20"/>
                <w:color w:val="auto"/>
              </w:rPr>
            </w:pPr>
            <w:r>
              <w:rPr>
                <w:rFonts w:ascii="Arial" w:cs="Arial" w:eastAsia="Arial" w:hAnsi="Arial"/>
                <w:sz w:val="18"/>
                <w:szCs w:val="18"/>
                <w:color w:val="auto"/>
                <w:w w:val="89"/>
              </w:rPr>
              <w:t>191,863</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111.02</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20" w:type="dxa"/>
            <w:vAlign w:val="bottom"/>
            <w:gridSpan w:val="3"/>
          </w:tcPr>
          <w:p>
            <w:pPr>
              <w:jc w:val="center"/>
              <w:ind w:left="1230"/>
              <w:spacing w:after="0"/>
              <w:rPr>
                <w:sz w:val="20"/>
                <w:szCs w:val="20"/>
                <w:color w:val="auto"/>
              </w:rPr>
            </w:pPr>
            <w:r>
              <w:rPr>
                <w:rFonts w:ascii="Arial" w:cs="Arial" w:eastAsia="Arial" w:hAnsi="Arial"/>
                <w:sz w:val="18"/>
                <w:szCs w:val="18"/>
                <w:color w:val="auto"/>
                <w:w w:val="90"/>
              </w:rPr>
              <w:t>04/04/2017</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3"/>
          </w:tcPr>
          <w:p>
            <w:pPr>
              <w:jc w:val="center"/>
              <w:ind w:left="1190"/>
              <w:spacing w:after="0"/>
              <w:rPr>
                <w:sz w:val="20"/>
                <w:szCs w:val="20"/>
                <w:color w:val="auto"/>
              </w:rPr>
            </w:pPr>
            <w:r>
              <w:rPr>
                <w:rFonts w:ascii="Arial" w:cs="Arial" w:eastAsia="Arial" w:hAnsi="Arial"/>
                <w:sz w:val="18"/>
                <w:szCs w:val="18"/>
                <w:color w:val="auto"/>
                <w:w w:val="90"/>
              </w:rPr>
              <w:t>22,676</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color w:val="auto"/>
                <w:w w:val="90"/>
              </w:rPr>
              <w:t>109.00</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760" w:type="dxa"/>
            <w:vAlign w:val="bottom"/>
            <w:gridSpan w:val="18"/>
          </w:tcPr>
          <w:p>
            <w:pPr>
              <w:jc w:val="center"/>
              <w:ind w:right="660"/>
              <w:spacing w:after="0"/>
              <w:rPr>
                <w:sz w:val="20"/>
                <w:szCs w:val="20"/>
                <w:color w:val="auto"/>
              </w:rPr>
            </w:pPr>
            <w:r>
              <w:rPr>
                <w:rFonts w:ascii="Arial" w:cs="Arial" w:eastAsia="Arial" w:hAnsi="Arial"/>
                <w:sz w:val="18"/>
                <w:szCs w:val="18"/>
                <w:b w:val="1"/>
                <w:bCs w:val="1"/>
                <w:color w:val="auto"/>
              </w:rPr>
              <w:t>EXODUS MANAGEMENT ISRAEL LTD. (THROUGH THE EXODUS MANAGED ACCOUNT)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20" w:type="dxa"/>
            <w:vAlign w:val="bottom"/>
            <w:gridSpan w:val="3"/>
            <w:shd w:val="clear" w:color="auto" w:fill="CCEEFF"/>
          </w:tcPr>
          <w:p>
            <w:pPr>
              <w:jc w:val="center"/>
              <w:ind w:left="1230"/>
              <w:spacing w:after="0"/>
              <w:rPr>
                <w:sz w:val="20"/>
                <w:szCs w:val="20"/>
                <w:color w:val="auto"/>
              </w:rPr>
            </w:pPr>
            <w:r>
              <w:rPr>
                <w:rFonts w:ascii="Arial" w:cs="Arial" w:eastAsia="Arial" w:hAnsi="Arial"/>
                <w:sz w:val="18"/>
                <w:szCs w:val="18"/>
                <w:color w:val="auto"/>
                <w:w w:val="90"/>
              </w:rPr>
              <w:t>03/28/2017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center"/>
              <w:ind w:left="1190"/>
              <w:spacing w:after="0"/>
              <w:rPr>
                <w:sz w:val="20"/>
                <w:szCs w:val="20"/>
                <w:color w:val="auto"/>
              </w:rPr>
            </w:pPr>
            <w:r>
              <w:rPr>
                <w:rFonts w:ascii="Arial" w:cs="Arial" w:eastAsia="Arial" w:hAnsi="Arial"/>
                <w:sz w:val="18"/>
                <w:szCs w:val="18"/>
                <w:color w:val="auto"/>
                <w:w w:val="90"/>
              </w:rPr>
              <w:t>26,409</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113.98</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20" w:type="dxa"/>
            <w:vAlign w:val="bottom"/>
            <w:gridSpan w:val="3"/>
          </w:tcPr>
          <w:p>
            <w:pPr>
              <w:jc w:val="center"/>
              <w:ind w:left="1230"/>
              <w:spacing w:after="0"/>
              <w:rPr>
                <w:sz w:val="20"/>
                <w:szCs w:val="20"/>
                <w:color w:val="auto"/>
              </w:rPr>
            </w:pPr>
            <w:r>
              <w:rPr>
                <w:rFonts w:ascii="Arial" w:cs="Arial" w:eastAsia="Arial" w:hAnsi="Arial"/>
                <w:sz w:val="18"/>
                <w:szCs w:val="18"/>
                <w:color w:val="auto"/>
                <w:w w:val="90"/>
              </w:rPr>
              <w:t>03/29/2017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3"/>
          </w:tcPr>
          <w:p>
            <w:pPr>
              <w:jc w:val="center"/>
              <w:ind w:left="1190"/>
              <w:spacing w:after="0"/>
              <w:rPr>
                <w:sz w:val="20"/>
                <w:szCs w:val="20"/>
                <w:color w:val="auto"/>
              </w:rPr>
            </w:pPr>
            <w:r>
              <w:rPr>
                <w:rFonts w:ascii="Arial" w:cs="Arial" w:eastAsia="Arial" w:hAnsi="Arial"/>
                <w:sz w:val="18"/>
                <w:szCs w:val="18"/>
                <w:color w:val="auto"/>
                <w:w w:val="90"/>
              </w:rPr>
              <w:t>18,168</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color w:val="auto"/>
                <w:w w:val="87"/>
              </w:rPr>
              <w:t>114.75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20" w:type="dxa"/>
            <w:vAlign w:val="bottom"/>
            <w:gridSpan w:val="3"/>
            <w:shd w:val="clear" w:color="auto" w:fill="CCEEFF"/>
          </w:tcPr>
          <w:p>
            <w:pPr>
              <w:jc w:val="center"/>
              <w:ind w:left="1230"/>
              <w:spacing w:after="0"/>
              <w:rPr>
                <w:sz w:val="20"/>
                <w:szCs w:val="20"/>
                <w:color w:val="auto"/>
              </w:rPr>
            </w:pPr>
            <w:r>
              <w:rPr>
                <w:rFonts w:ascii="Arial" w:cs="Arial" w:eastAsia="Arial" w:hAnsi="Arial"/>
                <w:sz w:val="18"/>
                <w:szCs w:val="18"/>
                <w:color w:val="auto"/>
                <w:w w:val="90"/>
              </w:rPr>
              <w:t>03/29/2017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center"/>
              <w:ind w:left="1170"/>
              <w:spacing w:after="0"/>
              <w:rPr>
                <w:sz w:val="20"/>
                <w:szCs w:val="20"/>
                <w:color w:val="auto"/>
              </w:rPr>
            </w:pPr>
            <w:r>
              <w:rPr>
                <w:rFonts w:ascii="Arial" w:cs="Arial" w:eastAsia="Arial" w:hAnsi="Arial"/>
                <w:sz w:val="18"/>
                <w:szCs w:val="18"/>
                <w:color w:val="auto"/>
                <w:w w:val="87"/>
              </w:rPr>
              <w:t>11,832</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114.97</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80" w:type="dxa"/>
            <w:vAlign w:val="bottom"/>
            <w:gridSpan w:val="10"/>
          </w:tcPr>
          <w:p>
            <w:pPr>
              <w:jc w:val="center"/>
              <w:ind w:right="520"/>
              <w:spacing w:after="0"/>
              <w:rPr>
                <w:sz w:val="20"/>
                <w:szCs w:val="20"/>
                <w:color w:val="auto"/>
              </w:rPr>
            </w:pPr>
            <w:r>
              <w:rPr>
                <w:rFonts w:ascii="Arial" w:cs="Arial" w:eastAsia="Arial" w:hAnsi="Arial"/>
                <w:sz w:val="18"/>
                <w:szCs w:val="18"/>
                <w:b w:val="1"/>
                <w:bCs w:val="1"/>
                <w:color w:val="auto"/>
              </w:rPr>
              <w:t>THE PHOENIX HOLDING LTD. (THROUGH THE SUBSIDIARIES)</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Ordinary Shares*</w:t>
            </w:r>
          </w:p>
        </w:tc>
        <w:tc>
          <w:tcPr>
            <w:tcW w:w="2220" w:type="dxa"/>
            <w:vAlign w:val="bottom"/>
            <w:gridSpan w:val="3"/>
            <w:shd w:val="clear" w:color="auto" w:fill="CCEEFF"/>
          </w:tcPr>
          <w:p>
            <w:pPr>
              <w:jc w:val="center"/>
              <w:ind w:left="1230"/>
              <w:spacing w:after="0"/>
              <w:rPr>
                <w:sz w:val="20"/>
                <w:szCs w:val="20"/>
                <w:color w:val="auto"/>
              </w:rPr>
            </w:pPr>
            <w:r>
              <w:rPr>
                <w:rFonts w:ascii="Arial" w:cs="Arial" w:eastAsia="Arial" w:hAnsi="Arial"/>
                <w:sz w:val="18"/>
                <w:szCs w:val="18"/>
                <w:color w:val="auto"/>
                <w:w w:val="90"/>
              </w:rPr>
              <w:t>03/31/2017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center"/>
              <w:ind w:left="1190"/>
              <w:spacing w:after="0"/>
              <w:rPr>
                <w:sz w:val="20"/>
                <w:szCs w:val="20"/>
                <w:color w:val="auto"/>
              </w:rPr>
            </w:pPr>
            <w:r>
              <w:rPr>
                <w:rFonts w:ascii="Arial" w:cs="Arial" w:eastAsia="Arial" w:hAnsi="Arial"/>
                <w:sz w:val="18"/>
                <w:szCs w:val="18"/>
                <w:color w:val="auto"/>
                <w:w w:val="89"/>
              </w:rPr>
              <w:t>226,006</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114.00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gridSpan w:val="4"/>
          </w:tcPr>
          <w:p>
            <w:pPr>
              <w:spacing w:after="0"/>
              <w:rPr>
                <w:sz w:val="20"/>
                <w:szCs w:val="20"/>
                <w:color w:val="auto"/>
              </w:rPr>
            </w:pPr>
            <w:r>
              <w:rPr>
                <w:rFonts w:ascii="Arial" w:cs="Arial" w:eastAsia="Arial" w:hAnsi="Arial"/>
                <w:sz w:val="18"/>
                <w:szCs w:val="18"/>
                <w:color w:val="auto"/>
              </w:rPr>
              <w:t>Purchase of Ordinary Shares*</w:t>
            </w:r>
          </w:p>
        </w:tc>
        <w:tc>
          <w:tcPr>
            <w:tcW w:w="2220" w:type="dxa"/>
            <w:vAlign w:val="bottom"/>
            <w:gridSpan w:val="3"/>
          </w:tcPr>
          <w:p>
            <w:pPr>
              <w:jc w:val="center"/>
              <w:ind w:left="1230"/>
              <w:spacing w:after="0"/>
              <w:rPr>
                <w:sz w:val="20"/>
                <w:szCs w:val="20"/>
                <w:color w:val="auto"/>
              </w:rPr>
            </w:pPr>
            <w:r>
              <w:rPr>
                <w:rFonts w:ascii="Arial" w:cs="Arial" w:eastAsia="Arial" w:hAnsi="Arial"/>
                <w:sz w:val="18"/>
                <w:szCs w:val="18"/>
                <w:color w:val="auto"/>
                <w:w w:val="90"/>
              </w:rPr>
              <w:t>03/31/2017</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3"/>
          </w:tcPr>
          <w:p>
            <w:pPr>
              <w:jc w:val="center"/>
              <w:ind w:left="1190"/>
              <w:spacing w:after="0"/>
              <w:rPr>
                <w:sz w:val="20"/>
                <w:szCs w:val="20"/>
                <w:color w:val="auto"/>
              </w:rPr>
            </w:pPr>
            <w:r>
              <w:rPr>
                <w:rFonts w:ascii="Arial" w:cs="Arial" w:eastAsia="Arial" w:hAnsi="Arial"/>
                <w:sz w:val="18"/>
                <w:szCs w:val="18"/>
                <w:color w:val="auto"/>
                <w:w w:val="89"/>
              </w:rPr>
              <w:t>226,006</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color w:val="auto"/>
                <w:w w:val="87"/>
              </w:rPr>
              <w:t>114.00</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*These Shares were purchased from Brosh Capital L.P. in a private transaction.</w:t>
      </w:r>
    </w:p>
    <w:p>
      <w:pPr>
        <w:sectPr>
          <w:pgSz w:w="11900" w:h="16838" w:orient="portrait"/>
          <w:cols w:equalWidth="0" w:num="1">
            <w:col w:w="11420"/>
          </w:cols>
          <w:pgMar w:left="240" w:top="226"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22"/>
          <w:szCs w:val="22"/>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Rule 13d-1(k)(1)(iii) under the Securities Exchange Act of 1934, as amended, the persons named below agree to the joint filing on behalf of each of them of a Statement on Schedule 13D (including amendments thereto) with respect to the shares of Ordinary Shares, par value of NIS 0.01, of Alcobra Ltd. This Joint Filing Agreement shall be filed as an Exhibit to such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April 4, 2017</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EXODUS CAPITAL L.P.</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68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195"/>
        </w:trPr>
        <w:tc>
          <w:tcPr>
            <w:tcW w:w="6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6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EXODUS MANAGEMENT ISRAEL LTD.</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195"/>
        </w:trPr>
        <w:tc>
          <w:tcPr>
            <w:tcW w:w="6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6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THE PHOENIX HOLDING LTD.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195"/>
        </w:trPr>
        <w:tc>
          <w:tcPr>
            <w:tcW w:w="6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6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DELEK GROUP LTD.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Amir Efrati</w:t>
            </w:r>
          </w:p>
        </w:tc>
      </w:tr>
      <w:tr>
        <w:trPr>
          <w:trHeight w:val="195"/>
        </w:trPr>
        <w:tc>
          <w:tcPr>
            <w:tcW w:w="6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6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Amir Efrati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Individually, and as attorney-in-fact for Itshak Sharon (Tshuva)</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1"/>
      <w:numFmt w:val="decimal"/>
      <w:start w:val="14"/>
    </w:lvl>
  </w:abstractNum>
  <w:abstractNum w:abstractNumId="3">
    <w:nsid w:val="515F007C"/>
    <w:multiLevelType w:val="hybridMultilevel"/>
    <w:lvl w:ilvl="0">
      <w:lvlJc w:val="left"/>
      <w:lvlText w:val="%1"/>
      <w:numFmt w:val="decimal"/>
      <w:start w:val="14"/>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Roman"/>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4"/>
    </w:lvl>
  </w:abstractNum>
  <w:abstractNum w:abstractNumId="8">
    <w:nsid w:val="1F16E9E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9">
    <w:nsid w:val="1190CDE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0">
    <w:nsid w:val="66EF438D"/>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11">
    <w:nsid w:val="140E0F76"/>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2"/>
    </w:lvl>
  </w:abstractNum>
  <w:abstractNum w:abstractNumId="12">
    <w:nsid w:val="3352255A"/>
    <w:multiLevelType w:val="hybridMultilevel"/>
    <w:lvl w:ilvl="0">
      <w:lvlJc w:val="left"/>
      <w:lvlText w:val="%1."/>
      <w:numFmt w:val="upperLetter"/>
      <w:start w:val="5"/>
    </w:lvl>
    <w:lvl w:ilvl="1">
      <w:lvlJc w:val="left"/>
      <w:lvlText w:val="(%2)"/>
      <w:numFmt w:val="lowerLetter"/>
      <w:start w:val="1"/>
    </w:lvl>
    <w:lvl w:ilvl="2">
      <w:lvlJc w:val="left"/>
      <w:lvlText w:val="%3."/>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2019-12-07T18:39:35Z</dcterms:created>
  <dcterms:modified xsi:type="dcterms:W3CDTF">2019-12-07T18:39:35Z</dcterms:modified>
</cp:coreProperties>
</file>