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6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8"/>
            <w:vMerge w:val="restart"/>
          </w:tcPr>
          <w:p>
            <w:pPr>
              <w:jc w:val="center"/>
              <w:ind w:left="46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jc w:val="right"/>
              <w:ind w:right="158"/>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0" w:type="dxa"/>
            <w:vAlign w:val="bottom"/>
            <w:gridSpan w:val="18"/>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8"/>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restart"/>
          </w:tcPr>
          <w:p>
            <w:pPr>
              <w:ind w:left="20"/>
              <w:spacing w:after="0"/>
              <w:rPr>
                <w:rFonts w:ascii="Arial" w:cs="Arial" w:eastAsia="Arial" w:hAnsi="Arial"/>
                <w:sz w:val="21"/>
                <w:szCs w:val="21"/>
                <w:color w:val="0000EE"/>
                <w:w w:val="96"/>
              </w:rPr>
            </w:pPr>
            <w:hyperlink r:id="rId8">
              <w:r>
                <w:rPr>
                  <w:rFonts w:ascii="Arial" w:cs="Arial" w:eastAsia="Arial" w:hAnsi="Arial"/>
                  <w:sz w:val="21"/>
                  <w:szCs w:val="21"/>
                  <w:color w:val="0000EE"/>
                  <w:w w:val="96"/>
                </w:rPr>
                <w:t>Markels John</w:t>
              </w:r>
            </w:hyperlink>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gridSpan w:val="18"/>
          </w:tcPr>
          <w:p>
            <w:pPr>
              <w:spacing w:after="0" w:line="170" w:lineRule="exact"/>
              <w:rPr>
                <w:rFonts w:ascii="Arial" w:cs="Arial" w:eastAsia="Arial" w:hAnsi="Arial"/>
                <w:sz w:val="16"/>
                <w:szCs w:val="16"/>
                <w:color w:val="0000EE"/>
              </w:rPr>
            </w:pPr>
            <w:hyperlink r:id="rId9">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ARCT</w:t>
            </w:r>
            <w:r>
              <w:rPr>
                <w:rFonts w:ascii="Arial" w:cs="Arial" w:eastAsia="Arial" w:hAnsi="Arial"/>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0" w:type="dxa"/>
            <w:vAlign w:val="bottom"/>
            <w:gridSpan w:val="4"/>
            <w:vMerge w:val="restart"/>
          </w:tcPr>
          <w:p>
            <w:pPr>
              <w:ind w:left="240"/>
              <w:spacing w:after="0" w:line="227" w:lineRule="exact"/>
              <w:rPr>
                <w:sz w:val="20"/>
                <w:szCs w:val="20"/>
                <w:color w:val="auto"/>
              </w:rPr>
            </w:pPr>
            <w:r>
              <w:rPr>
                <w:rFonts w:ascii="Arial" w:cs="Arial" w:eastAsia="Arial" w:hAnsi="Arial"/>
                <w:sz w:val="21"/>
                <w:szCs w:val="21"/>
                <w:color w:val="auto"/>
              </w:rPr>
              <w:t>]</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9"/>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C/O ARCTURUS THERAPEUTICS HOLDINGS</w:t>
            </w:r>
          </w:p>
        </w:tc>
        <w:tc>
          <w:tcPr>
            <w:tcW w:w="1280" w:type="dxa"/>
            <w:vAlign w:val="bottom"/>
            <w:gridSpan w:val="7"/>
          </w:tcPr>
          <w:p>
            <w:pPr>
              <w:ind w:left="240"/>
              <w:spacing w:after="0"/>
              <w:rPr>
                <w:sz w:val="20"/>
                <w:szCs w:val="20"/>
                <w:color w:val="auto"/>
              </w:rPr>
            </w:pPr>
            <w:r>
              <w:rPr>
                <w:rFonts w:ascii="Arial" w:cs="Arial" w:eastAsia="Arial" w:hAnsi="Arial"/>
                <w:sz w:val="17"/>
                <w:szCs w:val="17"/>
                <w:color w:val="0000FF"/>
              </w:rPr>
              <w:t>08/01/2023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line="188" w:lineRule="exact"/>
              <w:rPr>
                <w:sz w:val="20"/>
                <w:szCs w:val="20"/>
                <w:color w:val="auto"/>
              </w:rPr>
            </w:pPr>
            <w:r>
              <w:rPr>
                <w:rFonts w:ascii="Arial" w:cs="Arial" w:eastAsia="Arial" w:hAnsi="Arial"/>
                <w:sz w:val="17"/>
                <w:szCs w:val="17"/>
                <w:color w:val="0000FF"/>
              </w:rPr>
              <w:t>INC.</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10628 SCIENCE CENTER DRIVE, SUITE 250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SAN DIEGO</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92121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8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6"/>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440" w:type="dxa"/>
            <w:vAlign w:val="bottom"/>
            <w:tcBorders>
              <w:bottom w:val="single" w:sz="8" w:color="2C2C2C"/>
            </w:tcBorders>
            <w:gridSpan w:val="6"/>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8"/>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34.92</w:t>
            </w:r>
          </w:p>
        </w:tc>
        <w:tc>
          <w:tcPr>
            <w:tcW w:w="140" w:type="dxa"/>
            <w:vAlign w:val="bottom"/>
          </w:tcPr>
          <w:p>
            <w:pPr>
              <w:spacing w:after="0"/>
              <w:rPr>
                <w:sz w:val="17"/>
                <w:szCs w:val="17"/>
                <w:color w:val="auto"/>
              </w:rPr>
            </w:pPr>
          </w:p>
        </w:tc>
        <w:tc>
          <w:tcPr>
            <w:tcW w:w="1040" w:type="dxa"/>
            <w:vAlign w:val="bottom"/>
          </w:tcPr>
          <w:p>
            <w:pPr>
              <w:jc w:val="right"/>
              <w:ind w:right="112"/>
              <w:spacing w:after="0"/>
              <w:rPr>
                <w:sz w:val="20"/>
                <w:szCs w:val="20"/>
                <w:color w:val="auto"/>
              </w:rPr>
            </w:pPr>
            <w:r>
              <w:rPr>
                <w:rFonts w:ascii="Arial" w:cs="Arial" w:eastAsia="Arial" w:hAnsi="Arial"/>
                <w:sz w:val="13"/>
                <w:szCs w:val="13"/>
                <w:color w:val="0000FF"/>
              </w:rPr>
              <w:t>08/01/2023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500" w:type="dxa"/>
            <w:vAlign w:val="bottom"/>
          </w:tcPr>
          <w:p>
            <w:pPr>
              <w:jc w:val="right"/>
              <w:ind w:right="20"/>
              <w:spacing w:after="0"/>
              <w:rPr>
                <w:sz w:val="20"/>
                <w:szCs w:val="20"/>
                <w:color w:val="auto"/>
              </w:rPr>
            </w:pPr>
            <w:r>
              <w:rPr>
                <w:rFonts w:ascii="Arial" w:cs="Arial" w:eastAsia="Arial" w:hAnsi="Arial"/>
                <w:sz w:val="13"/>
                <w:szCs w:val="13"/>
                <w:color w:val="0000FF"/>
              </w:rPr>
              <w:t>11,869</w:t>
            </w:r>
          </w:p>
        </w:tc>
        <w:tc>
          <w:tcPr>
            <w:tcW w:w="32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00" w:type="dxa"/>
            <w:vAlign w:val="bottom"/>
            <w:gridSpan w:val="2"/>
          </w:tcPr>
          <w:p>
            <w:pPr>
              <w:jc w:val="right"/>
              <w:ind w:right="22"/>
              <w:spacing w:after="0"/>
              <w:rPr>
                <w:sz w:val="20"/>
                <w:szCs w:val="20"/>
                <w:color w:val="auto"/>
              </w:rPr>
            </w:pPr>
            <w:r>
              <w:rPr>
                <w:rFonts w:ascii="Arial" w:cs="Arial" w:eastAsia="Arial" w:hAnsi="Arial"/>
                <w:sz w:val="13"/>
                <w:szCs w:val="13"/>
                <w:color w:val="0000FF"/>
              </w:rPr>
              <w:t>08/01/2033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spacing w:after="0"/>
              <w:rPr>
                <w:sz w:val="20"/>
                <w:szCs w:val="20"/>
                <w:color w:val="auto"/>
              </w:rPr>
            </w:pPr>
            <w:r>
              <w:rPr>
                <w:rFonts w:ascii="Arial" w:cs="Arial" w:eastAsia="Arial" w:hAnsi="Arial"/>
                <w:sz w:val="17"/>
                <w:szCs w:val="17"/>
                <w:color w:val="0000FF"/>
                <w:w w:val="84"/>
              </w:rPr>
              <w:t>11,869</w:t>
            </w:r>
          </w:p>
        </w:tc>
        <w:tc>
          <w:tcPr>
            <w:tcW w:w="16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jc w:val="right"/>
              <w:spacing w:after="0"/>
              <w:rPr>
                <w:sz w:val="20"/>
                <w:szCs w:val="20"/>
                <w:color w:val="auto"/>
              </w:rPr>
            </w:pPr>
            <w:r>
              <w:rPr>
                <w:rFonts w:ascii="Arial" w:cs="Arial" w:eastAsia="Arial" w:hAnsi="Arial"/>
                <w:sz w:val="13"/>
                <w:szCs w:val="13"/>
                <w:color w:val="0000FF"/>
              </w:rPr>
              <w:t>11,869</w:t>
            </w:r>
          </w:p>
        </w:tc>
        <w:tc>
          <w:tcPr>
            <w:tcW w:w="280" w:type="dxa"/>
            <w:vAlign w:val="bottom"/>
          </w:tcPr>
          <w:p>
            <w:pPr>
              <w:spacing w:after="0"/>
              <w:rPr>
                <w:sz w:val="17"/>
                <w:szCs w:val="17"/>
                <w:color w:val="auto"/>
              </w:rPr>
            </w:pPr>
          </w:p>
        </w:tc>
        <w:tc>
          <w:tcPr>
            <w:tcW w:w="640" w:type="dxa"/>
            <w:vAlign w:val="bottom"/>
          </w:tcPr>
          <w:p>
            <w:pPr>
              <w:jc w:val="right"/>
              <w:ind w:right="158"/>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gridSpan w:val="3"/>
          </w:tcPr>
          <w:p>
            <w:pPr>
              <w:ind w:left="60"/>
              <w:spacing w:after="0" w:line="83" w:lineRule="exact"/>
              <w:rPr>
                <w:sz w:val="20"/>
                <w:szCs w:val="20"/>
                <w:color w:val="auto"/>
              </w:rPr>
            </w:pPr>
            <w:r>
              <w:rPr>
                <w:rFonts w:ascii="Arial" w:cs="Arial" w:eastAsia="Arial" w:hAnsi="Arial"/>
                <w:sz w:val="9"/>
                <w:szCs w:val="9"/>
                <w:color w:val="0000FF"/>
              </w:rPr>
              <w:t>(right to</w:t>
            </w: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2"/>
          </w:tcPr>
          <w:p>
            <w:pPr>
              <w:ind w:left="14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7"/>
              <w:spacing w:after="0"/>
              <w:rPr>
                <w:sz w:val="20"/>
                <w:szCs w:val="20"/>
                <w:color w:val="auto"/>
              </w:rPr>
            </w:pPr>
            <w:r>
              <w:rPr>
                <w:rFonts w:ascii="Arial" w:cs="Arial" w:eastAsia="Arial" w:hAnsi="Arial"/>
                <w:sz w:val="17"/>
                <w:szCs w:val="17"/>
                <w:color w:val="0000FF"/>
                <w:w w:val="93"/>
              </w:rPr>
              <w:t>3,131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7" w:lineRule="exact"/>
              <w:rPr>
                <w:sz w:val="20"/>
                <w:szCs w:val="20"/>
                <w:color w:val="auto"/>
              </w:rPr>
            </w:pPr>
            <w:r>
              <w:rPr>
                <w:rFonts w:ascii="Arial" w:cs="Arial" w:eastAsia="Arial" w:hAnsi="Arial"/>
                <w:sz w:val="13"/>
                <w:szCs w:val="13"/>
                <w:color w:val="0000FF"/>
              </w:rPr>
              <w:t>Stock</w:t>
            </w:r>
          </w:p>
        </w:tc>
        <w:tc>
          <w:tcPr>
            <w:tcW w:w="560" w:type="dxa"/>
            <w:vAlign w:val="bottom"/>
          </w:tcPr>
          <w:p>
            <w:pPr>
              <w:jc w:val="right"/>
              <w:ind w:right="35"/>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12"/>
              <w:spacing w:after="0" w:line="127" w:lineRule="exact"/>
              <w:rPr>
                <w:sz w:val="20"/>
                <w:szCs w:val="20"/>
                <w:color w:val="auto"/>
              </w:rPr>
            </w:pPr>
            <w:r>
              <w:rPr>
                <w:rFonts w:ascii="Arial" w:cs="Arial" w:eastAsia="Arial" w:hAnsi="Arial"/>
                <w:sz w:val="13"/>
                <w:szCs w:val="13"/>
                <w:color w:val="0000FF"/>
              </w:rPr>
              <w:t>08/01/2023</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40"/>
              <w:spacing w:after="0" w:line="127"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1"/>
                <w:szCs w:val="11"/>
                <w:color w:val="auto"/>
              </w:rPr>
            </w:pPr>
          </w:p>
        </w:tc>
        <w:tc>
          <w:tcPr>
            <w:tcW w:w="500" w:type="dxa"/>
            <w:vAlign w:val="bottom"/>
          </w:tcPr>
          <w:p>
            <w:pPr>
              <w:jc w:val="right"/>
              <w:ind w:right="40"/>
              <w:spacing w:after="0" w:line="127" w:lineRule="exact"/>
              <w:rPr>
                <w:sz w:val="20"/>
                <w:szCs w:val="20"/>
                <w:color w:val="auto"/>
              </w:rPr>
            </w:pPr>
            <w:r>
              <w:rPr>
                <w:rFonts w:ascii="Arial" w:cs="Arial" w:eastAsia="Arial" w:hAnsi="Arial"/>
                <w:sz w:val="13"/>
                <w:szCs w:val="13"/>
                <w:color w:val="0000FF"/>
              </w:rPr>
              <w:t>3,131</w:t>
            </w:r>
          </w:p>
        </w:tc>
        <w:tc>
          <w:tcPr>
            <w:tcW w:w="320" w:type="dxa"/>
            <w:vAlign w:val="bottom"/>
          </w:tcPr>
          <w:p>
            <w:pPr>
              <w:spacing w:after="0"/>
              <w:rPr>
                <w:sz w:val="11"/>
                <w:szCs w:val="11"/>
                <w:color w:val="auto"/>
              </w:rPr>
            </w:pPr>
          </w:p>
        </w:tc>
        <w:tc>
          <w:tcPr>
            <w:tcW w:w="7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1"/>
                <w:szCs w:val="11"/>
                <w:color w:val="auto"/>
              </w:rPr>
            </w:pPr>
          </w:p>
        </w:tc>
        <w:tc>
          <w:tcPr>
            <w:tcW w:w="480" w:type="dxa"/>
            <w:vAlign w:val="bottom"/>
          </w:tcPr>
          <w:p>
            <w:pPr>
              <w:jc w:val="right"/>
              <w:ind w:right="262"/>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4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jc w:val="right"/>
              <w:spacing w:after="0" w:line="127" w:lineRule="exact"/>
              <w:rPr>
                <w:sz w:val="20"/>
                <w:szCs w:val="20"/>
                <w:color w:val="auto"/>
              </w:rPr>
            </w:pPr>
            <w:r>
              <w:rPr>
                <w:rFonts w:ascii="Arial" w:cs="Arial" w:eastAsia="Arial" w:hAnsi="Arial"/>
                <w:sz w:val="13"/>
                <w:szCs w:val="13"/>
                <w:color w:val="0000FF"/>
              </w:rPr>
              <w:t>3,131</w:t>
            </w:r>
          </w:p>
        </w:tc>
        <w:tc>
          <w:tcPr>
            <w:tcW w:w="280" w:type="dxa"/>
            <w:vAlign w:val="bottom"/>
          </w:tcPr>
          <w:p>
            <w:pPr>
              <w:spacing w:after="0"/>
              <w:rPr>
                <w:sz w:val="11"/>
                <w:szCs w:val="11"/>
                <w:color w:val="auto"/>
              </w:rPr>
            </w:pPr>
          </w:p>
        </w:tc>
        <w:tc>
          <w:tcPr>
            <w:tcW w:w="640" w:type="dxa"/>
            <w:vAlign w:val="bottom"/>
          </w:tcPr>
          <w:p>
            <w:pPr>
              <w:jc w:val="right"/>
              <w:ind w:right="158"/>
              <w:spacing w:after="0" w:line="127"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-6256020</wp:posOffset>
            </wp:positionV>
            <wp:extent cx="7045325" cy="6269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2693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8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underlying the option vest monthly over a one year period from the date of grant; provided however, that the remaining unvested balance will vest and become fully exercisable at the Issuer's 2024 annual meeting of stockholders. This represents a portion of the 2023 annual grant to the Reporting Person as a member of the Board of Directors of the Issuer.</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economically equivalent to one share of the Issuer's common stock.</w:t>
      </w:r>
    </w:p>
    <w:p>
      <w:pPr>
        <w:spacing w:after="0" w:line="46" w:lineRule="exact"/>
        <w:rPr>
          <w:rFonts w:ascii="Arial" w:cs="Arial" w:eastAsia="Arial" w:hAnsi="Arial"/>
          <w:sz w:val="13"/>
          <w:szCs w:val="13"/>
          <w:color w:val="008000"/>
        </w:rPr>
      </w:pPr>
    </w:p>
    <w:p>
      <w:pPr>
        <w:ind w:left="40" w:right="140" w:firstLine="4"/>
        <w:spacing w:after="0" w:line="239"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underlying the deferred stock units shall vest at the Issuer's 2024 annual meeting of stockholders. The shares underlying the deferred stock units will be issued on (or as soon as reasonably practicable following) the earlier of the Reporting Person's separation from service or a change in ownership of the Issuer or a substantial portion of its assets or a change in effective control of the Issuer within the meaning of regulations issued under Section 409A of the Internal Revenue Code. This represents a portion of the 2023 annual grant to the Reporting Person as a member of the Board of Directors of the Issuer.</w:t>
      </w:r>
    </w:p>
    <w:p>
      <w:pPr>
        <w:spacing w:after="0" w:line="4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w w:val="98"/>
              </w:rPr>
              <w:t>/s/ Ilan Katz, attorney-in-fact</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w w:val="89"/>
              </w:rPr>
              <w:t>08/03/2023</w:t>
            </w:r>
          </w:p>
        </w:tc>
      </w:tr>
      <w:tr>
        <w:trPr>
          <w:trHeight w:val="227"/>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03424" TargetMode="External"/><Relationship Id="rId9"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2023-08-03T15:49:59Z</dcterms:created>
  <dcterms:modified xsi:type="dcterms:W3CDTF">2023-08-03T15:49:59Z</dcterms:modified>
</cp:coreProperties>
</file>