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U.S. Securities and Exchange Commission on December 30, 2025</w:t>
      </w:r>
    </w:p>
    <w:p>
      <w:pPr>
        <w:spacing w:after="0" w:line="189" w:lineRule="exact"/>
        <w:rPr>
          <w:sz w:val="24"/>
          <w:szCs w:val="24"/>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454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5"/>
          <w:szCs w:val="15"/>
          <w:b w:val="1"/>
          <w:bCs w:val="1"/>
          <w:color w:val="auto"/>
        </w:rPr>
        <w:t>___________________________</w:t>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S-3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________________________</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ARCTURUS THERAPEUTICS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5"/>
          <w:szCs w:val="15"/>
          <w:b w:val="1"/>
          <w:bCs w:val="1"/>
          <w:color w:val="auto"/>
        </w:rPr>
        <w:t>_____________________________</w:t>
      </w:r>
    </w:p>
    <w:p>
      <w:pPr>
        <w:spacing w:after="0" w:line="170" w:lineRule="exact"/>
        <w:rPr>
          <w:sz w:val="24"/>
          <w:szCs w:val="24"/>
          <w:color w:val="auto"/>
        </w:rPr>
      </w:pPr>
    </w:p>
    <w:tbl>
      <w:tblPr>
        <w:tblLayout w:type="fixed"/>
        <w:tblInd w:w="1840" w:type="dxa"/>
        <w:tblCellMar>
          <w:top w:w="0" w:type="dxa"/>
          <w:left w:w="0" w:type="dxa"/>
          <w:bottom w:w="0" w:type="dxa"/>
          <w:right w:w="0" w:type="dxa"/>
        </w:tblCellMar>
      </w:tblPr>
      <w:tr>
        <w:trPr>
          <w:trHeight w:val="181"/>
        </w:trPr>
        <w:tc>
          <w:tcPr>
            <w:tcW w:w="3900" w:type="dxa"/>
            <w:vAlign w:val="bottom"/>
          </w:tcPr>
          <w:p>
            <w:pPr>
              <w:jc w:val="center"/>
              <w:ind w:right="1885"/>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440" w:type="dxa"/>
            <w:vAlign w:val="bottom"/>
          </w:tcPr>
          <w:p>
            <w:pPr>
              <w:jc w:val="center"/>
              <w:ind w:left="1885"/>
              <w:spacing w:after="0"/>
              <w:rPr>
                <w:sz w:val="20"/>
                <w:szCs w:val="20"/>
                <w:color w:val="auto"/>
              </w:rPr>
            </w:pPr>
            <w:r>
              <w:rPr>
                <w:rFonts w:ascii="Times New Roman" w:cs="Times New Roman" w:eastAsia="Times New Roman" w:hAnsi="Times New Roman"/>
                <w:sz w:val="15"/>
                <w:szCs w:val="15"/>
                <w:b w:val="1"/>
                <w:bCs w:val="1"/>
                <w:color w:val="auto"/>
                <w:w w:val="99"/>
              </w:rPr>
              <w:t>32-0595345</w:t>
            </w:r>
          </w:p>
        </w:tc>
      </w:tr>
      <w:tr>
        <w:trPr>
          <w:trHeight w:val="181"/>
        </w:trPr>
        <w:tc>
          <w:tcPr>
            <w:tcW w:w="3900" w:type="dxa"/>
            <w:vAlign w:val="bottom"/>
          </w:tcPr>
          <w:p>
            <w:pPr>
              <w:jc w:val="center"/>
              <w:ind w:right="1885"/>
              <w:spacing w:after="0"/>
              <w:rPr>
                <w:sz w:val="20"/>
                <w:szCs w:val="20"/>
                <w:color w:val="auto"/>
              </w:rPr>
            </w:pPr>
            <w:r>
              <w:rPr>
                <w:rFonts w:ascii="Times New Roman" w:cs="Times New Roman" w:eastAsia="Times New Roman" w:hAnsi="Times New Roman"/>
                <w:sz w:val="15"/>
                <w:szCs w:val="15"/>
                <w:b w:val="1"/>
                <w:bCs w:val="1"/>
                <w:color w:val="auto"/>
                <w:w w:val="99"/>
              </w:rPr>
              <w:t>(State or Other Jurisdiction of</w:t>
            </w:r>
          </w:p>
        </w:tc>
        <w:tc>
          <w:tcPr>
            <w:tcW w:w="3440" w:type="dxa"/>
            <w:vAlign w:val="bottom"/>
          </w:tcPr>
          <w:p>
            <w:pPr>
              <w:jc w:val="center"/>
              <w:ind w:left="1885"/>
              <w:spacing w:after="0"/>
              <w:rPr>
                <w:sz w:val="20"/>
                <w:szCs w:val="20"/>
                <w:color w:val="auto"/>
              </w:rPr>
            </w:pPr>
            <w:r>
              <w:rPr>
                <w:rFonts w:ascii="Times New Roman" w:cs="Times New Roman" w:eastAsia="Times New Roman" w:hAnsi="Times New Roman"/>
                <w:sz w:val="15"/>
                <w:szCs w:val="15"/>
                <w:b w:val="1"/>
                <w:bCs w:val="1"/>
                <w:color w:val="auto"/>
                <w:w w:val="99"/>
              </w:rPr>
              <w:t>(I.R.S. Employer</w:t>
            </w:r>
          </w:p>
        </w:tc>
      </w:tr>
      <w:tr>
        <w:trPr>
          <w:trHeight w:val="200"/>
        </w:trPr>
        <w:tc>
          <w:tcPr>
            <w:tcW w:w="3900" w:type="dxa"/>
            <w:vAlign w:val="bottom"/>
          </w:tcPr>
          <w:p>
            <w:pPr>
              <w:jc w:val="center"/>
              <w:ind w:right="1905"/>
              <w:spacing w:after="0"/>
              <w:rPr>
                <w:sz w:val="20"/>
                <w:szCs w:val="20"/>
                <w:color w:val="auto"/>
              </w:rPr>
            </w:pPr>
            <w:r>
              <w:rPr>
                <w:rFonts w:ascii="Times New Roman" w:cs="Times New Roman" w:eastAsia="Times New Roman" w:hAnsi="Times New Roman"/>
                <w:sz w:val="15"/>
                <w:szCs w:val="15"/>
                <w:b w:val="1"/>
                <w:bCs w:val="1"/>
                <w:color w:val="auto"/>
              </w:rPr>
              <w:t>Incorporation)</w:t>
            </w:r>
          </w:p>
        </w:tc>
        <w:tc>
          <w:tcPr>
            <w:tcW w:w="3440" w:type="dxa"/>
            <w:vAlign w:val="bottom"/>
          </w:tcPr>
          <w:p>
            <w:pPr>
              <w:jc w:val="center"/>
              <w:ind w:left="1885"/>
              <w:spacing w:after="0"/>
              <w:rPr>
                <w:sz w:val="20"/>
                <w:szCs w:val="20"/>
                <w:color w:val="auto"/>
              </w:rPr>
            </w:pPr>
            <w:r>
              <w:rPr>
                <w:rFonts w:ascii="Times New Roman" w:cs="Times New Roman" w:eastAsia="Times New Roman" w:hAnsi="Times New Roman"/>
                <w:sz w:val="15"/>
                <w:szCs w:val="15"/>
                <w:b w:val="1"/>
                <w:bCs w:val="1"/>
                <w:color w:val="auto"/>
                <w:w w:val="99"/>
              </w:rPr>
              <w:t>Identification Number)</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10285 Science Center Drive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__________________________</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Joseph E. Payne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10285 Science Center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(Name, address, including zip code, and telephone number, including area code, of agent for service)</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5"/>
          <w:szCs w:val="15"/>
          <w:b w:val="1"/>
          <w:bCs w:val="1"/>
          <w:i w:val="1"/>
          <w:iCs w:val="1"/>
          <w:color w:val="auto"/>
        </w:rPr>
        <w:t>_________________________</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Jeffrey A. Baumel,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Ilan Katz,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Dentons US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New York, New York 10020</w:t>
      </w:r>
    </w:p>
    <w:p>
      <w:pPr>
        <w:spacing w:after="0" w:line="17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_________________________</w:t>
      </w:r>
    </w:p>
    <w:p>
      <w:pPr>
        <w:spacing w:after="0" w:line="190" w:lineRule="exact"/>
        <w:rPr>
          <w:sz w:val="24"/>
          <w:szCs w:val="24"/>
          <w:color w:val="auto"/>
        </w:rPr>
      </w:pPr>
    </w:p>
    <w:p>
      <w:pPr>
        <w:ind w:right="120"/>
        <w:spacing w:after="0" w:line="290" w:lineRule="auto"/>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public</w:t>
      </w:r>
      <w:r>
        <w:rPr>
          <w:rFonts w:ascii="Times New Roman" w:cs="Times New Roman" w:eastAsia="Times New Roman" w:hAnsi="Times New Roman"/>
          <w:sz w:val="15"/>
          <w:szCs w:val="15"/>
          <w:color w:val="auto"/>
        </w:rPr>
        <w:t>: From time to time or at one time after this registration statement becomes effective in light of market conditions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factors.</w:t>
      </w:r>
    </w:p>
    <w:p>
      <w:pPr>
        <w:spacing w:after="0" w:line="9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23" w:lineRule="exact"/>
        <w:rPr>
          <w:sz w:val="24"/>
          <w:szCs w:val="24"/>
          <w:color w:val="auto"/>
        </w:rPr>
      </w:pPr>
    </w:p>
    <w:p>
      <w:pPr>
        <w:jc w:val="both"/>
        <w:ind w:right="20"/>
        <w:spacing w:after="0" w:line="200"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45" w:lineRule="exact"/>
        <w:rPr>
          <w:sz w:val="24"/>
          <w:szCs w:val="24"/>
          <w:color w:val="auto"/>
        </w:rPr>
      </w:pPr>
    </w:p>
    <w:p>
      <w:pPr>
        <w:ind w:right="40"/>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5"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5"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45" w:lineRule="exact"/>
        <w:rPr>
          <w:sz w:val="24"/>
          <w:szCs w:val="24"/>
          <w:color w:val="auto"/>
        </w:rPr>
      </w:pPr>
    </w:p>
    <w:p>
      <w:pPr>
        <w:ind w:right="340"/>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45" w:lineRule="exact"/>
        <w:rPr>
          <w:sz w:val="24"/>
          <w:szCs w:val="24"/>
          <w:color w:val="auto"/>
        </w:rPr>
      </w:pPr>
    </w:p>
    <w:p>
      <w:pPr>
        <w:ind w:right="560"/>
        <w:spacing w:after="0" w:line="28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60" w:type="dxa"/>
            <w:vAlign w:val="bottom"/>
          </w:tcPr>
          <w:p>
            <w:pPr>
              <w:ind w:left="1780"/>
              <w:spacing w:after="0" w:line="151" w:lineRule="exact"/>
              <w:rPr>
                <w:sz w:val="20"/>
                <w:szCs w:val="20"/>
                <w:color w:val="auto"/>
              </w:rPr>
            </w:pPr>
            <w:r>
              <w:rPr>
                <w:rFonts w:ascii="MS PGothic" w:cs="MS PGothic" w:eastAsia="MS PGothic" w:hAnsi="MS PGothic"/>
                <w:sz w:val="15"/>
                <w:szCs w:val="15"/>
                <w:color w:val="auto"/>
              </w:rPr>
              <w:t>☐</w:t>
            </w:r>
          </w:p>
        </w:tc>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Accelerated filer</w:t>
            </w:r>
          </w:p>
        </w:tc>
        <w:tc>
          <w:tcPr>
            <w:tcW w:w="1920" w:type="dxa"/>
            <w:vAlign w:val="bottom"/>
          </w:tcPr>
          <w:p>
            <w:pPr>
              <w:ind w:left="17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1"/>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60" w:type="dxa"/>
            <w:vAlign w:val="bottom"/>
          </w:tcPr>
          <w:p>
            <w:pPr>
              <w:ind w:left="1780"/>
              <w:spacing w:after="0" w:line="151" w:lineRule="exact"/>
              <w:rPr>
                <w:sz w:val="20"/>
                <w:szCs w:val="20"/>
                <w:color w:val="auto"/>
              </w:rPr>
            </w:pPr>
            <w:r>
              <w:rPr>
                <w:rFonts w:ascii="MS PGothic" w:cs="MS PGothic" w:eastAsia="MS PGothic" w:hAnsi="MS PGothic"/>
                <w:sz w:val="15"/>
                <w:szCs w:val="15"/>
                <w:color w:val="auto"/>
              </w:rPr>
              <w:t>☐</w:t>
            </w:r>
          </w:p>
        </w:tc>
        <w:tc>
          <w:tcPr>
            <w:tcW w:w="3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20" w:type="dxa"/>
            <w:vAlign w:val="bottom"/>
          </w:tcPr>
          <w:p>
            <w:pPr>
              <w:ind w:left="17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2"/>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60" w:type="dxa"/>
            <w:vAlign w:val="bottom"/>
          </w:tcPr>
          <w:p>
            <w:pPr>
              <w:ind w:left="1780"/>
              <w:spacing w:after="0" w:line="151" w:lineRule="exact"/>
              <w:rPr>
                <w:sz w:val="20"/>
                <w:szCs w:val="20"/>
                <w:color w:val="auto"/>
              </w:rPr>
            </w:pPr>
            <w:r>
              <w:rPr>
                <w:rFonts w:ascii="MS PGothic" w:cs="MS PGothic" w:eastAsia="MS PGothic" w:hAnsi="MS PGothic"/>
                <w:sz w:val="15"/>
                <w:szCs w:val="15"/>
                <w:color w:val="auto"/>
              </w:rPr>
              <w:t>☐</w:t>
            </w:r>
          </w:p>
        </w:tc>
        <w:tc>
          <w:tcPr>
            <w:tcW w:w="356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141" w:lineRule="exact"/>
        <w:rPr>
          <w:sz w:val="24"/>
          <w:szCs w:val="24"/>
          <w:color w:val="auto"/>
        </w:rPr>
      </w:pPr>
    </w:p>
    <w:p>
      <w:pPr>
        <w:ind w:right="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287020</wp:posOffset>
            </wp:positionV>
            <wp:extent cx="71545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392" w:right="339" w:bottom="1032"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5"/>
          <w:szCs w:val="15"/>
          <w:color w:val="auto"/>
        </w:rPr>
        <w:t>This registration statement is a replacement registration statement being filed pursuant to Rule 415(a)(6) under the Securities Act of 1933, as amended (the “Securities Act”), with respect to securities that remain unsold under the Registration Statement on Form S-3 (File No. 333-269003), originally filed on December 23, 2022, and declared effective on December 30, 2022 (the “Prior Registration Statement”). Pursuant to Rule 415(a)(6) under the Securities Act, the registrant is registering on this registration statement on Form S-3 (the “Registration Statement”) an aggregate of $487,765,319 of unsold securities (the “Unsold Securities”) previously registered under the Prior Registration Statement. The aggregate filing fee paid in connection with such Unsold Securities was $53,752. Pursuant to Rule 415(a)(6) under the Securities Act, the registration fee applicable to the Unsold Securities is being carried forward to this Registration Statement.</w:t>
      </w:r>
    </w:p>
    <w:p>
      <w:pPr>
        <w:spacing w:after="0" w:line="1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5"/>
          <w:szCs w:val="15"/>
          <w:color w:val="auto"/>
        </w:rPr>
        <w:t>Pursuant to Rule 415(a)(5)(ii) under the Securities Act, by filing this Registration Statement, the Company may issue and sell securities covered by the Prior Registration Statement until the earlier of (i) the effective date of this Registration Statement and (ii) June 28, 2026, which is 180 days after the third-year anniversary of the effective date of the Prior Registration Statement (the “Expiration Date”). In particular, the registrant may continue to offer and sell under the Prior Registration Statement its shares of common stock in its at-the-market offerings through Cantor Fitzgerald &amp; Co., Wells Fargo Securities, LLC, and William Blair &amp; Company, L.L.C., as sales agents, which offerings shall remain registered under the Prior Registration Statement using the prospectus supplement filed on December 23, 2022, as supplemented by the prospectus supplement filed on August 7, 2023, until the Expiration Date. The Prior Registration Statement and all offers and sales thereunder will be deemed terminated on the Expiration Date, except to the extent covered by this Registration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registration statement contains two prospectuses:</w:t>
      </w:r>
    </w:p>
    <w:p>
      <w:pPr>
        <w:spacing w:after="0" w:line="190" w:lineRule="exact"/>
        <w:rPr>
          <w:sz w:val="20"/>
          <w:szCs w:val="20"/>
          <w:color w:val="auto"/>
        </w:rPr>
      </w:pPr>
    </w:p>
    <w:p>
      <w:pPr>
        <w:ind w:left="560" w:right="60" w:hanging="264"/>
        <w:spacing w:after="0" w:line="262" w:lineRule="auto"/>
        <w:tabs>
          <w:tab w:leader="none" w:pos="5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(the “Base Prospectus”), which covers the offering, issuance and sale by us of up to a maximum aggregate offering price of $500,000,000 of shares of our common stock and preferred stock, various series of debt securities and/or warrants to purchase any of such securities. We may also issue units comprised of one or more shares of common stock, shares of preferred stock, debt securities, warrants and/or rights in any combination. We may also offer common stock or preferred stock upon conversion of debt securities, common stock upon conversion of preferred stock, or common stock, preferred stock or debt securities upon the exercise of warrants; and</w:t>
      </w:r>
    </w:p>
    <w:p>
      <w:pPr>
        <w:spacing w:after="0" w:line="151" w:lineRule="exact"/>
        <w:rPr>
          <w:rFonts w:ascii="Times New Roman" w:cs="Times New Roman" w:eastAsia="Times New Roman" w:hAnsi="Times New Roman"/>
          <w:sz w:val="15"/>
          <w:szCs w:val="15"/>
          <w:color w:val="auto"/>
        </w:rPr>
      </w:pPr>
    </w:p>
    <w:p>
      <w:pPr>
        <w:ind w:left="560" w:right="140" w:hanging="264"/>
        <w:spacing w:after="0" w:line="184" w:lineRule="exact"/>
        <w:tabs>
          <w:tab w:leader="none" w:pos="5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prospectus (the “ATM Prospectus”) for an “at the market offering” by us of up to $187,765,319 of our common stock that may be offered and sold under a Controlled Equity Offering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Sales Agreement, as amended (the “Sales Agreement”), between us, and Cantor Fitzgerald &amp; Co., Wells Fargo Securities, LLC, and William Blair &amp; Company, L.L.C., as sales agents. On December 23, 2022, we filed a sales agreement prospectus supplement covering the offering, issuance, and sale of up to a maximum aggregate offering price of $200 million of our common stock that could be issued and sold from time to time under the Sales Agreement. As of immediately prior to the filing of this Registration Statement, we have sold an aggregate of 1,179,201 shares of our common stock under the Sales Agreement for aggregate gross proceeds of approximately $12 million, leaving an aggregate of approximately $188 million of shares of our common stock remaining for future sale under the Sales Agreement.</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The Base Prospectus immediately follows this explanatory note. The specific terms of any securities to be offered pursuant to the base prospectus will be specified in a prospectus supplement to the base prospectus. The ATM Prospectus immediately follows the base prospectus. The common stock that may be offered and sold by us under the ATM Prospectus is included in the $500,000,000 of securities that may be offered and sold by us under the Base Prospectus. Upon termination of the Sales Agreement, any portion of the approximately $188 million of securities included in the ATM Prospectus that remains unsold pursuant to the sales agreement will be available for sale in other offerings pursuant to the Base Prospectus and a corresponding prospectus supplement, and if no shares are sold under the sales agreement, the full approximately $188 million of securities not sold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71545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2" w:name="page3"/>
    <w:bookmarkEnd w:id="2"/>
    <w:p>
      <w:pPr>
        <w:ind w:right="40"/>
        <w:spacing w:after="0" w:line="271" w:lineRule="auto"/>
        <w:rPr>
          <w:sz w:val="20"/>
          <w:szCs w:val="20"/>
          <w:color w:val="auto"/>
        </w:rPr>
      </w:pPr>
      <w:r>
        <w:rPr>
          <w:rFonts w:ascii="Times New Roman" w:cs="Times New Roman" w:eastAsia="Times New Roman" w:hAnsi="Times New Roman"/>
          <w:sz w:val="15"/>
          <w:szCs w:val="15"/>
          <w:b w:val="1"/>
          <w:bCs w:val="1"/>
          <w:color w:val="EB0029"/>
        </w:rPr>
        <w:t>The information in this prospectus is not complete and may be changed. The Registrant may not sell these securities until the registration statement filed with the Securities and Exchange Commission is effective. This prospectus is not an offer to sell these securities and it is not soliciting an offer to buy these securities in any state where an offer or sale is not permitted.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EB0029"/>
        </w:rPr>
        <w:t>SUBJECT TO COMPLETION, DATED DECEMBER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132080</wp:posOffset>
            </wp:positionV>
            <wp:extent cx="2140585" cy="718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0585" cy="71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Units</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__________________________</w:t>
      </w:r>
    </w:p>
    <w:p>
      <w:pPr>
        <w:spacing w:after="0" w:line="19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5"/>
          <w:szCs w:val="15"/>
          <w:color w:val="auto"/>
        </w:rPr>
        <w:t>From time to time, we may offer and sell up to an aggregate of $500,000,000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 We may also issue units comprised of one or more shares of common stock, shares of preferred stock, debt securities, warrants and/or rights in any combination.</w:t>
      </w:r>
    </w:p>
    <w:p>
      <w:pPr>
        <w:spacing w:after="0" w:line="1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 xml:space="preserve">When we decide to sell particular securities, we will provide you with the specific terms and the offering price of the securities we are then offering in one or more prospectus supplements to this prospectus. The prospectus supplement may add to, change or update information contained in this prospectus. The prospectus supplement may also contain important information about U.S. federal income tax consequences. You should carefully read this prospectus, together with any prospectus supplements and information incorporated by reference in this prospectus and any prospectus supplements, before you decide to invest. </w:t>
      </w:r>
      <w:r>
        <w:rPr>
          <w:rFonts w:ascii="Times New Roman" w:cs="Times New Roman" w:eastAsia="Times New Roman" w:hAnsi="Times New Roman"/>
          <w:sz w:val="15"/>
          <w:szCs w:val="15"/>
          <w:b w:val="1"/>
          <w:bCs w:val="1"/>
          <w:color w:val="auto"/>
        </w:rPr>
        <w:t>This prospectus may not be used to offer or sell any securities unless accompanied by a prospectus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supplement.</w:t>
      </w:r>
    </w:p>
    <w:p>
      <w:pPr>
        <w:spacing w:after="0" w:line="15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color w:val="auto"/>
        </w:rPr>
        <w:t>Our common stock is quoted on The Nasdaq Global Market under the trading symbol “ARCT.” Any common stock sold pursuant to this prospectus or any prospectus supplement will be listed on that exchange, subject to official notice of issuance. Each prospectus supplement to this prospectus will contain information, where applicable, as to any other listing on any national securities exchange of the securities covered by the prospectus supplement. On December 22, 2025, the last reported sale price of our common stock was $6.59 per share.</w:t>
      </w:r>
    </w:p>
    <w:p>
      <w:pPr>
        <w:spacing w:after="0" w:line="14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 xml:space="preserve">We may offer and sell the securities described in this prospectus to or through one or more underwriters, dealers or agents, or directly to purchasers on an immediate, continuous or delayed basis. The names of any underwriters, dealers or agents involved in the sale of any securities, the specific manner in which they may be offered and any applicable commissions or discounts will be set forth in an accompanying prospectus supplement covering the sales of those securities. </w:t>
      </w:r>
      <w:r>
        <w:rPr>
          <w:rFonts w:ascii="Times New Roman" w:cs="Times New Roman" w:eastAsia="Times New Roman" w:hAnsi="Times New Roman"/>
          <w:sz w:val="15"/>
          <w:szCs w:val="15"/>
          <w:b w:val="1"/>
          <w:bCs w:val="1"/>
          <w:color w:val="auto"/>
        </w:rPr>
        <w:t>Investing in our securities involves significant risks. See “Risk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Factors” beginning on page 5.</w:t>
      </w:r>
    </w:p>
    <w:p>
      <w:pPr>
        <w:spacing w:after="0" w:line="148"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Pr>
          <w:p>
            <w:pPr>
              <w:ind w:left="4240"/>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4900" w:type="dxa"/>
            <w:vAlign w:val="bottom"/>
          </w:tcPr>
          <w:p>
            <w:pPr>
              <w:jc w:val="right"/>
              <w:ind w:right="4165"/>
              <w:spacing w:after="0"/>
              <w:rPr>
                <w:sz w:val="20"/>
                <w:szCs w:val="20"/>
                <w:color w:val="auto"/>
              </w:rPr>
            </w:pPr>
            <w:r>
              <w:rPr>
                <w:rFonts w:ascii="Times New Roman" w:cs="Times New Roman" w:eastAsia="Times New Roman" w:hAnsi="Times New Roman"/>
                <w:sz w:val="15"/>
                <w:szCs w:val="15"/>
                <w:b w:val="1"/>
                <w:bCs w:val="1"/>
                <w:color w:val="auto"/>
              </w:rPr>
              <w:t>, 2025.</w:t>
            </w:r>
          </w:p>
        </w:tc>
      </w:tr>
      <w:tr>
        <w:trPr>
          <w:trHeight w:val="474"/>
        </w:trPr>
        <w:tc>
          <w:tcPr>
            <w:tcW w:w="63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7"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ABOUT THIS PROSPECTUS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TRADEMARKS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PROSPECTUS SUMMARY</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RISK FACTORS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USE OF PROCEEDS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RATIO OF EARNINGS TO FIXED CHARGES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CAPITAL STOCK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DEBT SECURITIES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WARRANTS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RIGHTS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UNITS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PLAN OF DISTRIBUTION</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EXPERTS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LEGAL MATTERS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INFORMATION INCORPORATED BY REFERENCE</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U.S. Securities and Exchange Commission (the “SEC”) using a “shelf” registration process. Under this shelf registration process, we may, from time to time, offer and sell common stock, preferred stock, debt securities, warrants for debt and equity securities, rights to purchase common stock, preferred stock, or warrants in one or more series, and units consisting of the foregoing in one or more transactions.</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5"/>
          <w:szCs w:val="15"/>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57"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5"/>
          <w:szCs w:val="15"/>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33"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5"/>
          <w:szCs w:val="15"/>
          <w:color w:val="auto"/>
        </w:rPr>
        <w:t>In this prospectus and any prospectus supplement, unless otherwise stated or the context otherwise indicates, references to “ARCT,” “Arcturus,” “the Company,” “we,” “us,” “our” and similar references refer to Arcturus Therapeutics Holdings Inc., a Delaware corporation.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9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5"/>
          <w:szCs w:val="15"/>
          <w:color w:val="auto"/>
        </w:rPr>
        <w:t>The Arcturus logo and other trademarks of Arcturus appearing in this prospectus are the property of Arcturus. All other trademarks, service marks and trade names in this prospectus are the property of their respective owners. Solely for convenience, trademarks and trade names referred to in this report may appear without the ® or ™ symbols.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Arcturus Therapeutics Holdings Inc.</w:t>
      </w:r>
    </w:p>
    <w:p>
      <w:pPr>
        <w:spacing w:after="0" w:line="19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Unless otherwise indicated or the context otherwise requires, the terms the “Company,” “Arcturus Therapeutics,” “we,” “us” and “our” refer to Arcturus Therapeutics Holdings Inc., a Delaware corporation, and its predecessors and consolidated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4"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5"/>
          <w:szCs w:val="15"/>
          <w:color w:val="auto"/>
        </w:rPr>
        <w:t>We are a commercial messenger RNA medicines company focused on the development of liver and respiratory rare disease therapeutics and infectious disease vaccines. We developed the world’s first approved self-amplifying messenger RNA (sa-mRNA) vaccine, KOSTAIVE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(“KOSTAIVE”). KOSTAIVE achieved approval in Japan in 2023 as a vaccine against COVID-19. Sales of KOSTAIVE began in Japan in October 2024, marking our transition to a commercial stage company.</w:t>
      </w:r>
    </w:p>
    <w:p>
      <w:pPr>
        <w:spacing w:after="0" w:line="16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(“STARR”), has been demonstrated to induce</w:t>
      </w:r>
    </w:p>
    <w:p>
      <w:pPr>
        <w:ind w:right="260"/>
        <w:spacing w:after="0" w:line="225" w:lineRule="auto"/>
        <w:rPr>
          <w:sz w:val="20"/>
          <w:szCs w:val="20"/>
          <w:color w:val="auto"/>
        </w:rPr>
      </w:pPr>
      <w:r>
        <w:rPr>
          <w:rFonts w:ascii="Times New Roman" w:cs="Times New Roman" w:eastAsia="Times New Roman" w:hAnsi="Times New Roman"/>
          <w:sz w:val="15"/>
          <w:szCs w:val="15"/>
          <w:color w:val="auto"/>
        </w:rPr>
        <w:t>a robust, longer-lasting and broader humoral immune response at lower dose levels than conventional mRNA-based vaccines. Our proprietary LNP delivery system, LUNAR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(“LUNAR”), is intended to address the major hurdle in RNA drug development, namely the effective and safe delivery of RNA to disease-relevant target tissues. LUNAR may enable multiple nucleic acid medicines. Finally, we have significant expertise and valuable know-how in the development and scalability of complex and robust manufacturing processes required to deliver the next generation of nucleic acid medicines.</w:t>
      </w:r>
    </w:p>
    <w:p>
      <w:pPr>
        <w:spacing w:after="0" w:line="16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5"/>
          <w:szCs w:val="15"/>
          <w:color w:val="auto"/>
        </w:rPr>
        <w:t>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three other infectious diseases.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5"/>
          <w:szCs w:val="15"/>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4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5"/>
          <w:szCs w:val="15"/>
          <w:color w:val="auto"/>
        </w:rPr>
        <w:t>Our principal executive offices are located at 10285 Science Center Drive, San Diego, California 92121, and our telephone number is (858) 900-2660. Our website is located at https://arcturusrx.com. We do not incorporate by reference into this prospectus the information on, or accessible through, our website. Our common stock trades on The Nasdaq Global Market under the symbol “ARCT”.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We May Offer Under This Prospectus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We may offer shares of our common stock and preferred stock, various series of debt securities and/or warrants to purchase any of such securities, either individually or in combination, up to a total dollar amount of $500,000,000,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and we may offer common stock or preferred stock upon the conversion of preferred stock or debt securities.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54" w:lineRule="exact"/>
        <w:rPr>
          <w:sz w:val="20"/>
          <w:szCs w:val="20"/>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designation or classification;</w:t>
      </w:r>
    </w:p>
    <w:p>
      <w:pPr>
        <w:spacing w:after="0" w:line="23"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principal amount or aggregate offering price;</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 date, if applicable;</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original issue discount, if any;</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and times of payment of interest or dividends, if any;</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redemption, conversion, exercise, exchange or sinking fund terms, if any;</w:t>
      </w:r>
    </w:p>
    <w:p>
      <w:pPr>
        <w:spacing w:after="0" w:line="8" w:lineRule="exact"/>
        <w:rPr>
          <w:rFonts w:ascii="Times New Roman" w:cs="Times New Roman" w:eastAsia="Times New Roman" w:hAnsi="Times New Roman"/>
          <w:sz w:val="15"/>
          <w:szCs w:val="15"/>
          <w:color w:val="auto"/>
        </w:rPr>
      </w:pPr>
    </w:p>
    <w:p>
      <w:pPr>
        <w:ind w:left="600" w:right="20" w:hanging="270"/>
        <w:spacing w:after="0" w:line="251" w:lineRule="auto"/>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ranking;</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restrictive covenants, if any;</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or other rights, if any; and</w:t>
      </w:r>
    </w:p>
    <w:p>
      <w:pPr>
        <w:spacing w:after="0" w:line="8" w:lineRule="exact"/>
        <w:rPr>
          <w:rFonts w:ascii="Times New Roman" w:cs="Times New Roman" w:eastAsia="Times New Roman" w:hAnsi="Times New Roman"/>
          <w:sz w:val="15"/>
          <w:szCs w:val="15"/>
          <w:color w:val="auto"/>
        </w:rPr>
      </w:pPr>
    </w:p>
    <w:p>
      <w:pPr>
        <w:ind w:left="600" w:hanging="270"/>
        <w:spacing w:after="0"/>
        <w:tabs>
          <w:tab w:leader="none" w:pos="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or special U.S. federal income tax considerations, if any.</w:t>
      </w:r>
    </w:p>
    <w:p>
      <w:pPr>
        <w:spacing w:after="0" w:line="174"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5"/>
          <w:szCs w:val="15"/>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This prospectus and certain information incorporated herein by reference contains forward-looking statements that involve risks and uncertainties. Our actual results could differ materially from those discussed in the forward-looking statements. The statements contained in this prospectus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Factors that might cause these differences include the following:</w:t>
      </w:r>
    </w:p>
    <w:p>
      <w:pPr>
        <w:spacing w:after="0" w:line="190" w:lineRule="exact"/>
        <w:rPr>
          <w:sz w:val="20"/>
          <w:szCs w:val="20"/>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and ability to remain in compliance, with the requirements of our collaboration agreements, including our collaboration with Seqirus Inc. (“CSL Seqirus”);</w:t>
      </w:r>
    </w:p>
    <w:p>
      <w:pPr>
        <w:spacing w:after="0" w:line="23" w:lineRule="exact"/>
        <w:rPr>
          <w:rFonts w:ascii="Times New Roman" w:cs="Times New Roman" w:eastAsia="Times New Roman" w:hAnsi="Times New Roman"/>
          <w:sz w:val="15"/>
          <w:szCs w:val="15"/>
          <w:color w:val="auto"/>
        </w:rPr>
      </w:pPr>
    </w:p>
    <w:p>
      <w:pPr>
        <w:ind w:left="540" w:right="10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benefits and success of our collaboration agreement with CSL Seqirus related to the licensure of our STARR® mRNA technology and LUNAR® lipid-mediated delivery, including our timely receipt of upfront and potential royalty and other payments thereunder;</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continued development activities of the LUNAR-COV19 and LUNAR-FLU programs under our collaboration with CSL Seqirus;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status, success and benefits of our arrangements with private and governmental entities, some of which are subject to termination for convenience by our counterparties;</w:t>
      </w:r>
    </w:p>
    <w:p>
      <w:pPr>
        <w:spacing w:after="0" w:line="8" w:lineRule="exact"/>
        <w:rPr>
          <w:rFonts w:ascii="Times New Roman" w:cs="Times New Roman" w:eastAsia="Times New Roman" w:hAnsi="Times New Roman"/>
          <w:sz w:val="15"/>
          <w:szCs w:val="15"/>
          <w:color w:val="auto"/>
        </w:rPr>
      </w:pPr>
    </w:p>
    <w:p>
      <w:pPr>
        <w:ind w:left="540" w:right="22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conduct and advance any of our research and discovery programs;</w:t>
      </w:r>
    </w:p>
    <w:p>
      <w:pPr>
        <w:spacing w:after="0" w:line="8" w:lineRule="exact"/>
        <w:rPr>
          <w:rFonts w:ascii="Times New Roman" w:cs="Times New Roman" w:eastAsia="Times New Roman" w:hAnsi="Times New Roman"/>
          <w:sz w:val="15"/>
          <w:szCs w:val="15"/>
          <w:color w:val="auto"/>
        </w:rPr>
      </w:pPr>
    </w:p>
    <w:p>
      <w:pPr>
        <w:ind w:left="540" w:right="18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safety, immunogenicity, efficacy or regulatory approval of any of our product candidates;</w:t>
      </w:r>
    </w:p>
    <w:p>
      <w:pPr>
        <w:spacing w:after="0" w:line="8" w:lineRule="exact"/>
        <w:rPr>
          <w:rFonts w:ascii="Times New Roman" w:cs="Times New Roman" w:eastAsia="Times New Roman" w:hAnsi="Times New Roman"/>
          <w:sz w:val="15"/>
          <w:szCs w:val="15"/>
          <w:color w:val="auto"/>
        </w:rPr>
      </w:pPr>
    </w:p>
    <w:p>
      <w:pPr>
        <w:ind w:left="540" w:right="24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effects, efficacy and benefits of our technologies and product candidates on their own and in comparison to technologies, drugs or courses of treatment currently available or that may be developed by competitors;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preclinical or clinical data will be predictive of future clinical results or efficacy or safety of a product candidate;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timing of enrollment, duration, milestones and announcements of results of clinical trials, and the submission of applications to conduct clinical trials;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clinical data will be sufficient for regulatory approval or completed in time to submit an application for regulatory approval within a particular timeframe;</w:t>
      </w:r>
    </w:p>
    <w:p>
      <w:pPr>
        <w:spacing w:after="0" w:line="8" w:lineRule="exact"/>
        <w:rPr>
          <w:rFonts w:ascii="Times New Roman" w:cs="Times New Roman" w:eastAsia="Times New Roman" w:hAnsi="Times New Roman"/>
          <w:sz w:val="15"/>
          <w:szCs w:val="15"/>
          <w:color w:val="auto"/>
        </w:rPr>
      </w:pPr>
    </w:p>
    <w:p>
      <w:pPr>
        <w:ind w:left="540" w:right="4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administration regimen or dosage, or ability to administer multiple doses of, any of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optimizing KOSTAIVE’s product presentation and formulation;</w:t>
      </w:r>
    </w:p>
    <w:p>
      <w:pPr>
        <w:spacing w:after="0" w:line="8" w:lineRule="exact"/>
        <w:rPr>
          <w:rFonts w:ascii="Times New Roman" w:cs="Times New Roman" w:eastAsia="Times New Roman" w:hAnsi="Times New Roman"/>
          <w:sz w:val="15"/>
          <w:szCs w:val="15"/>
          <w:color w:val="auto"/>
        </w:rPr>
      </w:pPr>
    </w:p>
    <w:p>
      <w:pPr>
        <w:ind w:left="540" w:right="280" w:hanging="278"/>
        <w:spacing w:after="0" w:line="25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regulatory approval of our product candidates, and any related restrictions, limitations, and/or warnings in the label of an approved product candidate;</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develop and commercialize our product candidates;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8" w:name="page9"/>
    <w:bookmarkEnd w:id="8"/>
    <w:p>
      <w:pPr>
        <w:ind w:left="540" w:hanging="278"/>
        <w:spacing w:after="0" w:line="262"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and the ability of our partners, to successfully commercialize, and our expectations regarding future therapeutic and commercial potential with respect to, our product candidates;</w:t>
      </w: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therapies that are or may become available;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and growth potential of the markets for our product candidates, and our ability to serve those markets and address unmet medical needs;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intellectual property protection for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interactions with regulatory authorities in the United States and foreign countries;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experienced and seasoned scientific and management professionals;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third-party suppliers and manufacturers, including the ability to implement and scale-up manufacturing levels as necessary;</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relevant approvals related to the manufacture and distribution of our product candidates;</w:t>
      </w:r>
    </w:p>
    <w:p>
      <w:pPr>
        <w:spacing w:after="0" w:line="8" w:lineRule="exact"/>
        <w:rPr>
          <w:rFonts w:ascii="Times New Roman" w:cs="Times New Roman" w:eastAsia="Times New Roman" w:hAnsi="Times New Roman"/>
          <w:sz w:val="15"/>
          <w:szCs w:val="15"/>
          <w:color w:val="auto"/>
        </w:rPr>
      </w:pPr>
    </w:p>
    <w:p>
      <w:pPr>
        <w:ind w:left="540" w:right="260" w:hanging="278"/>
        <w:spacing w:after="0" w:line="251"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strategic alliance partners’ election to pursue development and commercialization of any programs or product candidates that are subject to our collaboration and license agreements with such partners;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collaborators with relevant development, regulatory and commercialization expertise;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activities to be undertaken by our strategic alliance partners, collaborators and other third parties;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sales and marketing capabilities, whether alone or with potential future collaborators;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avoid, settle or be victorious at costly litigation with shareholders, former executives or others, should these situations arise;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deploy funding for our operations and to efficiently use our financial and other resources;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future expenses, future revenues, cash flows, capital requirements need for additional financing, and possible sources of revenue.</w:t>
      </w:r>
    </w:p>
    <w:p>
      <w:pPr>
        <w:spacing w:after="0" w:line="1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5"/>
          <w:szCs w:val="15"/>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713"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Before you invest in any of the company’s securities, in addition to the other information in this prospectus and the applicable prospectus supplement, you should carefully consider (i) the risk factors contained in the Company’s most recent annual report on Form 10-K and in our most recent quarterly reports on Form 10-Q, which are incorporated by reference into this prospectus, (ii) all of the other information included or incorporated by reference in this prospectus, and (iii) the applicable prospectus supplement, as the same may be updated from time to time by the Company’s future filings under the Exchange Act.</w:t>
      </w:r>
    </w:p>
    <w:p>
      <w:pPr>
        <w:spacing w:after="0" w:line="15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The risks and uncertainties described herein are not the only ones facing the Company. Additional risks and uncertainties not presently known to the Company or that the Company currently deems immaterial may also impair its business or operations. Any adverse effect on the Company’s business, financial condition or operating results could result in a decline in the value of the securities and the loss of all or part of your investment. The prospectus supplement applicable to each series of securities the Company offers may contain a discussion of additional risks applicable to an investment in the Company and the securities the Company is offering under that prospectus supplement.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Unless otherwise indicated in the prospectus supplement, we will use the net proceeds from the sale of securities offered by this prospectus for sales and marketing, working capital, and general corporate purposes. In addition, we believe opportunities may exist from time to time to expand our current business through acquisitions or in-licenses of, or investments in, complementary companies, medicines, intellectual property or technologies. While we have no current agreements or commitments for any specific acquisitions, in-licenses or investments at this time, we may use a portion of the net proceeds for these purposes. As of the date of this prospectus, we have not identified any specific and material proposed uses of the anticipated proceeds.</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Our expected use of net proceeds from the sale of any securities offered pursuant to the applicable prospectus supplement for such offering will vary depending on our then current intentions based upon our plans and business condition. As of the date of this prospectus, we cannot predict with certainty all of the particular uses for the net proceeds to be received upon the completion of any offering or the amounts that we will actually spend on any specific uses set forth above. The amounts and timing of our actual use of the net proceeds will vary depending on numerous factors, including the factors described under or referenced under the heading “Risk Factors” in this prospectus. As a result, unless otherwise specified in the prospectus supplement, our management will have broad discretion in its application of the net proceeds, and investors will be relying on our judgment in such application.</w:t>
      </w:r>
    </w:p>
    <w:p>
      <w:pPr>
        <w:spacing w:after="0" w:line="15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color w:val="auto"/>
        </w:rPr>
        <w:t>Pending use of net proceeds from the sale of securities offered by this prospectus and the applicable prospectus supplement for such sale, we may invest in short-term and intermediate-term interest-bearing obligations, investment-grade instruments, certificates of deposit or direct or guaranteed obligations of the U.S. government.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RATIO OF EARNINGS TO FIXED CHARGES</w:t>
      </w:r>
    </w:p>
    <w:p>
      <w:pPr>
        <w:spacing w:after="0" w:line="194"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5"/>
          <w:szCs w:val="15"/>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CAPITAL STOCK WE MAY OFFER</w:t>
      </w:r>
    </w:p>
    <w:p>
      <w:pPr>
        <w:spacing w:after="0" w:line="1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i w:val="1"/>
          <w:iCs w:val="1"/>
          <w:color w:val="auto"/>
        </w:rPr>
        <w:t>The following description summarizes important terms of our capital stock. For a complete description, you should refer to our certificate of incorporation, as amended, and bylaws, which are incorporated by reference as exhibits to the registration statement of which this prospectus is a part, as well as the relevant portions of the Delaware General Corporation Law (the “DGCL”).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authorized capital stock consists of 60,000,000 shares of common stock, par value $0.001 per share, and 10,000,000 shares of preferred stock, par value $0.001 per share.</w:t>
      </w:r>
    </w:p>
    <w:p>
      <w:pPr>
        <w:spacing w:after="0" w:line="19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5"/>
          <w:szCs w:val="15"/>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as amended,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52"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5"/>
          <w:szCs w:val="15"/>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color w:val="auto"/>
        </w:rPr>
        <w:t>As of December 24, 2025, there were 28,414,279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listed under the symbol “ARCT” on the Nasdaq Global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Transfer Agent and Registrar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transfer agent and registrar for our common stock is Continental Stock Transfer &amp; Trust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not declared any cash dividends on our common stock since inception and we do not anticipate paying any cash dividends on our common stock in the foreseeable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authorized to issue a total of 10,000,000 shares of preferred stock. As of December 24, 2025, there were no shares of preferred stock issued and outstanding.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12" w:name="page13"/>
    <w:bookmarkEnd w:id="12"/>
    <w:p>
      <w:pPr>
        <w:ind w:right="180"/>
        <w:spacing w:after="0" w:line="285" w:lineRule="auto"/>
        <w:rPr>
          <w:sz w:val="20"/>
          <w:szCs w:val="20"/>
          <w:color w:val="auto"/>
        </w:rPr>
      </w:pPr>
      <w:r>
        <w:rPr>
          <w:rFonts w:ascii="Times New Roman" w:cs="Times New Roman" w:eastAsia="Times New Roman" w:hAnsi="Times New Roman"/>
          <w:sz w:val="15"/>
          <w:szCs w:val="15"/>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33" w:lineRule="exact"/>
        <w:rPr>
          <w:sz w:val="20"/>
          <w:szCs w:val="20"/>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shares of preferred stock;</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preferred stock offered, the liquidation preference per share and the offering price of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rate(s), period(s) and/or payment date(s) or method(s) of calculation thereof applicable to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shares of preferred stock are cumulative or not and, if cumulative, the date from which dividends on the shares of preferred stock shall accumulate;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procedures for any auction and remarketing, if any, for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 for a sinking fund, if any, for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 for redemption or repurchase, if applicable, and any restrictions on our ability to exercise those redemption and repurchase rights of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of the shares of preferred stock on any securities exchange;</w:t>
      </w:r>
    </w:p>
    <w:p>
      <w:pPr>
        <w:spacing w:after="0" w:line="8" w:lineRule="exact"/>
        <w:rPr>
          <w:rFonts w:ascii="Times New Roman" w:cs="Times New Roman" w:eastAsia="Times New Roman" w:hAnsi="Times New Roman"/>
          <w:sz w:val="15"/>
          <w:szCs w:val="15"/>
          <w:color w:val="auto"/>
        </w:rPr>
      </w:pPr>
    </w:p>
    <w:p>
      <w:pPr>
        <w:ind w:left="540" w:hanging="278"/>
        <w:spacing w:after="0" w:line="251"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applicable, upon which the shares of preferred stock will be convertible into common shares, including the conversion price (or manner of calculation thereof);</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discussion of federal income tax considerations applicable to the shares of preferred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ranking and preferences of the shares of preferred stock as to dividend rights and rights upon liquidation, dissolution or winding up of our affairs;</w:t>
      </w:r>
    </w:p>
    <w:p>
      <w:pPr>
        <w:spacing w:after="0" w:line="8" w:lineRule="exact"/>
        <w:rPr>
          <w:rFonts w:ascii="Times New Roman" w:cs="Times New Roman" w:eastAsia="Times New Roman" w:hAnsi="Times New Roman"/>
          <w:sz w:val="15"/>
          <w:szCs w:val="15"/>
          <w:color w:val="auto"/>
        </w:rPr>
      </w:pPr>
    </w:p>
    <w:p>
      <w:pPr>
        <w:ind w:left="540" w:right="140" w:hanging="278"/>
        <w:spacing w:after="0" w:line="251"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limitations or restrictions of the shares of preferred stock;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voting rights of such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transfer agent and registrar for any series or class of preferred stock will be set forth in the applicable prospectus supplement.</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13" w:name="page14"/>
    <w:bookmarkEnd w:id="13"/>
    <w:p>
      <w:pPr>
        <w:ind w:left="10"/>
        <w:spacing w:after="0"/>
        <w:rPr>
          <w:sz w:val="20"/>
          <w:szCs w:val="20"/>
          <w:color w:val="auto"/>
        </w:rPr>
      </w:pPr>
      <w:r>
        <w:rPr>
          <w:rFonts w:ascii="Times New Roman" w:cs="Times New Roman" w:eastAsia="Times New Roman" w:hAnsi="Times New Roman"/>
          <w:sz w:val="15"/>
          <w:szCs w:val="15"/>
          <w:b w:val="1"/>
          <w:bCs w:val="1"/>
          <w:color w:val="auto"/>
        </w:rPr>
        <w:t>Possible Anti-Takeover Effects of Delaware Law and our Charter Documents</w:t>
      </w:r>
    </w:p>
    <w:p>
      <w:pPr>
        <w:spacing w:after="0" w:line="194"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15"/>
          <w:szCs w:val="15"/>
          <w:color w:val="auto"/>
        </w:rPr>
        <w:t>Provisions of the Delaware General Corporation Law, or DGCL, our certificate of incorporation, as amended,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Delaware Anti-Takeover Statute</w:t>
      </w:r>
    </w:p>
    <w:p>
      <w:pPr>
        <w:spacing w:after="0" w:line="193" w:lineRule="exact"/>
        <w:rPr>
          <w:sz w:val="20"/>
          <w:szCs w:val="20"/>
          <w:color w:val="auto"/>
        </w:rPr>
      </w:pPr>
    </w:p>
    <w:p>
      <w:pPr>
        <w:ind w:left="10" w:right="20"/>
        <w:spacing w:after="0" w:line="257" w:lineRule="auto"/>
        <w:rPr>
          <w:sz w:val="20"/>
          <w:szCs w:val="20"/>
          <w:color w:val="auto"/>
        </w:rPr>
      </w:pPr>
      <w:r>
        <w:rPr>
          <w:rFonts w:ascii="Times New Roman" w:cs="Times New Roman" w:eastAsia="Times New Roman" w:hAnsi="Times New Roman"/>
          <w:sz w:val="15"/>
          <w:szCs w:val="15"/>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Election and Removal of Directors</w:t>
      </w:r>
    </w:p>
    <w:p>
      <w:pPr>
        <w:spacing w:after="0" w:line="194" w:lineRule="exact"/>
        <w:rPr>
          <w:sz w:val="20"/>
          <w:szCs w:val="20"/>
          <w:color w:val="auto"/>
        </w:rPr>
      </w:pPr>
    </w:p>
    <w:p>
      <w:pPr>
        <w:ind w:left="10" w:right="180"/>
        <w:spacing w:after="0" w:line="262" w:lineRule="auto"/>
        <w:rPr>
          <w:sz w:val="20"/>
          <w:szCs w:val="20"/>
          <w:color w:val="auto"/>
        </w:rPr>
      </w:pPr>
      <w:r>
        <w:rPr>
          <w:rFonts w:ascii="Times New Roman" w:cs="Times New Roman" w:eastAsia="Times New Roman" w:hAnsi="Times New Roman"/>
          <w:sz w:val="15"/>
          <w:szCs w:val="15"/>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w:t>
      </w:r>
    </w:p>
    <w:p>
      <w:pPr>
        <w:spacing w:after="0" w:line="1" w:lineRule="exact"/>
        <w:rPr>
          <w:sz w:val="20"/>
          <w:szCs w:val="20"/>
          <w:color w:val="auto"/>
        </w:rPr>
      </w:pPr>
    </w:p>
    <w:p>
      <w:pPr>
        <w:jc w:val="both"/>
        <w:ind w:left="10" w:right="400" w:hanging="10"/>
        <w:spacing w:after="0" w:line="257" w:lineRule="auto"/>
        <w:tabs>
          <w:tab w:leader="none" w:pos="29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Amendment</w:t>
      </w:r>
    </w:p>
    <w:p>
      <w:pPr>
        <w:spacing w:after="0" w:line="194" w:lineRule="exact"/>
        <w:rPr>
          <w:sz w:val="20"/>
          <w:szCs w:val="20"/>
          <w:color w:val="auto"/>
        </w:rPr>
      </w:pPr>
    </w:p>
    <w:p>
      <w:pPr>
        <w:ind w:left="10"/>
        <w:spacing w:after="0" w:line="262" w:lineRule="auto"/>
        <w:rPr>
          <w:sz w:val="20"/>
          <w:szCs w:val="20"/>
          <w:color w:val="auto"/>
        </w:rPr>
      </w:pPr>
      <w:r>
        <w:rPr>
          <w:rFonts w:ascii="Times New Roman" w:cs="Times New Roman" w:eastAsia="Times New Roman" w:hAnsi="Times New Roman"/>
          <w:sz w:val="15"/>
          <w:szCs w:val="15"/>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66 and 2/3%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23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8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i w:val="1"/>
          <w:iCs w:val="1"/>
          <w:color w:val="auto"/>
        </w:rPr>
        <w:t>Size of Board and Vacancies</w:t>
      </w:r>
    </w:p>
    <w:p>
      <w:pPr>
        <w:spacing w:after="0" w:line="19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5"/>
          <w:szCs w:val="15"/>
          <w:color w:val="auto"/>
        </w:rPr>
        <w:t>Pursuant to our certificate of incorporation, as amended,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Stockholder Meetings</w:t>
      </w:r>
    </w:p>
    <w:p>
      <w:pPr>
        <w:spacing w:after="0" w:line="193"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5"/>
          <w:szCs w:val="15"/>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for Advance Notification of Stockholder Nominations and Proposals</w:t>
      </w:r>
    </w:p>
    <w:p>
      <w:pPr>
        <w:spacing w:after="0" w:line="194"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5"/>
          <w:szCs w:val="15"/>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 Cumulative Voting</w:t>
      </w:r>
    </w:p>
    <w:p>
      <w:pPr>
        <w:spacing w:after="0" w:line="194"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5"/>
          <w:szCs w:val="15"/>
          <w:color w:val="auto"/>
        </w:rPr>
        <w:t>The DGCL provides that stockholders are denied the right to cumulate votes in the election of directors unless our certificate of incorporation, as amended, provides otherwise. Our certificate of incorporation, as amended, does not provide for cumulative voting.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Authorized but Unissued Shares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holders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 Liability</w:t>
      </w:r>
    </w:p>
    <w:p>
      <w:pPr>
        <w:spacing w:after="0" w:line="19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5"/>
          <w:szCs w:val="15"/>
          <w:color w:val="auto"/>
        </w:rPr>
        <w:t>Our certificate of incorporation, as amended, and 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 WE MAY OFFER</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5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2"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5"/>
          <w:szCs w:val="15"/>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3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5"/>
          <w:szCs w:val="15"/>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46" w:lineRule="exact"/>
        <w:rPr>
          <w:sz w:val="20"/>
          <w:szCs w:val="20"/>
          <w:color w:val="auto"/>
        </w:rPr>
      </w:pPr>
    </w:p>
    <w:p>
      <w:pPr>
        <w:ind w:left="540" w:hanging="278"/>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being offered and, if a series, the total amount authorized and the total amount outstanding;</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on the amount that may be issued;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we will issue the series of debt securities in global form, and, if so, the terms and who the depositary will be;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w:t>
      </w:r>
    </w:p>
    <w:p>
      <w:pPr>
        <w:spacing w:after="0" w:line="8" w:lineRule="exact"/>
        <w:rPr>
          <w:rFonts w:ascii="Times New Roman" w:cs="Times New Roman" w:eastAsia="Times New Roman" w:hAnsi="Times New Roman"/>
          <w:sz w:val="15"/>
          <w:szCs w:val="15"/>
          <w:color w:val="auto"/>
        </w:rPr>
      </w:pPr>
    </w:p>
    <w:p>
      <w:pPr>
        <w:ind w:left="540" w:right="40" w:hanging="278"/>
        <w:spacing w:after="0" w:line="251"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 w:lineRule="exact"/>
        <w:rPr>
          <w:rFonts w:ascii="Times New Roman" w:cs="Times New Roman" w:eastAsia="Times New Roman" w:hAnsi="Times New Roman"/>
          <w:sz w:val="15"/>
          <w:szCs w:val="15"/>
          <w:color w:val="auto"/>
        </w:rPr>
      </w:pPr>
    </w:p>
    <w:p>
      <w:pPr>
        <w:ind w:left="540" w:hanging="278"/>
        <w:spacing w:after="0" w:line="263"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6" w:name="page17"/>
    <w:bookmarkEnd w:id="16"/>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debt securities will be secured or unsecured, and the terms of any secured debt;</w:t>
      </w:r>
    </w:p>
    <w:p>
      <w:pPr>
        <w:spacing w:after="0" w:line="23"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subordination of any series of subordinated debt;</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where payments will be payable;</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transfer, sale or other assignment, if any;</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 if any, to defer payment of interest and the maximum length of any such deferral period;</w:t>
      </w:r>
    </w:p>
    <w:p>
      <w:pPr>
        <w:spacing w:after="0" w:line="8" w:lineRule="exact"/>
        <w:rPr>
          <w:rFonts w:ascii="Times New Roman" w:cs="Times New Roman" w:eastAsia="Times New Roman" w:hAnsi="Times New Roman"/>
          <w:sz w:val="15"/>
          <w:szCs w:val="15"/>
          <w:color w:val="auto"/>
        </w:rPr>
      </w:pPr>
    </w:p>
    <w:p>
      <w:pPr>
        <w:ind w:left="280" w:right="80" w:hanging="278"/>
        <w:spacing w:after="0" w:line="251"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after which, and the price at which, we may, at our option, redeem the series of debt securities pursuant to any optional or provisional redemption provisions and the terms of those redemption provisions;</w:t>
      </w:r>
    </w:p>
    <w:p>
      <w:pPr>
        <w:spacing w:after="0" w:line="1" w:lineRule="exact"/>
        <w:rPr>
          <w:rFonts w:ascii="Times New Roman" w:cs="Times New Roman" w:eastAsia="Times New Roman" w:hAnsi="Times New Roman"/>
          <w:sz w:val="15"/>
          <w:szCs w:val="15"/>
          <w:color w:val="auto"/>
        </w:rPr>
      </w:pPr>
    </w:p>
    <w:p>
      <w:pPr>
        <w:ind w:left="280" w:hanging="278"/>
        <w:spacing w:after="0" w:line="251"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relating to modification of the terms of the security or the rights of the security holder;</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indenture will restrict our ability or the ability of our subsidiaries to:</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indebtedness;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additional securities;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liens;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dividends or make distributions in respect of our capital stock or the capital stock of our subsidiaries;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redeem capital stock;</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place restrictions on our subsidiaries’ ability to pay dividends, make distributions or transfer assets;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investments or other restricted payments;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transfer or otherwise dispose of assets;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sale-leaseback transactions;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transactions with stockholders or affiliates;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or sell stock of our subsidiaries; or</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 consolidation or merger;</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indenture will require us to maintain any interest coverage, fixed charge, cash flow-based, asset-based or other financial ratios;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describing any book-entry features;</w:t>
      </w:r>
    </w:p>
    <w:p>
      <w:pPr>
        <w:spacing w:after="0" w:line="8"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the provisions in the indenture on discharge;</w:t>
      </w:r>
    </w:p>
    <w:p>
      <w:pPr>
        <w:spacing w:after="0" w:line="8" w:lineRule="exact"/>
        <w:rPr>
          <w:rFonts w:ascii="Times New Roman" w:cs="Times New Roman" w:eastAsia="Times New Roman" w:hAnsi="Times New Roman"/>
          <w:sz w:val="15"/>
          <w:szCs w:val="15"/>
          <w:color w:val="auto"/>
        </w:rPr>
      </w:pPr>
    </w:p>
    <w:p>
      <w:pPr>
        <w:ind w:left="280" w:right="200" w:hanging="278"/>
        <w:spacing w:after="0" w:line="251"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 w:lineRule="exact"/>
        <w:rPr>
          <w:rFonts w:ascii="Times New Roman" w:cs="Times New Roman" w:eastAsia="Times New Roman" w:hAnsi="Times New Roman"/>
          <w:sz w:val="15"/>
          <w:szCs w:val="15"/>
          <w:color w:val="auto"/>
        </w:rPr>
      </w:pPr>
    </w:p>
    <w:p>
      <w:pPr>
        <w:ind w:left="280" w:hanging="278"/>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we will issue the series of debt securities, if other than denominations of $1,000 and any integral multiple thereof;</w:t>
      </w: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12700</wp:posOffset>
            </wp:positionV>
            <wp:extent cx="71545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000"/>
          </w:cols>
          <w:pgMar w:left="580" w:top="713" w:right="319" w:bottom="1440" w:gutter="0" w:footer="0" w:header="0"/>
        </w:sectPr>
      </w:pPr>
    </w:p>
    <w:bookmarkStart w:id="17" w:name="page18"/>
    <w:bookmarkEnd w:id="17"/>
    <w:p>
      <w:pPr>
        <w:ind w:left="540" w:hanging="278"/>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payment of debt securities if other than U.S. dollars and the manner of determining the equivalent amount in U.S. dollars; and</w:t>
      </w:r>
    </w:p>
    <w:p>
      <w:pPr>
        <w:spacing w:after="0" w:line="23" w:lineRule="exact"/>
        <w:rPr>
          <w:rFonts w:ascii="Times New Roman" w:cs="Times New Roman" w:eastAsia="Times New Roman" w:hAnsi="Times New Roman"/>
          <w:sz w:val="15"/>
          <w:szCs w:val="15"/>
          <w:color w:val="auto"/>
        </w:rPr>
      </w:pPr>
    </w:p>
    <w:p>
      <w:pPr>
        <w:ind w:left="540" w:hanging="278"/>
        <w:spacing w:after="0" w:line="263"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5"/>
          <w:szCs w:val="15"/>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or Exchange Rights</w:t>
      </w:r>
    </w:p>
    <w:p>
      <w:pPr>
        <w:spacing w:after="0" w:line="19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5"/>
          <w:szCs w:val="15"/>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Consolidation, Merger or Sale</w:t>
      </w:r>
    </w:p>
    <w:p>
      <w:pPr>
        <w:spacing w:after="0" w:line="19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Events of Default under the Indenture</w:t>
      </w:r>
    </w:p>
    <w:p>
      <w:pPr>
        <w:spacing w:after="0" w:line="19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33" w:lineRule="exact"/>
        <w:rPr>
          <w:sz w:val="20"/>
          <w:szCs w:val="20"/>
          <w:color w:val="auto"/>
        </w:rPr>
      </w:pPr>
    </w:p>
    <w:p>
      <w:pPr>
        <w:ind w:left="540" w:hanging="278"/>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interest when due and payable and our failure continues for 90 days and the time for payment has not been extended;</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the principal, premium or sinking fund payment, if any, when due and payable and the time for payment has not been extended;</w:t>
      </w:r>
    </w:p>
    <w:p>
      <w:pPr>
        <w:spacing w:after="0" w:line="8" w:lineRule="exact"/>
        <w:rPr>
          <w:rFonts w:ascii="Times New Roman" w:cs="Times New Roman" w:eastAsia="Times New Roman" w:hAnsi="Times New Roman"/>
          <w:sz w:val="15"/>
          <w:szCs w:val="15"/>
          <w:color w:val="auto"/>
        </w:rPr>
      </w:pPr>
    </w:p>
    <w:p>
      <w:pPr>
        <w:ind w:left="540" w:right="440" w:hanging="278"/>
        <w:spacing w:after="0" w:line="251"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specified events of bankruptcy, insolvency or reorganization occur.</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160"/>
          </w:cols>
          <w:pgMar w:left="320" w:top="713" w:right="419" w:bottom="1440" w:gutter="0" w:footer="0" w:header="0"/>
        </w:sectPr>
      </w:pPr>
    </w:p>
    <w:bookmarkStart w:id="18" w:name="page19"/>
    <w:bookmarkEnd w:id="18"/>
    <w:p>
      <w:pPr>
        <w:ind w:right="80"/>
        <w:spacing w:after="0" w:line="258" w:lineRule="auto"/>
        <w:rPr>
          <w:sz w:val="20"/>
          <w:szCs w:val="20"/>
          <w:color w:val="auto"/>
        </w:rPr>
      </w:pPr>
      <w:r>
        <w:rPr>
          <w:rFonts w:ascii="Times New Roman" w:cs="Times New Roman" w:eastAsia="Times New Roman" w:hAnsi="Times New Roman"/>
          <w:sz w:val="15"/>
          <w:szCs w:val="15"/>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4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52" w:lineRule="exact"/>
        <w:rPr>
          <w:sz w:val="20"/>
          <w:szCs w:val="20"/>
          <w:color w:val="auto"/>
        </w:rPr>
      </w:pPr>
    </w:p>
    <w:p>
      <w:pPr>
        <w:ind w:left="540" w:hanging="278"/>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direction so given by the holders is not in conflict with any law or the applicable indenture; and</w:t>
      </w:r>
    </w:p>
    <w:p>
      <w:pPr>
        <w:spacing w:after="0" w:line="23" w:lineRule="exact"/>
        <w:rPr>
          <w:rFonts w:ascii="Times New Roman" w:cs="Times New Roman" w:eastAsia="Times New Roman" w:hAnsi="Times New Roman"/>
          <w:sz w:val="15"/>
          <w:szCs w:val="15"/>
          <w:color w:val="auto"/>
        </w:rPr>
      </w:pPr>
    </w:p>
    <w:p>
      <w:pPr>
        <w:ind w:left="540" w:right="60" w:hanging="278"/>
        <w:spacing w:after="0" w:line="26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its duties under the Trust Indenture Act, the trustee need not take any action that might involve it in personal liability or might be unduly prejudicial to the holders not involved in the proceeding.</w:t>
      </w:r>
    </w:p>
    <w:p>
      <w:pPr>
        <w:spacing w:after="0" w:line="15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5"/>
          <w:szCs w:val="15"/>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holder of the debt securities of any series will have the right to institute a proceeding under the indentures or to appoint a receiver or trustee, or to seek other remedies only if:</w:t>
      </w:r>
    </w:p>
    <w:p>
      <w:pPr>
        <w:spacing w:after="0" w:line="190" w:lineRule="exact"/>
        <w:rPr>
          <w:sz w:val="20"/>
          <w:szCs w:val="20"/>
          <w:color w:val="auto"/>
        </w:rPr>
      </w:pPr>
    </w:p>
    <w:p>
      <w:pPr>
        <w:ind w:left="540" w:hanging="278"/>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has given written notice to the trustee of a continuing event of default with respect to that series;</w:t>
      </w:r>
    </w:p>
    <w:p>
      <w:pPr>
        <w:spacing w:after="0" w:line="23" w:lineRule="exact"/>
        <w:rPr>
          <w:rFonts w:ascii="Times New Roman" w:cs="Times New Roman" w:eastAsia="Times New Roman" w:hAnsi="Times New Roman"/>
          <w:sz w:val="15"/>
          <w:szCs w:val="15"/>
          <w:color w:val="auto"/>
        </w:rPr>
      </w:pPr>
    </w:p>
    <w:p>
      <w:pPr>
        <w:ind w:left="540" w:right="140" w:hanging="278"/>
        <w:spacing w:after="0" w:line="251"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Times New Roman" w:cs="Times New Roman" w:eastAsia="Times New Roman" w:hAnsi="Times New Roman"/>
          <w:sz w:val="15"/>
          <w:szCs w:val="15"/>
          <w:color w:val="auto"/>
        </w:rPr>
      </w:pPr>
    </w:p>
    <w:p>
      <w:pPr>
        <w:ind w:left="540" w:right="220" w:hanging="278"/>
        <w:spacing w:after="0" w:line="263"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color w:val="auto"/>
        </w:rPr>
        <w:t>These limitations do not apply to a suit instituted by a holder of debt securities if we default in the payment of the principal, premium, if any, or interest on, the debt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periodically file statements with the trustee regarding our compliance with specified covenants in the indentures.</w:t>
      </w:r>
    </w:p>
    <w:p>
      <w:pPr>
        <w:spacing w:after="0" w:line="1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Modification of Indenture; Waiver</w:t>
      </w:r>
    </w:p>
    <w:p>
      <w:pPr>
        <w:spacing w:after="0" w:line="19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Subject to the terms of the indenture for any series of debt securities that we may issue, we and the trustee may change an indenture without the consent of any holders with respect to the following specific matters:</w:t>
      </w:r>
    </w:p>
    <w:p>
      <w:pPr>
        <w:spacing w:after="0" w:line="133" w:lineRule="exact"/>
        <w:rPr>
          <w:sz w:val="20"/>
          <w:szCs w:val="20"/>
          <w:color w:val="auto"/>
        </w:rPr>
      </w:pPr>
    </w:p>
    <w:p>
      <w:pPr>
        <w:ind w:left="560" w:hanging="26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fix any ambiguity, defect or inconsistency in the indenture;</w:t>
      </w:r>
    </w:p>
    <w:p>
      <w:pPr>
        <w:spacing w:after="0" w:line="23"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provisions described above under “Consolidation, Merger or Sale”;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any requirements of the SEC in connection with the qualification of any indenture under the Trust Indenture Act;</w:t>
      </w:r>
    </w:p>
    <w:p>
      <w:pPr>
        <w:spacing w:after="0" w:line="8" w:lineRule="exact"/>
        <w:rPr>
          <w:rFonts w:ascii="Times New Roman" w:cs="Times New Roman" w:eastAsia="Times New Roman" w:hAnsi="Times New Roman"/>
          <w:sz w:val="15"/>
          <w:szCs w:val="15"/>
          <w:color w:val="auto"/>
        </w:rPr>
      </w:pPr>
    </w:p>
    <w:p>
      <w:pPr>
        <w:ind w:left="560" w:hanging="264"/>
        <w:spacing w:after="0" w:line="251" w:lineRule="auto"/>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debt securities, as set forth in such indenture;</w:t>
      </w:r>
    </w:p>
    <w:p>
      <w:pPr>
        <w:spacing w:after="0" w:line="1" w:lineRule="exact"/>
        <w:rPr>
          <w:rFonts w:ascii="Times New Roman" w:cs="Times New Roman" w:eastAsia="Times New Roman" w:hAnsi="Times New Roman"/>
          <w:sz w:val="15"/>
          <w:szCs w:val="15"/>
          <w:color w:val="auto"/>
        </w:rPr>
      </w:pPr>
    </w:p>
    <w:p>
      <w:pPr>
        <w:ind w:left="560" w:right="60" w:hanging="264"/>
        <w:spacing w:after="0" w:line="251" w:lineRule="auto"/>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debt securities in addition to or in place of certificated debt securities and to make all appropriate changes for such purpose;</w:t>
      </w:r>
    </w:p>
    <w:p>
      <w:pPr>
        <w:spacing w:after="0" w:line="8" w:lineRule="exact"/>
        <w:rPr>
          <w:rFonts w:ascii="Times New Roman" w:cs="Times New Roman" w:eastAsia="Times New Roman" w:hAnsi="Times New Roman"/>
          <w:sz w:val="15"/>
          <w:szCs w:val="15"/>
          <w:color w:val="auto"/>
        </w:rPr>
      </w:pPr>
    </w:p>
    <w:p>
      <w:pPr>
        <w:ind w:left="560" w:right="380" w:hanging="264"/>
        <w:spacing w:after="0" w:line="251" w:lineRule="auto"/>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Times New Roman" w:cs="Times New Roman" w:eastAsia="Times New Roman" w:hAnsi="Times New Roman"/>
          <w:sz w:val="15"/>
          <w:szCs w:val="15"/>
          <w:color w:val="auto"/>
        </w:rPr>
      </w:pPr>
    </w:p>
    <w:p>
      <w:pPr>
        <w:ind w:left="560" w:right="140" w:hanging="264"/>
        <w:spacing w:after="0" w:line="255" w:lineRule="auto"/>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20" w:name="page21"/>
    <w:bookmarkEnd w:id="20"/>
    <w:p>
      <w:pPr>
        <w:spacing w:after="0" w:line="268" w:lineRule="auto"/>
        <w:rPr>
          <w:sz w:val="20"/>
          <w:szCs w:val="20"/>
          <w:color w:val="auto"/>
        </w:rPr>
      </w:pPr>
      <w:r>
        <w:rPr>
          <w:rFonts w:ascii="Times New Roman" w:cs="Times New Roman" w:eastAsia="Times New Roman" w:hAnsi="Times New Roman"/>
          <w:sz w:val="15"/>
          <w:szCs w:val="15"/>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46" w:lineRule="exact"/>
        <w:rPr>
          <w:sz w:val="20"/>
          <w:szCs w:val="20"/>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extending the fixed maturity of the series of debt securities;</w:t>
      </w:r>
    </w:p>
    <w:p>
      <w:pPr>
        <w:spacing w:after="0" w:line="23"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principal amount, reducing the rate of or extending the time of payment of interest, or reducing any premium payable upon the redemption of any debt securities;</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percentage of debt securities, the holders of which are required to consent to any amendment, supplement, modification or waiver;</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any of our obligations to pay additional amounts;</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amount of principal of an original issue discount security or any other note payable upon acceleration of the maturity thereof;</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the currency in which any note or any premium or interest is payable;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impairing the right to enforce any payment on or with respect to any note;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changing the right to convert or exchange, including decreasing the conversion rate or increasing the conversion price of, such note, if applicable;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the subordinated indenture, modifying the subordination provisions in a manner adverse to the holders of the subordinated debt securities;</w:t>
      </w:r>
    </w:p>
    <w:p>
      <w:pPr>
        <w:spacing w:after="0" w:line="8" w:lineRule="exact"/>
        <w:rPr>
          <w:rFonts w:ascii="Times New Roman" w:cs="Times New Roman" w:eastAsia="Times New Roman" w:hAnsi="Times New Roman"/>
          <w:sz w:val="15"/>
          <w:szCs w:val="15"/>
          <w:color w:val="auto"/>
        </w:rPr>
      </w:pPr>
    </w:p>
    <w:p>
      <w:pPr>
        <w:ind w:left="560" w:right="280" w:hanging="264"/>
        <w:spacing w:after="0" w:line="251" w:lineRule="auto"/>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debt securities are secured, changing the terms and conditions pursuant to which the debt securities are secured in a manner adverse to the holders of the secured debt securities;</w:t>
      </w:r>
    </w:p>
    <w:p>
      <w:pPr>
        <w:spacing w:after="0" w:line="1"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requirements contained in the applicable indenture for quorum or voting;</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any of our obligations to maintain an office or agency in the places and for the purposes required by the indentures; or</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modifying any of the above provisions set forth in this paragraph.</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180"/>
          </w:cols>
          <w:pgMar w:left="320" w:top="690"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color w:val="auto"/>
        </w:rPr>
        <w:t>Discharge</w:t>
      </w:r>
    </w:p>
    <w:p>
      <w:pPr>
        <w:spacing w:after="0" w:line="194"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5"/>
          <w:szCs w:val="15"/>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33" w:lineRule="exact"/>
        <w:rPr>
          <w:sz w:val="20"/>
          <w:szCs w:val="20"/>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or exchange of debt securities of the series;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replace stolen, lost or mutilated debt securities of the series;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paying agencies;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 monies for payment in trust;</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 excess money held by the trustee;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compensate and indemnify the trustee;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 any successor trustee.</w:t>
      </w:r>
    </w:p>
    <w:p>
      <w:pPr>
        <w:spacing w:after="0" w:line="174"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5"/>
          <w:szCs w:val="15"/>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Form, Exchange and Transfer</w:t>
      </w:r>
    </w:p>
    <w:p>
      <w:pPr>
        <w:spacing w:after="0" w:line="194"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5"/>
          <w:szCs w:val="15"/>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4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5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we elect to redeem the debt securities of any series, we will not be required to:</w:t>
      </w:r>
    </w:p>
    <w:p>
      <w:pPr>
        <w:spacing w:after="0" w:line="190" w:lineRule="exact"/>
        <w:rPr>
          <w:sz w:val="20"/>
          <w:szCs w:val="20"/>
          <w:color w:val="auto"/>
        </w:rPr>
      </w:pPr>
    </w:p>
    <w:p>
      <w:pPr>
        <w:ind w:left="540" w:right="100" w:hanging="278"/>
        <w:spacing w:after="0" w:line="262"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ind w:left="540" w:right="80" w:hanging="278"/>
        <w:spacing w:after="0" w:line="263"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of or exchange any debt securities so selected for redemption, in whole or in part, except the unredeemed portion of any debt securities we are redeeming in part.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color w:val="auto"/>
        </w:rPr>
        <w:t>Information Concerning the Trustee</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194"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5"/>
          <w:szCs w:val="15"/>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52"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5"/>
          <w:szCs w:val="15"/>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93"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5"/>
          <w:szCs w:val="15"/>
          <w:color w:val="auto"/>
        </w:rPr>
        <w:t>The indentures and the debt securities will be governed by and construed in accordance with the laws of the State of New York, except to the extent that the Trust Indenture Act is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Ranking Debt Securities</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4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DESCRIPTION OF WARRANTS WE MAY OFFER</w:t>
      </w:r>
    </w:p>
    <w:p>
      <w:pPr>
        <w:spacing w:after="0" w:line="194"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5"/>
          <w:szCs w:val="15"/>
          <w:color w:val="auto"/>
        </w:rPr>
        <w:t>As of December 22, 2025,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5"/>
          <w:szCs w:val="15"/>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Warrants</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46" w:lineRule="exact"/>
        <w:rPr>
          <w:sz w:val="20"/>
          <w:szCs w:val="20"/>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warrants;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for which the warrants are exercisable;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the warrants will be issued;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number of warrants issued with each share of preferred stock or share of common stock;</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on and after which the warrants and the related preferred stock or common stock will be separately transferable;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commence, and the date on which the right will expire;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or minimum number of warrants which may be exercised at any time;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the material U.S. federal income tax considerations applicable to exercise of the warrants;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warrants, including terms, procedures and limitations relating to the exchange and exercise of the warrants.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180"/>
          </w:cols>
          <w:pgMar w:left="320" w:top="687" w:right="399" w:bottom="1440" w:gutter="0" w:footer="0" w:header="0"/>
        </w:sectPr>
      </w:pPr>
    </w:p>
    <w:bookmarkStart w:id="24" w:name="page25"/>
    <w:bookmarkEnd w:id="24"/>
    <w:p>
      <w:pPr>
        <w:jc w:val="both"/>
        <w:ind w:right="60"/>
        <w:spacing w:after="0" w:line="268" w:lineRule="auto"/>
        <w:rPr>
          <w:sz w:val="20"/>
          <w:szCs w:val="20"/>
          <w:color w:val="auto"/>
        </w:rPr>
      </w:pPr>
      <w:r>
        <w:rPr>
          <w:rFonts w:ascii="Times New Roman" w:cs="Times New Roman" w:eastAsia="Times New Roman" w:hAnsi="Times New Roman"/>
          <w:sz w:val="15"/>
          <w:szCs w:val="15"/>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Debt Warrants</w:t>
      </w:r>
    </w:p>
    <w:p>
      <w:pPr>
        <w:spacing w:after="0" w:line="19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33" w:lineRule="exact"/>
        <w:rPr>
          <w:sz w:val="20"/>
          <w:szCs w:val="20"/>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debt warrants;</w:t>
      </w:r>
    </w:p>
    <w:p>
      <w:pPr>
        <w:spacing w:after="0" w:line="23"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number of the debt warrants;</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the debt warrants will be issued;</w:t>
      </w:r>
    </w:p>
    <w:p>
      <w:pPr>
        <w:spacing w:after="0" w:line="8" w:lineRule="exact"/>
        <w:rPr>
          <w:rFonts w:ascii="Times New Roman" w:cs="Times New Roman" w:eastAsia="Times New Roman" w:hAnsi="Times New Roman"/>
          <w:sz w:val="15"/>
          <w:szCs w:val="15"/>
          <w:color w:val="auto"/>
        </w:rPr>
      </w:pPr>
    </w:p>
    <w:p>
      <w:pPr>
        <w:ind w:left="560" w:right="240" w:hanging="264"/>
        <w:spacing w:after="0" w:line="251" w:lineRule="auto"/>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aggregate principal amount and terms of the debt securities purchasable upon exercise of the debt warrants, and the procedures and conditions relating to the exercise of the debt warrants;</w:t>
      </w:r>
    </w:p>
    <w:p>
      <w:pPr>
        <w:spacing w:after="0" w:line="1"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any related debt securities with which the debt warrants are issued, and the number of the debt warrants issued with each security;</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on and after which the debt warrants and the related debt securities will be separately transferable;</w:t>
      </w:r>
    </w:p>
    <w:p>
      <w:pPr>
        <w:spacing w:after="0" w:line="8" w:lineRule="exact"/>
        <w:rPr>
          <w:rFonts w:ascii="Times New Roman" w:cs="Times New Roman" w:eastAsia="Times New Roman" w:hAnsi="Times New Roman"/>
          <w:sz w:val="15"/>
          <w:szCs w:val="15"/>
          <w:color w:val="auto"/>
        </w:rPr>
      </w:pPr>
    </w:p>
    <w:p>
      <w:pPr>
        <w:ind w:left="560" w:hanging="264"/>
        <w:spacing w:after="0" w:line="251" w:lineRule="auto"/>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of debt securities purchasable upon exercise of each debt warrant, and the price at which the principal amount of the debt securities may be purchased upon exercise;</w:t>
      </w:r>
    </w:p>
    <w:p>
      <w:pPr>
        <w:spacing w:after="0" w:line="1"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debt warrants will commence, and the date on which the right will expire;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or minimum number of the debt warrants that may be exercised at any time;</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or adjustments in the exercise price of the debt warrants;</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the material U.S. federal income tax considerations applicable to the exercise of the debt warrants; and</w:t>
      </w:r>
    </w:p>
    <w:p>
      <w:pPr>
        <w:spacing w:after="0" w:line="8" w:lineRule="exact"/>
        <w:rPr>
          <w:rFonts w:ascii="Times New Roman" w:cs="Times New Roman" w:eastAsia="Times New Roman" w:hAnsi="Times New Roman"/>
          <w:sz w:val="15"/>
          <w:szCs w:val="15"/>
          <w:color w:val="auto"/>
        </w:rPr>
      </w:pPr>
    </w:p>
    <w:p>
      <w:pPr>
        <w:ind w:left="560" w:hanging="264"/>
        <w:spacing w:after="0"/>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warrants and terms, procedures and limitations relating to the exercise of the debt warrants.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25" w:name="page26"/>
    <w:bookmarkEnd w:id="25"/>
    <w:p>
      <w:pPr>
        <w:ind w:right="180"/>
        <w:spacing w:after="0" w:line="262" w:lineRule="auto"/>
        <w:rPr>
          <w:sz w:val="20"/>
          <w:szCs w:val="20"/>
          <w:color w:val="auto"/>
        </w:rPr>
      </w:pPr>
      <w:r>
        <w:rPr>
          <w:rFonts w:ascii="Times New Roman" w:cs="Times New Roman" w:eastAsia="Times New Roman" w:hAnsi="Times New Roman"/>
          <w:sz w:val="15"/>
          <w:szCs w:val="15"/>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of Warrants</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DESCRIPTION OF RIGHTS WE MAY OFFER</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5"/>
          <w:szCs w:val="15"/>
          <w:color w:val="auto"/>
        </w:rPr>
        <w:t>We may issue rights to purchase shares of our common stock, preferred stock, or warrants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the underwriters will purchase any of the offered securities remaining unsubscribed after the expiration of the rights offering. In connection with a rights offering to our stockholders, we will distribute certificates evidencing the rights and an applicable prospectus supplement to our stockholders on the record date that we set for receiving rights in the rights offering. An applicable prospectus supplement will describe the following terms of rights in respect of which this prospectus is being delivered:</w:t>
      </w:r>
    </w:p>
    <w:p>
      <w:pPr>
        <w:spacing w:after="0" w:line="154" w:lineRule="exact"/>
        <w:rPr>
          <w:sz w:val="20"/>
          <w:szCs w:val="20"/>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rights;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for which the rights are exercisable;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for the rights;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of determining the security holders entitled to the rights distribution;</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the rights issued to each security holder;</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rights are transferable;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a discussion of the material United States federal income tax considerations applicable to the issuance or exercise of the rights;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rights shall commence, and the date on which the rights shall expire (subject to any extension);</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conditions to completion of the rights offering;</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rights;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rights include an over-subscription privilege with respect to unsubscribed securities;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other purchase arrangement that we may enter into in connection with the rights offering;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rights, including terms, procedures and limits relating to the exchange or exercise of the rights.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Each right will entitle the holder to purchase an amount of securities for cash, at the exercise price. Rights may be exercised at any time up to the close of business on the expiration date of the rights. After the close of business on the expiration date, all unexercised rights will become void. The manner in which rights may be exercised will be described in an applicable prospectus supplement. We may, but are not be required to, permit the exercise of rights through the delivery of a notice of guaranteed delivery from a bank, a trust company, or a Nasdaq member guaranteeing delivery of (i) payment of the exercise price for the securities for which the rights are being exercised, and (ii) a properly completed and executed rights certificate. The notice of guaranteed delivery must be received by the rights agent before the expiration of the rights, and the rights agent will not honor a notice of guaranteed delivery unless a properly completed and executed rights certificate and full payment for the securities being purchased are received by the rights agent by the close of business on the third business day after the expiration time of the rights. Upon receipt of payment and the proper completion and due execution of the rights certificate at the designated office of the rights agent or any other office indicated in an applicable prospectus supplement, we or the transfer agent will forward, as soon as practicable, the securities purchased upon the exercise of the rights. We may determine to offer any unsubscribed offered securities directly to persons other than stockholders, to or through agents, underwriters or dealers or through a combination of the methods, including pursuant to standby underwriting arrangements, as set forth in an applicable prospectus supplement.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UNITS WE MAY OFFER</w:t>
      </w:r>
    </w:p>
    <w:p>
      <w:pPr>
        <w:spacing w:after="0" w:line="19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5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5"/>
          <w:szCs w:val="15"/>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We may issue units comprised of one or more shares of common stock, shares of preferred stock, debt securities, warrants and/or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units, including:</w:t>
      </w:r>
    </w:p>
    <w:p>
      <w:pPr>
        <w:spacing w:after="0" w:line="189" w:lineRule="exact"/>
        <w:rPr>
          <w:sz w:val="20"/>
          <w:szCs w:val="20"/>
          <w:color w:val="auto"/>
        </w:rPr>
      </w:pPr>
    </w:p>
    <w:p>
      <w:pPr>
        <w:ind w:left="540" w:right="340" w:hanging="278"/>
        <w:spacing w:after="0" w:line="262" w:lineRule="auto"/>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ind w:left="540" w:hanging="278"/>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of the governing unit agreement that differ from those described below;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w:t>
      </w:r>
    </w:p>
    <w:p>
      <w:pPr>
        <w:spacing w:after="0" w:line="174"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5"/>
          <w:szCs w:val="15"/>
          <w:color w:val="auto"/>
        </w:rPr>
        <w:t>The provisions described in this section, as well as those described under “Description of Capital Stock,” “Description of Preferred Stock,” “Description of Debt Securities,” “Description of Warrants” and “Description of Rights” will apply to each unit and to any common stock, preferred stock, debt security or warrant included in each unit, respectively.</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color w:val="auto"/>
        </w:rPr>
        <w:t>Issuance in Series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issue units in such amounts and in numerous distinct series as we determine.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Units</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52"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5"/>
          <w:szCs w:val="15"/>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180"/>
          </w:cols>
          <w:pgMar w:left="320" w:top="687"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We may sell the securities being offered by us in this prospectus pursuant to underwritten public offerings, negotiated transactions, block trades or any combination of such methods. We may sell the securities to or through underwriters, dealers, agents or directly to one or more purchasers. We and our agents reserve the right to accept and to reject, in whole or in part, any proposed purchase of securities. A prospectus supplement or post-effective amendment, which we will file each time we effect an offering of any securities, will provide the names of any underwriters, dealers or agents, if any, involved in the sale of such securities, and any applicable fees, commissions, or discounts to which such persons shall be entitled to in connection with such offering.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and our agents, dealers and underwriters, as applicable, may sell the securities being offered by us in this prospectus from time to time in one or more transactions at:</w:t>
      </w:r>
    </w:p>
    <w:p>
      <w:pPr>
        <w:spacing w:after="0" w:line="190" w:lineRule="exact"/>
        <w:rPr>
          <w:sz w:val="20"/>
          <w:szCs w:val="20"/>
          <w:color w:val="auto"/>
        </w:rPr>
      </w:pPr>
    </w:p>
    <w:p>
      <w:pPr>
        <w:ind w:left="540" w:hanging="278"/>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fixed price or prices, which may be changed;</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prices prevailing at the time of sale;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prices related to such prevailing market prices;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varying prices determined at the time of sale; or</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negotiated prices.</w:t>
      </w:r>
    </w:p>
    <w:p>
      <w:pPr>
        <w:spacing w:after="0" w:line="17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We may determine the price or other terms of the securities offered under this prospectus by use of an electronic auction. We will describe how any auction will determine the price or any other terms, how potential investors may participate in the auction and the nature of the underwriters’ obligations, in the applicable prospectus supplement or amendment.</w:t>
      </w:r>
    </w:p>
    <w:p>
      <w:pPr>
        <w:spacing w:after="0" w:line="13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5"/>
          <w:szCs w:val="15"/>
          <w:color w:val="auto"/>
        </w:rPr>
        <w:t>We may solicit directly offers to purchase securities. We may also designate agents from time to time to solicit offers to purchase securities. Any agent that we designate, who may be deemed to be an underwriter as such term is defined in the Securities Act, may then resell such securities to the public at varying prices to be determined by such agent at the time of resale.</w:t>
      </w:r>
    </w:p>
    <w:p>
      <w:pPr>
        <w:spacing w:after="0" w:line="14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We may engage in at the market offerings of the Company’s common stock as defined in Rule 415(a)(4) under the Securities Act. An at the market offering is an offering of our common stock at other than a fixed price, and is conducted to or through a market maker. We shall name any underwriter or agent that the Company engages for an at the market offering in a post-effective amendment to the registration statement containing this prospectus. In the related prospectus supplement, we shall also describe any additional details of the Company’s arrangement with such underwriter or agent, including commissions or fees paid or discounts offered by the Company, and whether such underwriter is acting as principal or agent.</w:t>
      </w:r>
    </w:p>
    <w:p>
      <w:pPr>
        <w:spacing w:after="0" w:line="1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If we use underwriters to sell securities, we will enter into an underwriting agreement with the underwriters at the time of the sale to them, which agreement shall be filed as an exhibit to the related prospectus supplement. Underwriters may also receive commissions from purchasers of the securities. Underwriters may also use dealers to sell securities. In such an event, the dealers may receive compensation in the form of discounts, concessions or commissions from the underwriters and/or commissions from the purchasers for whom they may act as agents.</w:t>
      </w:r>
    </w:p>
    <w:p>
      <w:pPr>
        <w:spacing w:after="0" w:line="15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5"/>
          <w:szCs w:val="15"/>
          <w:color w:val="auto"/>
        </w:rPr>
        <w:t>Under agreements that they may enter into with us, underwriters, dealers, agents and other persons may be entitled to (i) indemnification by the Company against certain civil liabilities, including liabilities under the Securities Act or (ii) contribution with respect to payments which they may be required to make in respect of such liabilities. Underwriters and agents may engage in transactions with, or perform services for, us in the ordinary course of business.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30" w:name="page31"/>
    <w:bookmarkEnd w:id="30"/>
    <w:p>
      <w:pPr>
        <w:ind w:right="60"/>
        <w:spacing w:after="0" w:line="262"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may authorize underwriters, dealers or other persons to solicit offers by certain institutions to purchase the securities offered by us under this prospectus pursuant to contracts providing for payment and delivery on a future date or dates. The obligations of any purchaser under these contracts will be subject only to those conditions described in the applicable prospectus supplement, and the prospectus supplement will set forth the price to be paid for securities pursuant to those contracts and the commissions payable for solicitation of the contracts.</w:t>
      </w:r>
    </w:p>
    <w:p>
      <w:pPr>
        <w:spacing w:after="0" w:line="1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Any underwriter may engage in over-allotment, stabilizing and syndicate short covering transactions and penalty bids in accordance with Regulation M of the Exchange Act. Over-allotment involves sales in excess of the offering size, which create a short position. Stabilizing transactions involve bids to purchase the underlying security so long as the stabilizing bids do not exceed a specified maximum. Syndicate short covering transactions involve purchases of securities in the open market after the distribution has been completed in order to cover syndicate short positions. Penalty bids permit the underwriters to reclaim selling concessions from dealers when the securities originally sold by such dealers are purchased in covering transactions to cover syndicate short positions. These transactions may cause the price of the securities sold in an offering to be higher than it would otherwise be. These transactions, if commenced, may be discontinued by the underwriters at any time without notice.</w:t>
      </w:r>
    </w:p>
    <w:p>
      <w:pPr>
        <w:spacing w:after="0" w:line="1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Our common stock is quoted on The Nasdaq Global Market under the trading symbol “ARCT” The other securities are not listed on any securities exchange or other stock market and, unless the Company states otherwise in the applicable prospectus supplement, the Company does not intend to apply for listing of the other securities on any securities exchange or other stock market. Any underwriters to whom we sell securities for public offering and sale may make a market in the securities that they purchase, but the underwriters will not be obligated to do so and may discontinue any market making at any time without notice. Accordingly, the Company gives you no assurance as to the development or liquidity of any trading market for the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anticipated date of delivery of the securities offered hereby will be set forth in the applicable prospectus supplement relating to each offering.</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color w:val="auto"/>
        </w:rPr>
        <w:t>In order to comply with certain state securities laws, if applicable, the securities may be sold in such jurisdictions only through registered or licensed brokers or dealers. In certain states, the securities may not be sold unless the securities have been registered or qualified for sale in such state or an exemption from regulation or qualification is available and is complied with. Sales of securities must also be made by the Company in compliance with all other applicable state securities laws and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shall pay all expenses of the registration of the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5"/>
          <w:szCs w:val="15"/>
          <w:color w:val="auto"/>
        </w:rPr>
        <w:t>The financial statements of Arcturus Therapeutics Holdings, Inc. and subsidiaries as of and for the year ended December 31, 2024 incorporated by reference in this Prospectus and the effectiveness of Arcturus Therapeutics Holdings, Inc. and subsidiaries’ internal control over financial reporting as of December 31, 2024,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5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The financial statements of Arcturus Therapeutics Holdings Inc. and its Subsidiaries appearing in Arcturus Therapeutics Holdings Inc.’s Annual Report (Form 10-K) for the year ended December 31, 2023 has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and when the securities being registered hereunder are issued, the validity of such issuance will be passed upon for the Company by Dentons US LLP, New York, New York.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color w:val="auto"/>
        </w:rPr>
        <w:t>We file annual, quarterly and periodic reports, proxy statements and other information with the SEC. You may read and copy any materials that we file with the SEC at the SEC’s Public Reference Room at 100 F Street, N.E., Washington, D.C. 20549. You may obtain information on the operation of the Public Reference Room by calling the SEC at 1-800-SEC-0330. Our SEC filings are also available to the public from the SEC’s Website at www.sec.gov. We make available free of charge our annual, quarterly and current reports, proxy statements and other information upon request. To request such materials, please contact the Corporate Secretary at the following address or telephone number: Arcturus Therapeutics Holdings Inc., 10285 Science Center Drive, San Diego, California 92121, Attention: Investor Relations; (858) 900-2660. Exhibits to the documents will not be sent, unless those exhibits have specifically been incorporated by reference in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maintain our website at https://arcturusrx.com. Our website and the information contained therein or connected thereto are not incorporated into this Registration Statement.</w:t>
      </w:r>
    </w:p>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relating to the securities we are offering by this prospectus. This prospectus does not contain all of the information set forth in the registration statement and the exhibits and schedules to the registration statement. Please refer to the registration statement and its exhibits and schedules for further information with respect to the Company and our securities. Statements contained in this prospectus as to the contents of any contract or other document are not necessarily complete and, in each instance, we refer you to the copy of that contract or document filed as an exhibit to, or incorporated by reference into, the registration statement. You may read and obtain a copy of the registration statement and its exhibits and schedules from the SEC, as described in the preceding paragraph.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INCORPORATED BY REFERENCE</w:t>
      </w:r>
    </w:p>
    <w:p>
      <w:pPr>
        <w:spacing w:after="0" w:line="19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filed with SEC listed below:</w:t>
      </w:r>
    </w:p>
    <w:p>
      <w:pPr>
        <w:spacing w:after="0" w:line="146" w:lineRule="exact"/>
        <w:rPr>
          <w:sz w:val="20"/>
          <w:szCs w:val="20"/>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Our </w:t>
      </w:r>
      <w:hyperlink r:id="rId40">
        <w:r>
          <w:rPr>
            <w:rFonts w:ascii="Times New Roman" w:cs="Times New Roman" w:eastAsia="Times New Roman" w:hAnsi="Times New Roman"/>
            <w:sz w:val="15"/>
            <w:szCs w:val="15"/>
            <w:u w:val="single" w:color="auto"/>
            <w:color w:val="0000EE"/>
          </w:rPr>
          <w:t>Annual Report on 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2024, filed with the SEC on March 6, 2025;</w:t>
      </w:r>
    </w:p>
    <w:p>
      <w:pPr>
        <w:spacing w:after="0" w:line="190" w:lineRule="exact"/>
        <w:rPr>
          <w:sz w:val="20"/>
          <w:szCs w:val="20"/>
          <w:color w:val="auto"/>
        </w:rPr>
      </w:pPr>
    </w:p>
    <w:p>
      <w:pPr>
        <w:ind w:left="80" w:right="600" w:hanging="44"/>
        <w:spacing w:after="0" w:line="28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periods ended </w:t>
      </w:r>
      <w:hyperlink r:id="rId41">
        <w:r>
          <w:rPr>
            <w:rFonts w:ascii="Times New Roman" w:cs="Times New Roman" w:eastAsia="Times New Roman" w:hAnsi="Times New Roman"/>
            <w:sz w:val="15"/>
            <w:szCs w:val="15"/>
            <w:u w:val="single" w:color="auto"/>
            <w:color w:val="0000EE"/>
          </w:rPr>
          <w:t>March 31, 2025</w:t>
        </w:r>
      </w:hyperlink>
      <w:r>
        <w:rPr>
          <w:rFonts w:ascii="Times New Roman" w:cs="Times New Roman" w:eastAsia="Times New Roman" w:hAnsi="Times New Roman"/>
          <w:sz w:val="15"/>
          <w:szCs w:val="15"/>
          <w:color w:val="auto"/>
        </w:rPr>
        <w:t xml:space="preserve">, </w:t>
      </w:r>
      <w:hyperlink r:id="rId42">
        <w:r>
          <w:rPr>
            <w:rFonts w:ascii="Times New Roman" w:cs="Times New Roman" w:eastAsia="Times New Roman" w:hAnsi="Times New Roman"/>
            <w:sz w:val="15"/>
            <w:szCs w:val="15"/>
            <w:u w:val="single" w:color="auto"/>
            <w:color w:val="0000EE"/>
          </w:rPr>
          <w:t>June 30,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43">
        <w:r>
          <w:rPr>
            <w:rFonts w:ascii="Times New Roman" w:cs="Times New Roman" w:eastAsia="Times New Roman" w:hAnsi="Times New Roman"/>
            <w:sz w:val="15"/>
            <w:szCs w:val="15"/>
            <w:u w:val="single" w:color="auto"/>
            <w:color w:val="0000EE"/>
          </w:rPr>
          <w:t>September 30, 2025</w:t>
        </w:r>
      </w:hyperlink>
      <w:r>
        <w:rPr>
          <w:rFonts w:ascii="Times New Roman" w:cs="Times New Roman" w:eastAsia="Times New Roman" w:hAnsi="Times New Roman"/>
          <w:sz w:val="15"/>
          <w:szCs w:val="15"/>
          <w:color w:val="auto"/>
        </w:rPr>
        <w:t>, filed with the SEC on May 12, 2025, August 11, 2025 and November 12, 2025, respectively.</w:t>
      </w:r>
    </w:p>
    <w:p>
      <w:pPr>
        <w:spacing w:after="0" w:line="133" w:lineRule="exact"/>
        <w:rPr>
          <w:rFonts w:ascii="Times New Roman" w:cs="Times New Roman" w:eastAsia="Times New Roman" w:hAnsi="Times New Roman"/>
          <w:sz w:val="15"/>
          <w:szCs w:val="15"/>
          <w:color w:val="auto"/>
        </w:rPr>
      </w:pPr>
    </w:p>
    <w:p>
      <w:pPr>
        <w:ind w:left="80" w:right="140" w:hanging="44"/>
        <w:spacing w:after="0" w:line="285" w:lineRule="auto"/>
        <w:rPr>
          <w:rFonts w:ascii="Times New Roman" w:cs="Times New Roman" w:eastAsia="Times New Roman" w:hAnsi="Times New Roman"/>
          <w:sz w:val="15"/>
          <w:szCs w:val="15"/>
          <w:color w:val="0000EE"/>
        </w:rPr>
      </w:pPr>
      <w:hyperlink r:id="rId44">
        <w:r>
          <w:rPr>
            <w:rFonts w:ascii="Times New Roman" w:cs="Times New Roman" w:eastAsia="Times New Roman" w:hAnsi="Times New Roman"/>
            <w:sz w:val="15"/>
            <w:szCs w:val="15"/>
            <w:color w:val="auto"/>
          </w:rPr>
          <w:t xml:space="preserve">·Our information specifically incorporated by reference into our Annual Report on Form 10-K for the year ended December 31, 2024 from our </w:t>
        </w:r>
        <w:r>
          <w:rPr>
            <w:rFonts w:ascii="Times New Roman" w:cs="Times New Roman" w:eastAsia="Times New Roman" w:hAnsi="Times New Roman"/>
            <w:sz w:val="15"/>
            <w:szCs w:val="15"/>
            <w:u w:val="single" w:color="auto"/>
            <w:color w:val="0000EE"/>
          </w:rPr>
          <w:t>Definitive Proxy Statement on Schedule</w:t>
        </w:r>
      </w:hyperlink>
      <w:r>
        <w:rPr>
          <w:rFonts w:ascii="Times New Roman" w:cs="Times New Roman" w:eastAsia="Times New Roman" w:hAnsi="Times New Roman"/>
          <w:sz w:val="15"/>
          <w:szCs w:val="15"/>
          <w:color w:val="auto"/>
        </w:rPr>
        <w:t xml:space="preserve"> </w:t>
      </w:r>
      <w:hyperlink r:id="rId44">
        <w:r>
          <w:rPr>
            <w:rFonts w:ascii="Times New Roman" w:cs="Times New Roman" w:eastAsia="Times New Roman" w:hAnsi="Times New Roman"/>
            <w:sz w:val="15"/>
            <w:szCs w:val="15"/>
            <w:u w:val="single" w:color="auto"/>
            <w:color w:val="0000EE"/>
          </w:rPr>
          <w:t>14A</w:t>
        </w:r>
        <w:r>
          <w:rPr>
            <w:rFonts w:ascii="Times New Roman" w:cs="Times New Roman" w:eastAsia="Times New Roman" w:hAnsi="Times New Roman"/>
            <w:sz w:val="15"/>
            <w:szCs w:val="15"/>
            <w:color w:val="000000"/>
          </w:rPr>
          <w:t>, filed with the SEC on April 25, 2025;</w:t>
        </w:r>
      </w:hyperlink>
    </w:p>
    <w:p>
      <w:pPr>
        <w:spacing w:after="0" w:line="133" w:lineRule="exact"/>
        <w:rPr>
          <w:sz w:val="20"/>
          <w:szCs w:val="20"/>
          <w:color w:val="auto"/>
        </w:rPr>
      </w:pPr>
    </w:p>
    <w:p>
      <w:pPr>
        <w:ind w:left="80" w:right="160" w:hanging="44"/>
        <w:spacing w:after="0" w:line="28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Current Reports on Form 8-K filed with the SEC on </w:t>
      </w:r>
      <w:hyperlink r:id="rId45">
        <w:r>
          <w:rPr>
            <w:rFonts w:ascii="Times New Roman" w:cs="Times New Roman" w:eastAsia="Times New Roman" w:hAnsi="Times New Roman"/>
            <w:sz w:val="15"/>
            <w:szCs w:val="15"/>
            <w:u w:val="single" w:color="auto"/>
            <w:color w:val="0000EE"/>
          </w:rPr>
          <w:t>June 6, 2025</w:t>
        </w:r>
      </w:hyperlink>
      <w:r>
        <w:rPr>
          <w:rFonts w:ascii="Times New Roman" w:cs="Times New Roman" w:eastAsia="Times New Roman" w:hAnsi="Times New Roman"/>
          <w:sz w:val="15"/>
          <w:szCs w:val="15"/>
          <w:color w:val="auto"/>
        </w:rPr>
        <w:t xml:space="preserve">, </w:t>
      </w:r>
      <w:hyperlink r:id="rId46">
        <w:r>
          <w:rPr>
            <w:rFonts w:ascii="Times New Roman" w:cs="Times New Roman" w:eastAsia="Times New Roman" w:hAnsi="Times New Roman"/>
            <w:sz w:val="15"/>
            <w:szCs w:val="15"/>
            <w:u w:val="single" w:color="auto"/>
            <w:color w:val="0000EE"/>
          </w:rPr>
          <w:t>October 22, 2025</w:t>
        </w:r>
      </w:hyperlink>
      <w:r>
        <w:rPr>
          <w:rFonts w:ascii="Times New Roman" w:cs="Times New Roman" w:eastAsia="Times New Roman" w:hAnsi="Times New Roman"/>
          <w:sz w:val="15"/>
          <w:szCs w:val="15"/>
          <w:color w:val="auto"/>
        </w:rPr>
        <w:t xml:space="preserve">, and </w:t>
      </w:r>
      <w:hyperlink r:id="rId47">
        <w:r>
          <w:rPr>
            <w:rFonts w:ascii="Times New Roman" w:cs="Times New Roman" w:eastAsia="Times New Roman" w:hAnsi="Times New Roman"/>
            <w:sz w:val="15"/>
            <w:szCs w:val="15"/>
            <w:u w:val="single" w:color="auto"/>
            <w:color w:val="0000EE"/>
          </w:rPr>
          <w:t>December 15, 2025</w:t>
        </w:r>
      </w:hyperlink>
      <w:r>
        <w:rPr>
          <w:rFonts w:ascii="Times New Roman" w:cs="Times New Roman" w:eastAsia="Times New Roman" w:hAnsi="Times New Roman"/>
          <w:sz w:val="15"/>
          <w:szCs w:val="15"/>
          <w:color w:val="auto"/>
        </w:rPr>
        <w:t>, respectively (in each case, except for information contained therein which is furnished rather than filed); and</w:t>
      </w:r>
    </w:p>
    <w:p>
      <w:pPr>
        <w:spacing w:after="0" w:line="133"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The description of our common stock in our Current Report on </w:t>
      </w:r>
      <w:hyperlink r:id="rId48">
        <w:r>
          <w:rPr>
            <w:rFonts w:ascii="Times New Roman" w:cs="Times New Roman" w:eastAsia="Times New Roman" w:hAnsi="Times New Roman"/>
            <w:sz w:val="15"/>
            <w:szCs w:val="15"/>
            <w:u w:val="single" w:color="auto"/>
            <w:color w:val="0000EE"/>
          </w:rPr>
          <w:t>Form 8-K12B</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June 14, 2019.</w:t>
      </w:r>
    </w:p>
    <w:p>
      <w:pPr>
        <w:spacing w:after="0" w:line="272" w:lineRule="exact"/>
        <w:rPr>
          <w:rFonts w:ascii="Times New Roman" w:cs="Times New Roman" w:eastAsia="Times New Roman" w:hAnsi="Times New Roman"/>
          <w:sz w:val="15"/>
          <w:szCs w:val="15"/>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32" w:name="page33"/>
    <w:bookmarkEnd w:id="32"/>
    <w:p>
      <w:pPr>
        <w:spacing w:after="0" w:line="262" w:lineRule="auto"/>
        <w:rPr>
          <w:sz w:val="20"/>
          <w:szCs w:val="20"/>
          <w:color w:val="auto"/>
        </w:rPr>
      </w:pPr>
      <w:r>
        <w:rPr>
          <w:rFonts w:ascii="Times New Roman" w:cs="Times New Roman" w:eastAsia="Times New Roman" w:hAnsi="Times New Roman"/>
          <w:sz w:val="15"/>
          <w:szCs w:val="15"/>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2"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5"/>
          <w:szCs w:val="15"/>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10285 Science Center Drive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San Diego, California 92121</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Telephone: (858) 900-2660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17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5"/>
          <w:szCs w:val="15"/>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or to a document incorporated by reference, each such statement being qualified in all respects by such reference and the exhibits and schedules thereto.</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33" w:name="page34"/>
    <w:bookmarkEnd w:id="33"/>
    <w:p>
      <w:pPr>
        <w:jc w:val="both"/>
        <w:ind w:right="60"/>
        <w:spacing w:after="0" w:line="271" w:lineRule="auto"/>
        <w:rPr>
          <w:sz w:val="20"/>
          <w:szCs w:val="20"/>
          <w:color w:val="auto"/>
        </w:rPr>
      </w:pPr>
      <w:r>
        <w:rPr>
          <w:rFonts w:ascii="Times New Roman" w:cs="Times New Roman" w:eastAsia="Times New Roman" w:hAnsi="Times New Roman"/>
          <w:sz w:val="15"/>
          <w:szCs w:val="15"/>
          <w:b w:val="1"/>
          <w:bCs w:val="1"/>
          <w:color w:val="EB0029"/>
        </w:rPr>
        <w:t>The information in this preliminary prospectus is not complete and may be changed. The Registrant may not sell these securities until the registration statement filed with the Securities and Exchange Commission is effective. This preliminary prospectus is not an offer to sell these securities and it is not soliciting an offer to buy these securities in any state where an offer or sale is not permitted.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EB0029"/>
        </w:rPr>
        <w:t>SUBJECT TO COMPLETION, DATED DECEMBER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Up to $187,765,319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120015</wp:posOffset>
            </wp:positionV>
            <wp:extent cx="1709420" cy="574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7094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___________________</w:t>
      </w:r>
    </w:p>
    <w:p>
      <w:pPr>
        <w:spacing w:after="0" w:line="160" w:lineRule="exact"/>
        <w:rPr>
          <w:sz w:val="20"/>
          <w:szCs w:val="20"/>
          <w:color w:val="auto"/>
        </w:rPr>
      </w:pPr>
    </w:p>
    <w:p>
      <w:pPr>
        <w:ind w:right="20"/>
        <w:spacing w:after="0" w:line="190" w:lineRule="exact"/>
        <w:rPr>
          <w:sz w:val="20"/>
          <w:szCs w:val="20"/>
          <w:color w:val="auto"/>
        </w:rPr>
      </w:pPr>
      <w:r>
        <w:rPr>
          <w:rFonts w:ascii="Times New Roman" w:cs="Times New Roman" w:eastAsia="Times New Roman" w:hAnsi="Times New Roman"/>
          <w:sz w:val="15"/>
          <w:szCs w:val="15"/>
          <w:color w:val="auto"/>
        </w:rPr>
        <w:t>We have previously entered into a Controlled Equity Offering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Sales Agreement, as amended, (the “Sales Agreement”) with Cantor Fitzgerald &amp; Co. (“Cantor”), Wells Fargo Securities, LLC (“Wells Fargo”), and William Blair &amp; Company, L.L.C. (“William Blair”) relating to shares of our common stock, par value $0.001 per share, offered by this prospectus supplement and accompanying prospectus. In accordance with the terms of the Sales Agreement and this prospectus supplement and accompanying prospectus, we may offer and sell shares of our common stock having an aggregate offering price of up to $200 million from time to time through Cantor, Wells Fargo, or William Blair, each acting as our sales agent. As of December 22, 2025, we have sold 1,179,201 shares of our common stock with an aggregate offering price of approximately $12 million, leaving an aggregate offering price of up to approximately $188 million remaining under the Sales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traded on the Nasdaq Global Market under the symbol “ARCT.” On December 22, 2025, the last reported sale price of our common stock was $6.59 per share.</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Sales of our common stock, if any, under this prospectus supplement may be made in sales deemed to be “at the market offerings” as defined in Rule 415(a)(4) under the Securities Act of 1933, as amended (the “Securities Act”). Cantor, Wells Fargo, and William Blair are not required to sell any specific number or dollar amount of securities, but will act as sales agents using commercially reasonable efforts consistent with their normal trading and sales practices, on mutually agreed terms between Cantor, Wells Fargo, William Blair and us. There is no arrangement for funds to be received in any escrow, trust or similar arrangement.</w:t>
      </w:r>
    </w:p>
    <w:p>
      <w:pPr>
        <w:spacing w:after="0" w:line="1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5"/>
          <w:szCs w:val="15"/>
          <w:color w:val="auto"/>
        </w:rPr>
        <w:t>The compensation to the sales agents for sales of common stock sold pursuant to the Sales Agreement will be equal to 3% of the gross proceeds of any shares of common stock sold under the Sales Agreement. In connection with the sale of the common stock on our behalf, the sales agents will be deemed to be “underwriters”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or the Securities Exchange Act of 1934, as amended (the “Exchange Act”). See “Plan of Distribution” beginning on page S-10 for additional information regarding compensation payable to the sales agents.</w:t>
      </w:r>
    </w:p>
    <w:p>
      <w:pPr>
        <w:ind w:left="4900"/>
        <w:spacing w:after="0"/>
        <w:rPr>
          <w:sz w:val="20"/>
          <w:szCs w:val="20"/>
          <w:color w:val="auto"/>
        </w:rPr>
      </w:pPr>
      <w:r>
        <w:rPr>
          <w:rFonts w:ascii="Times New Roman" w:cs="Times New Roman" w:eastAsia="Times New Roman" w:hAnsi="Times New Roman"/>
          <w:sz w:val="15"/>
          <w:szCs w:val="15"/>
          <w:b w:val="1"/>
          <w:bCs w:val="1"/>
          <w:color w:val="auto"/>
        </w:rPr>
        <w:t>___________________</w:t>
      </w:r>
    </w:p>
    <w:p>
      <w:pPr>
        <w:spacing w:after="0" w:line="170"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5"/>
          <w:szCs w:val="15"/>
          <w:b w:val="1"/>
          <w:bCs w:val="1"/>
          <w:color w:val="auto"/>
        </w:rPr>
        <w:t>INVESTING IN OUR COMMON STOCK INVOLVES SIGNIFICANT RISKS. YOU SHOULD REVIEW CAREFULLY THE “RISK FACTORS” ON PAGE S-5 OF THIS PROSPECTUS SUPPLEMENT AND PAGE 5 OF THE ACCOMPANYING BASE PROSPECTUS, AND IN THE DOCUMENTS INCORPORATED BY REFERENCE IN THIS PROSPECTUS AND ACCOMPANYING BASE PROSPECTUS BEFORE INVESTING IN OUR COMMON STOCK.</w:t>
      </w:r>
    </w:p>
    <w:p>
      <w:pPr>
        <w:spacing w:after="0" w:line="14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200"/>
        </w:trPr>
        <w:tc>
          <w:tcPr>
            <w:tcW w:w="2920" w:type="dxa"/>
            <w:vAlign w:val="bottom"/>
          </w:tcPr>
          <w:p>
            <w:pPr>
              <w:spacing w:after="0"/>
              <w:rPr>
                <w:sz w:val="17"/>
                <w:szCs w:val="17"/>
                <w:color w:val="auto"/>
              </w:rPr>
            </w:pPr>
          </w:p>
        </w:tc>
        <w:tc>
          <w:tcPr>
            <w:tcW w:w="382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___________________</w:t>
            </w:r>
          </w:p>
        </w:tc>
        <w:tc>
          <w:tcPr>
            <w:tcW w:w="4520" w:type="dxa"/>
            <w:vAlign w:val="bottom"/>
          </w:tcPr>
          <w:p>
            <w:pPr>
              <w:spacing w:after="0"/>
              <w:rPr>
                <w:sz w:val="17"/>
                <w:szCs w:val="17"/>
                <w:color w:val="auto"/>
              </w:rPr>
            </w:pPr>
          </w:p>
        </w:tc>
      </w:tr>
      <w:tr>
        <w:trPr>
          <w:trHeight w:val="343"/>
        </w:trPr>
        <w:tc>
          <w:tcPr>
            <w:tcW w:w="2920" w:type="dxa"/>
            <w:vAlign w:val="bottom"/>
          </w:tcPr>
          <w:p>
            <w:pPr>
              <w:ind w:left="1620"/>
              <w:spacing w:after="0"/>
              <w:rPr>
                <w:sz w:val="20"/>
                <w:szCs w:val="20"/>
                <w:color w:val="auto"/>
              </w:rPr>
            </w:pPr>
            <w:r>
              <w:rPr>
                <w:rFonts w:ascii="Times New Roman" w:cs="Times New Roman" w:eastAsia="Times New Roman" w:hAnsi="Times New Roman"/>
                <w:sz w:val="15"/>
                <w:szCs w:val="15"/>
                <w:b w:val="1"/>
                <w:bCs w:val="1"/>
                <w:color w:val="auto"/>
              </w:rPr>
              <w:t>Cantor</w:t>
            </w:r>
          </w:p>
        </w:tc>
        <w:tc>
          <w:tcPr>
            <w:tcW w:w="3820" w:type="dxa"/>
            <w:vAlign w:val="bottom"/>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Wells Fargo Securities</w:t>
            </w:r>
          </w:p>
        </w:tc>
        <w:tc>
          <w:tcPr>
            <w:tcW w:w="4520" w:type="dxa"/>
            <w:vAlign w:val="bottom"/>
          </w:tcPr>
          <w:p>
            <w:pPr>
              <w:jc w:val="right"/>
              <w:ind w:right="1285"/>
              <w:spacing w:after="0"/>
              <w:rPr>
                <w:sz w:val="20"/>
                <w:szCs w:val="20"/>
                <w:color w:val="auto"/>
              </w:rPr>
            </w:pPr>
            <w:r>
              <w:rPr>
                <w:rFonts w:ascii="Times New Roman" w:cs="Times New Roman" w:eastAsia="Times New Roman" w:hAnsi="Times New Roman"/>
                <w:sz w:val="15"/>
                <w:szCs w:val="15"/>
                <w:b w:val="1"/>
                <w:bCs w:val="1"/>
                <w:color w:val="auto"/>
              </w:rPr>
              <w:t>William Blair</w:t>
            </w:r>
          </w:p>
        </w:tc>
      </w:tr>
      <w:tr>
        <w:trPr>
          <w:trHeight w:val="543"/>
        </w:trPr>
        <w:tc>
          <w:tcPr>
            <w:tcW w:w="2920" w:type="dxa"/>
            <w:vAlign w:val="bottom"/>
          </w:tcPr>
          <w:p>
            <w:pPr>
              <w:spacing w:after="0"/>
              <w:rPr>
                <w:sz w:val="24"/>
                <w:szCs w:val="24"/>
                <w:color w:val="auto"/>
              </w:rPr>
            </w:pPr>
          </w:p>
        </w:tc>
        <w:tc>
          <w:tcPr>
            <w:tcW w:w="382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w:t>
            </w:r>
          </w:p>
        </w:tc>
        <w:tc>
          <w:tcPr>
            <w:tcW w:w="4520" w:type="dxa"/>
            <w:vAlign w:val="bottom"/>
          </w:tcPr>
          <w:p>
            <w:pPr>
              <w:jc w:val="right"/>
              <w:ind w:right="3705"/>
              <w:spacing w:after="0"/>
              <w:rPr>
                <w:sz w:val="20"/>
                <w:szCs w:val="20"/>
                <w:color w:val="auto"/>
              </w:rPr>
            </w:pPr>
            <w:r>
              <w:rPr>
                <w:rFonts w:ascii="Times New Roman" w:cs="Times New Roman" w:eastAsia="Times New Roman" w:hAnsi="Times New Roman"/>
                <w:sz w:val="15"/>
                <w:szCs w:val="15"/>
                <w:b w:val="1"/>
                <w:bCs w:val="1"/>
                <w:color w:val="auto"/>
              </w:rPr>
              <w:t>, 2025.</w:t>
            </w:r>
          </w:p>
        </w:tc>
      </w:tr>
      <w:tr>
        <w:trPr>
          <w:trHeight w:val="474"/>
        </w:trPr>
        <w:tc>
          <w:tcPr>
            <w:tcW w:w="29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6" w:right="31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0" w:type="dxa"/>
            <w:vAlign w:val="bottom"/>
          </w:tcPr>
          <w:p>
            <w:pPr>
              <w:spacing w:after="0"/>
              <w:rPr>
                <w:sz w:val="1"/>
                <w:szCs w:val="1"/>
                <w:color w:val="auto"/>
              </w:rPr>
            </w:pPr>
          </w:p>
        </w:tc>
      </w:tr>
      <w:tr>
        <w:trPr>
          <w:trHeight w:val="362"/>
        </w:trPr>
        <w:tc>
          <w:tcPr>
            <w:tcW w:w="4620" w:type="dxa"/>
            <w:vAlign w:val="bottom"/>
            <w:gridSpan w:val="14"/>
          </w:tcPr>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TRADEMARKS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iv</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THE OFFERING</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RISK FACTORS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USE OF PROCEEDS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PLAN OF DISTRIBUTION</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EXPERTS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LEGAL MATTERS</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00" w:type="dxa"/>
            <w:vAlign w:val="bottom"/>
            <w:gridSpan w:val="1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INFORMATION INCORPORATED BY REFERENCE</w:t>
            </w:r>
          </w:p>
        </w:tc>
        <w:tc>
          <w:tcPr>
            <w:tcW w:w="6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S-12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0" w:type="dxa"/>
            <w:vAlign w:val="bottom"/>
          </w:tcPr>
          <w:p>
            <w:pPr>
              <w:spacing w:after="0"/>
              <w:rPr>
                <w:sz w:val="1"/>
                <w:szCs w:val="1"/>
                <w:color w:val="auto"/>
              </w:rPr>
            </w:pPr>
          </w:p>
        </w:tc>
      </w:tr>
      <w:tr>
        <w:trPr>
          <w:trHeight w:val="362"/>
        </w:trPr>
        <w:tc>
          <w:tcPr>
            <w:tcW w:w="4640" w:type="dxa"/>
            <w:vAlign w:val="bottom"/>
            <w:gridSpan w:val="19"/>
          </w:tcPr>
          <w:p>
            <w:pPr>
              <w:spacing w:after="0"/>
              <w:rPr>
                <w:sz w:val="20"/>
                <w:szCs w:val="20"/>
                <w:color w:val="auto"/>
              </w:rPr>
            </w:pPr>
            <w:r>
              <w:rPr>
                <w:rFonts w:ascii="Times New Roman" w:cs="Times New Roman" w:eastAsia="Times New Roman" w:hAnsi="Times New Roman"/>
                <w:sz w:val="15"/>
                <w:szCs w:val="15"/>
                <w:b w:val="1"/>
                <w:bCs w:val="1"/>
                <w:color w:val="auto"/>
              </w:rPr>
              <w:t>BASE PROSPECTUS</w:t>
            </w: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ABOUT THIS PROSPECTUS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TRADEMARKS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PROSPECTUS SUMMARY</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RISK FACTORS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USE OF PROCEEDS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RATIO OF EARNINGS TO FIXED CHARGES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CAPITAL STOCK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DEBT SECURITIES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WARRANTS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RIGHTS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DESCRIPTION OF UNITS WE MAY OFFER</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PLAN OF DISTRIBUTION</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EXPERTS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LEGAL MATTERS</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20" w:type="dxa"/>
            <w:vAlign w:val="bottom"/>
            <w:gridSpan w:val="1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INFORMATION INCORPORATED BY REFERENCE</w:t>
            </w:r>
          </w:p>
        </w:tc>
        <w:tc>
          <w:tcPr>
            <w:tcW w:w="6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9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This prospectus supplement and the accompanying base prospectus are part of a registration statement on Form S-3 that we filed with the Securities and Exchange Commission (the “SEC”) utilizing a “shelf” registration process. Under this shelf registration process, we may from time to time offer shares of our common stock having an aggregate offering price of up to $187,765,319 under this prospectus supplement at prices and on terms to be determined by market conditions at the time of each such offering.</w:t>
      </w:r>
    </w:p>
    <w:p>
      <w:pPr>
        <w:spacing w:after="0" w:line="14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We are providing information to you about this offering of our common stock in two parts. The second part is this prospectus supplement, which provides you with specific information regarding the terms of this offering and our common stock, and also adds to and updates information contained in the accompanying base prospectus and the documents incorporated by reference in this prospectus supplement and the accompanying base prospectus. The first part is the accompanying base prospectus, which provides more general information, some of which does not apply to this offering of our common stock.</w:t>
      </w:r>
    </w:p>
    <w:p>
      <w:pPr>
        <w:spacing w:after="0" w:line="15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5"/>
          <w:szCs w:val="15"/>
          <w:color w:val="auto"/>
        </w:rPr>
        <w:t>Before buying any of the common stock that we are offering, we urge you to carefully read this prospectus supplement and accompanying base prospectus and all of the information incorporated by reference herein, as well as the additional information described under the headings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Information Incorporated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Reference.</w:t>
      </w:r>
      <w:r>
        <w:rPr>
          <w:rFonts w:ascii="Times New Roman" w:cs="Times New Roman" w:eastAsia="Times New Roman" w:hAnsi="Times New Roman"/>
          <w:sz w:val="15"/>
          <w:szCs w:val="15"/>
          <w:color w:val="auto"/>
        </w:rPr>
        <w:t>” These documents contain important information that you should consider when making your investment decision.</w:t>
      </w:r>
    </w:p>
    <w:p>
      <w:pPr>
        <w:spacing w:after="0" w:line="1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together with the information in the base prospectus. If any statement in one of these documents is inconsistent with a statement in another document having a later date—for example, a document incorporated by reference in this prospectus supplement and accompanying base prospectus—the statement in the document having the later date modifies or supersedes the earlier statement.</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We have not, and Cantor, Wells Fargo, and William Blair have not, authorized anyone to provide you with any information other than that contained or incorporated by reference in this prospectus supplement and in the accompanying base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base prospectus or free writing prospectus is accurate only as of their respective dates. Our business, financial condition, results of operations and prospects may have changed materially since those dates.</w:t>
      </w:r>
    </w:p>
    <w:p>
      <w:pPr>
        <w:spacing w:after="0" w:line="15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33"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5"/>
          <w:szCs w:val="15"/>
          <w:color w:val="auto"/>
        </w:rPr>
        <w:t>In this prospectus supplement and the accompanying prospectus, unless otherwise stated or the context otherwise indicates, references to “ARCT,” “Arcturus,” “the Company,” “we,” “us,” “our” and similar references refer to Arcturus Therapeutics Holdings Inc., a Delaware corporation, and its predecessors and consolidated subsidiaries.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The Arcturus logo and other trademarks of Arcturus appearing in this prospectus supplement and the accompanying prospectus are the property of Arcturus. All other trademarks, service marks and trade names in this prospectus supplement and the accompanying prospectus are the property of their respective owners. Solely for convenience, trademarks and trade names referred to in this prospectus supplement and the accompanying base prospectus may appear without the ® or ™ symbols.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Arcturus Therapeutics Holdings Inc.</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This summary highlights selected information appearing elsewhere in this prospectus supplement or accompany prospectus, or incorporated by reference in herein or therein, and does not contain all of the information that you need to consider in making your investment decision. You should carefully read the entire prospectus supplement and accompanying base prospectus and any related free writing prospectus, including the risks of investing in our securities discussed under the heading “Risk Factors” herein and therein, and any related free writing prospectus, and under similar headings in the other documents that are incorporated by reference into this prospectus supplement or accompanying base prospectus. You should also carefully read the information incorporated by reference into this prospectus supplement and accompanying base prospectus, including our financial statements, and the exhibits to the registration statement of which this prospectus supplement is a part.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3"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5"/>
          <w:szCs w:val="15"/>
          <w:color w:val="auto"/>
        </w:rPr>
        <w:t>We are a commercial messenger RNA medicines company focused on the development of liver and respiratory rare disease therapeutics and infectious disease vaccines. We developed the world’s first approved self-amplifying messenger RNA (sa-mRNA) vaccine, KOSTAIVE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(“KOSTAIVE”). KOSTAIVE achieved approval in Japan in 2023 as a vaccine against COVID-19. Sales of KOSTAIVE began in Japan in October 2024, marking our transition to a commercial stage company.</w:t>
      </w:r>
    </w:p>
    <w:p>
      <w:pPr>
        <w:spacing w:after="0" w:line="16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auto"/>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(“STARR”), has been demonstrated to induce</w:t>
      </w:r>
    </w:p>
    <w:p>
      <w:pPr>
        <w:ind w:right="260"/>
        <w:spacing w:after="0" w:line="225" w:lineRule="auto"/>
        <w:rPr>
          <w:sz w:val="20"/>
          <w:szCs w:val="20"/>
          <w:color w:val="auto"/>
        </w:rPr>
      </w:pPr>
      <w:r>
        <w:rPr>
          <w:rFonts w:ascii="Times New Roman" w:cs="Times New Roman" w:eastAsia="Times New Roman" w:hAnsi="Times New Roman"/>
          <w:sz w:val="15"/>
          <w:szCs w:val="15"/>
          <w:color w:val="auto"/>
        </w:rPr>
        <w:t>a robust, longer-lasting and broader humoral immune response at lower dose levels than conventional mRNA-based vaccines. Our proprietary LNP delivery system, LUNAR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(“LUNAR”), is intended to address the major hurdle in RNA drug development, namely the effective and safe delivery of RNA to disease-relevant target tissues. LUNAR may enable multiple nucleic acid medicines. Finally, we have significant expertise and valuable know-how in the development and scalability of complex and robust manufacturing processes required to deliver the next generation of nucleic acid medicines.</w:t>
      </w:r>
    </w:p>
    <w:p>
      <w:pPr>
        <w:spacing w:after="0" w:line="16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5"/>
          <w:szCs w:val="15"/>
          <w:color w:val="auto"/>
        </w:rPr>
        <w:t>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three other infectious diseases.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5"/>
          <w:szCs w:val="15"/>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4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color w:val="auto"/>
        </w:rPr>
        <w:t>Our principal executive offices are located at 10285 Science Center Drive, San Diego, California 92121, and our telephone number is (858) 900-2660. Our website is located at https://arcturusrx.com. We do not incorporate by reference into this prospectus supplement or the accompanying base prospectus the information on, or accessible through, our website. Our common stock trades on The Nasdaq Global Market under the symbol “ARCT”.</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11260"/>
          </w:cols>
          <w:pgMar w:left="320" w:top="687" w:right="31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our common stock having an aggregate offering price of up to $187,765,319.</w:t>
      </w:r>
    </w:p>
    <w:p>
      <w:pPr>
        <w:spacing w:after="0" w:line="189" w:lineRule="exact"/>
        <w:rPr>
          <w:sz w:val="20"/>
          <w:szCs w:val="20"/>
          <w:color w:val="auto"/>
        </w:rPr>
      </w:pPr>
    </w:p>
    <w:p>
      <w:pPr>
        <w:sectPr>
          <w:pgSz w:w="11900" w:h="16838" w:orient="portrait"/>
          <w:cols w:equalWidth="0" w:num="2">
            <w:col w:w="1840" w:space="400"/>
            <w:col w:w="9020"/>
          </w:cols>
          <w:pgMar w:left="320" w:top="68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Plan of Distribution</w:t>
      </w:r>
    </w:p>
    <w:p>
      <w:pPr>
        <w:spacing w:after="0" w:line="20" w:lineRule="exact"/>
        <w:rPr>
          <w:sz w:val="20"/>
          <w:szCs w:val="20"/>
          <w:color w:val="auto"/>
        </w:rPr>
      </w:pPr>
      <w:r>
        <w:rPr>
          <w:sz w:val="20"/>
          <w:szCs w:val="20"/>
          <w:color w:val="auto"/>
        </w:rPr>
        <w:br w:type="column"/>
      </w:r>
    </w:p>
    <w:p>
      <w:pPr>
        <w:ind w:right="120"/>
        <w:spacing w:after="0" w:line="285" w:lineRule="auto"/>
        <w:rPr>
          <w:sz w:val="20"/>
          <w:szCs w:val="20"/>
          <w:color w:val="auto"/>
        </w:rPr>
      </w:pPr>
      <w:r>
        <w:rPr>
          <w:rFonts w:ascii="Times New Roman" w:cs="Times New Roman" w:eastAsia="Times New Roman" w:hAnsi="Times New Roman"/>
          <w:sz w:val="15"/>
          <w:szCs w:val="15"/>
          <w:color w:val="auto"/>
        </w:rPr>
        <w:t>This is an “at-the-market” offering that may be made from time to time through our sales agents, Cantor, Wells Fargo, and William Blair. See “Plan of Distribution” on page S-10 of this prospectus supplement.</w:t>
      </w:r>
    </w:p>
    <w:p>
      <w:pPr>
        <w:spacing w:after="0" w:line="133" w:lineRule="exact"/>
        <w:rPr>
          <w:sz w:val="20"/>
          <w:szCs w:val="20"/>
          <w:color w:val="auto"/>
        </w:rPr>
      </w:pPr>
    </w:p>
    <w:p>
      <w:pPr>
        <w:sectPr>
          <w:pgSz w:w="11900" w:h="16838" w:orient="portrait"/>
          <w:cols w:equalWidth="0" w:num="2">
            <w:col w:w="1520" w:space="720"/>
            <w:col w:w="9020"/>
          </w:cols>
          <w:pgMar w:left="320" w:top="68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85" w:lineRule="auto"/>
        <w:rPr>
          <w:sz w:val="20"/>
          <w:szCs w:val="20"/>
          <w:color w:val="auto"/>
        </w:rPr>
      </w:pPr>
      <w:r>
        <w:rPr>
          <w:rFonts w:ascii="Times New Roman" w:cs="Times New Roman" w:eastAsia="Times New Roman" w:hAnsi="Times New Roman"/>
          <w:sz w:val="15"/>
          <w:szCs w:val="15"/>
          <w:color w:val="auto"/>
        </w:rPr>
        <w:t>We currently intend to use the net proceeds, if any, from the sale of shares of our common stock for general corporate purposes, working capital and other general corporate purposes. See “Use of Proceeds” on page S-8 of this prospectus supplement.</w:t>
      </w:r>
    </w:p>
    <w:p>
      <w:pPr>
        <w:spacing w:after="0" w:line="133" w:lineRule="exact"/>
        <w:rPr>
          <w:sz w:val="20"/>
          <w:szCs w:val="20"/>
          <w:color w:val="auto"/>
        </w:rPr>
      </w:pPr>
    </w:p>
    <w:p>
      <w:pPr>
        <w:sectPr>
          <w:pgSz w:w="11900" w:h="16838" w:orient="portrait"/>
          <w:cols w:equalWidth="0" w:num="2">
            <w:col w:w="1520" w:space="720"/>
            <w:col w:w="9020"/>
          </w:cols>
          <w:pgMar w:left="320" w:top="68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jc w:val="both"/>
        <w:ind w:right="340"/>
        <w:spacing w:after="0" w:line="268"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See the information contained in or incorporated by reference under the heading “Risk Factors” beginning on page S-5 of this prospectus supplement, and under similar headings in the documents incorporated by reference into this prospectus supplement.</w:t>
      </w:r>
    </w:p>
    <w:p>
      <w:pPr>
        <w:spacing w:after="0" w:line="146" w:lineRule="exact"/>
        <w:rPr>
          <w:sz w:val="20"/>
          <w:szCs w:val="20"/>
          <w:color w:val="auto"/>
        </w:rPr>
      </w:pPr>
    </w:p>
    <w:p>
      <w:pPr>
        <w:sectPr>
          <w:pgSz w:w="11900" w:h="16838" w:orient="portrait"/>
          <w:cols w:equalWidth="0" w:num="2">
            <w:col w:w="1520" w:space="720"/>
            <w:col w:w="9020"/>
          </w:cols>
          <w:pgMar w:left="320" w:top="68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“ARCT”</w:t>
      </w:r>
    </w:p>
    <w:p>
      <w:pPr>
        <w:spacing w:after="0" w:line="190" w:lineRule="exact"/>
        <w:rPr>
          <w:sz w:val="20"/>
          <w:szCs w:val="20"/>
          <w:color w:val="auto"/>
        </w:rPr>
      </w:pPr>
    </w:p>
    <w:p>
      <w:pPr>
        <w:sectPr>
          <w:pgSz w:w="11900" w:h="16838" w:orient="portrait"/>
          <w:cols w:equalWidth="0" w:num="2">
            <w:col w:w="1880" w:space="360"/>
            <w:col w:w="9020"/>
          </w:cols>
          <w:pgMar w:left="320" w:top="68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The number of shares of our common stock outstanding after this offering is based on 28,414,279 shares of our common stock outstanding as of December 22, 2025, and excludes:</w:t>
      </w:r>
    </w:p>
    <w:p>
      <w:pPr>
        <w:spacing w:after="0" w:line="190" w:lineRule="exact"/>
        <w:rPr>
          <w:sz w:val="20"/>
          <w:szCs w:val="20"/>
          <w:color w:val="auto"/>
        </w:rPr>
      </w:pPr>
    </w:p>
    <w:p>
      <w:pPr>
        <w:ind w:left="1180" w:hanging="409"/>
        <w:spacing w:after="0" w:line="262" w:lineRule="auto"/>
        <w:tabs>
          <w:tab w:leader="none" w:pos="11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8,920,181 shares issuable upon exercise of our issued and outstanding stock options or restricted stock awards as of December 22, 2025, with a weighted average price of $30.22 per share;</w:t>
      </w:r>
    </w:p>
    <w:p>
      <w:pPr>
        <w:ind w:left="1180" w:right="800" w:hanging="409"/>
        <w:spacing w:after="0" w:line="251" w:lineRule="auto"/>
        <w:tabs>
          <w:tab w:leader="none" w:pos="11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871,046 shares reserved for issuance as of December 22, 2025, but not subject to outstanding options or restricted stock awards, under our 2019 Omnibus Equity Incentive Plan;</w:t>
      </w:r>
    </w:p>
    <w:p>
      <w:pPr>
        <w:spacing w:after="0" w:line="1" w:lineRule="exact"/>
        <w:rPr>
          <w:rFonts w:ascii="Times New Roman" w:cs="Times New Roman" w:eastAsia="Times New Roman" w:hAnsi="Times New Roman"/>
          <w:sz w:val="15"/>
          <w:szCs w:val="15"/>
          <w:color w:val="auto"/>
        </w:rPr>
      </w:pPr>
    </w:p>
    <w:p>
      <w:pPr>
        <w:ind w:left="1180" w:hanging="409"/>
        <w:spacing w:after="0"/>
        <w:tabs>
          <w:tab w:leader="none" w:pos="11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161,726 shares reserved for issuance as of December 22, 2025 under our 2021 Inducement Equity Incentive Plan; and</w:t>
      </w:r>
    </w:p>
    <w:p>
      <w:pPr>
        <w:spacing w:after="0" w:line="8" w:lineRule="exact"/>
        <w:rPr>
          <w:rFonts w:ascii="Times New Roman" w:cs="Times New Roman" w:eastAsia="Times New Roman" w:hAnsi="Times New Roman"/>
          <w:sz w:val="15"/>
          <w:szCs w:val="15"/>
          <w:color w:val="auto"/>
        </w:rPr>
      </w:pPr>
    </w:p>
    <w:p>
      <w:pPr>
        <w:ind w:left="1180" w:hanging="409"/>
        <w:spacing w:after="0"/>
        <w:tabs>
          <w:tab w:leader="none" w:pos="11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140,364 shares reserved for issuance as of December 22, 2025 under our 2020 Employee Stock Purchase Plan.</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type w:val="continuous"/>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This prospectus supplement and certain information incorporated herein by reference contains forward-looking statements that involve risks and uncertainties. Our actual results could differ materially from those discussed in the forward-looking statements. The statements contained in this prospectus supplement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Factors that might cause these differences include the following:</w:t>
      </w:r>
    </w:p>
    <w:p>
      <w:pPr>
        <w:spacing w:after="0" w:line="190" w:lineRule="exact"/>
        <w:rPr>
          <w:sz w:val="20"/>
          <w:szCs w:val="20"/>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and ability to remain in compliance, with the requirements of our collaboration agreements, including our collaboration with Seqirus Inc. (“CSL Seqirus”);</w:t>
      </w:r>
    </w:p>
    <w:p>
      <w:pPr>
        <w:spacing w:after="0" w:line="23" w:lineRule="exact"/>
        <w:rPr>
          <w:rFonts w:ascii="Times New Roman" w:cs="Times New Roman" w:eastAsia="Times New Roman" w:hAnsi="Times New Roman"/>
          <w:sz w:val="15"/>
          <w:szCs w:val="15"/>
          <w:color w:val="auto"/>
        </w:rPr>
      </w:pPr>
    </w:p>
    <w:p>
      <w:pPr>
        <w:ind w:left="540" w:right="60" w:hanging="278"/>
        <w:spacing w:after="0" w:line="251"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benefits and success of our collaboration agreement with CSL Seqirus related to the licensure of our STARR® mRNA technology and LUNAR® lipid-mediated delivery, including our timely receipt of upfront and potential royalty and other payments thereunder;</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continued development activities of the LUNAR-COV19 and LUNAR-FLU programs under our collaboration with CSL Seqirus;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status, success and benefits of our arrangements with private and governmental entities, some of which are subject to termination for convenience by our counterparties;</w:t>
      </w:r>
    </w:p>
    <w:p>
      <w:pPr>
        <w:spacing w:after="0" w:line="8" w:lineRule="exact"/>
        <w:rPr>
          <w:rFonts w:ascii="Times New Roman" w:cs="Times New Roman" w:eastAsia="Times New Roman" w:hAnsi="Times New Roman"/>
          <w:sz w:val="15"/>
          <w:szCs w:val="15"/>
          <w:color w:val="auto"/>
        </w:rPr>
      </w:pPr>
    </w:p>
    <w:p>
      <w:pPr>
        <w:ind w:left="540" w:right="180" w:hanging="278"/>
        <w:spacing w:after="0" w:line="251"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conduct and advance any of our research and discovery programs;</w:t>
      </w:r>
    </w:p>
    <w:p>
      <w:pPr>
        <w:spacing w:after="0" w:line="8" w:lineRule="exact"/>
        <w:rPr>
          <w:rFonts w:ascii="Times New Roman" w:cs="Times New Roman" w:eastAsia="Times New Roman" w:hAnsi="Times New Roman"/>
          <w:sz w:val="15"/>
          <w:szCs w:val="15"/>
          <w:color w:val="auto"/>
        </w:rPr>
      </w:pPr>
    </w:p>
    <w:p>
      <w:pPr>
        <w:ind w:left="540" w:right="140" w:hanging="278"/>
        <w:spacing w:after="0" w:line="251"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safety, immunogenicity, efficacy or regulatory approval of any of our product candidates;</w:t>
      </w:r>
    </w:p>
    <w:p>
      <w:pPr>
        <w:spacing w:after="0" w:line="8" w:lineRule="exact"/>
        <w:rPr>
          <w:rFonts w:ascii="Times New Roman" w:cs="Times New Roman" w:eastAsia="Times New Roman" w:hAnsi="Times New Roman"/>
          <w:sz w:val="15"/>
          <w:szCs w:val="15"/>
          <w:color w:val="auto"/>
        </w:rPr>
      </w:pPr>
    </w:p>
    <w:p>
      <w:pPr>
        <w:ind w:left="540" w:right="200" w:hanging="278"/>
        <w:spacing w:after="0" w:line="251"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effects, efficacy and benefits of our technologies and product candidates on their own and in comparison to technologies, drugs or courses of treatment currently available or that may be developed by competitors;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preclinical or clinical data will be predictive of future clinical results or efficacy or safety of a product candidate;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timing of enrollment, duration, milestones and announcements of results of clinical trials, and the submission of applications to conduct clinical trials;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clinical data will be sufficient for regulatory approval or completed in time to submit an application for regulatory approval within a particular timeframe;</w:t>
      </w:r>
    </w:p>
    <w:p>
      <w:pPr>
        <w:spacing w:after="0" w:line="8" w:lineRule="exact"/>
        <w:rPr>
          <w:rFonts w:ascii="Times New Roman" w:cs="Times New Roman" w:eastAsia="Times New Roman" w:hAnsi="Times New Roman"/>
          <w:sz w:val="15"/>
          <w:szCs w:val="15"/>
          <w:color w:val="auto"/>
        </w:rPr>
      </w:pPr>
    </w:p>
    <w:p>
      <w:pPr>
        <w:ind w:left="540" w:hanging="278"/>
        <w:spacing w:after="0" w:line="263"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41" w:name="page42"/>
    <w:bookmarkEnd w:id="41"/>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administration regimen or dosage, or ability to administer multiple doses of, any of our product candidates;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optimizing KOSTAIVE’s product presentation and formulation;</w:t>
      </w:r>
    </w:p>
    <w:p>
      <w:pPr>
        <w:spacing w:after="0" w:line="8" w:lineRule="exact"/>
        <w:rPr>
          <w:rFonts w:ascii="Times New Roman" w:cs="Times New Roman" w:eastAsia="Times New Roman" w:hAnsi="Times New Roman"/>
          <w:sz w:val="15"/>
          <w:szCs w:val="15"/>
          <w:color w:val="auto"/>
        </w:rPr>
      </w:pPr>
    </w:p>
    <w:p>
      <w:pPr>
        <w:ind w:left="540" w:right="260" w:hanging="278"/>
        <w:spacing w:after="0" w:line="251"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regulatory approval of our product candidates, and any related restrictions, limitations, and/or warnings in the label of an approved product candidate;</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develop and commercialize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line="251"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and the ability of our partners, to successfully commercialize, and our expectations regarding future therapeutic and commercial potential with respect to, our product candidates;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therapies that are or may become available;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and growth potential of the markets for our product candidates, and our ability to serve those markets and address unmet medical needs;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intellectual property protection for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interactions with regulatory authorities in the United States and foreign countries;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experienced and seasoned scientific and management professionals;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third-party suppliers and manufacturers, including the ability to implement and scale-up manufacturing levels as necessary;</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relevant approvals related to the manufacture and distribution of our product candidates;</w:t>
      </w:r>
    </w:p>
    <w:p>
      <w:pPr>
        <w:spacing w:after="0" w:line="8" w:lineRule="exact"/>
        <w:rPr>
          <w:rFonts w:ascii="Times New Roman" w:cs="Times New Roman" w:eastAsia="Times New Roman" w:hAnsi="Times New Roman"/>
          <w:sz w:val="15"/>
          <w:szCs w:val="15"/>
          <w:color w:val="auto"/>
        </w:rPr>
      </w:pPr>
    </w:p>
    <w:p>
      <w:pPr>
        <w:ind w:left="540" w:right="260" w:hanging="278"/>
        <w:spacing w:after="0" w:line="251"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strategic alliance partners’ election to pursue development and commercialization of any programs or product candidates that are subject to our collaboration and license agreements with such partners;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collaborators with relevant development, regulatory and commercialization expertise;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activities to be undertaken by our strategic alliance partners, collaborators and other third parties;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sales and marketing capabilities, whether alone or with potential future collaborators;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avoid, settle or be victorious at costly litigation with shareholders, former executives or others, should these situations arise;</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deploy funding for our operations and to efficiently use our financial and other resources;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future expenses, future revenues, cash flows, capital requirements need for additional financing, and possible sources of revenue;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anticipated use of proceeds from this offering, if any.</w:t>
      </w:r>
    </w:p>
    <w:p>
      <w:pPr>
        <w:spacing w:after="0" w:line="17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5"/>
          <w:szCs w:val="15"/>
          <w:color w:val="auto"/>
        </w:rPr>
        <w:t>We urge you to consider these factors carefully in evaluating the forward-looking statements contained in this prospectus supplement and accompanying prospectus.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713"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i w:val="1"/>
          <w:iCs w:val="1"/>
          <w:color w:val="auto"/>
        </w:rPr>
        <w:t>Investing in our securities involves a high degree of risk. Before making a decision to invest in our securities, in addition to carefully considering the other information contained in this prospectus supplement, in the accompanying base prospectus and incorporated by reference herein or therein, you should carefully consider the risks described under the caption “Risk Factors” contained in the accompanying base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Issuances by the Company or sales by stockholders of a substantial number of shares of our common stock in the public market could cause our stock price to fall.</w:t>
      </w:r>
    </w:p>
    <w:p>
      <w:pPr>
        <w:spacing w:after="0" w:line="19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As of December 22, 2025, we had 28,414,279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46"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5"/>
          <w:szCs w:val="15"/>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management team will have broad discretion to use the net proceeds from this offering and its investment of these proceeds may not yield a favorable return.</w:t>
      </w:r>
    </w:p>
    <w:p>
      <w:pPr>
        <w:spacing w:after="0" w:line="19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w:t>
      </w: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 The failure by management to apply these funds effectively could negatively affect our ability to operate and grow our business. We cannot specify with certainty all of the particular uses for the net proceeds to be received upon the completion of this offering, and the uses will depend on how much of the maximum of approximately $188 million of shares are actually sold in this offering. In addition, the amount, allocation and timing of our actual expenditures will depend upon numerous factors, including receipt of any proceeds from our strategic partnerships, collaboration or other arrangements. Accordingly, we will have broad discretion in using these proceeds. Until the net proceeds are used, they may be placed in investments that do not produce significant income or that may lose value.</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anticipate paying cash dividends and, accordingly, stockholders must rely on share appreciation for any return on their investment.</w:t>
      </w:r>
    </w:p>
    <w:p>
      <w:pPr>
        <w:spacing w:after="0" w:line="19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5"/>
          <w:szCs w:val="15"/>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pacing w:after="0" w:line="142"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5"/>
          <w:szCs w:val="15"/>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common stock offered hereby will be sold in “at the market offerings,” and investors who buy shares at different times will likely pay different prices.</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48"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has been, and is expected to continue to be, highly volatile and investors may not be able to resell shares at or above the price at which they purchased the shares.</w:t>
      </w:r>
    </w:p>
    <w:p>
      <w:pPr>
        <w:spacing w:after="0" w:line="130" w:lineRule="exact"/>
        <w:rPr>
          <w:sz w:val="20"/>
          <w:szCs w:val="20"/>
          <w:color w:val="auto"/>
        </w:rPr>
      </w:pPr>
    </w:p>
    <w:p>
      <w:pPr>
        <w:ind w:right="120" w:firstLine="419"/>
        <w:spacing w:after="0" w:line="285" w:lineRule="auto"/>
        <w:rPr>
          <w:sz w:val="20"/>
          <w:szCs w:val="20"/>
          <w:color w:val="auto"/>
        </w:rPr>
      </w:pPr>
      <w:r>
        <w:rPr>
          <w:rFonts w:ascii="Times New Roman" w:cs="Times New Roman" w:eastAsia="Times New Roman" w:hAnsi="Times New Roman"/>
          <w:sz w:val="15"/>
          <w:szCs w:val="15"/>
          <w:color w:val="auto"/>
        </w:rPr>
        <w:t>The trading price of our common stock has been and is likely to continue to be volatile. For example, the closing price of our common stock was $23.16 on October 21, 2025 and $5.90 on November 20, 2025. Our share price could be subject to wide fluctuations in response to a variety of factors, including but not limited to the following factors:</w:t>
      </w:r>
    </w:p>
    <w:p>
      <w:pPr>
        <w:spacing w:after="0" w:line="133" w:lineRule="exact"/>
        <w:rPr>
          <w:sz w:val="20"/>
          <w:szCs w:val="20"/>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results or delays in preclinical studies or clinical trials;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obtain additional funding;</w:t>
      </w:r>
    </w:p>
    <w:p>
      <w:pPr>
        <w:spacing w:after="0" w:line="8" w:lineRule="exact"/>
        <w:rPr>
          <w:rFonts w:ascii="Times New Roman" w:cs="Times New Roman" w:eastAsia="Times New Roman" w:hAnsi="Times New Roman"/>
          <w:sz w:val="15"/>
          <w:szCs w:val="15"/>
          <w:color w:val="auto"/>
        </w:rPr>
      </w:pPr>
    </w:p>
    <w:p>
      <w:pPr>
        <w:ind w:left="540" w:right="340" w:hanging="278"/>
        <w:spacing w:after="0" w:line="251"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delay in filing an application for authorization to commence a clinical trial of, or for authorization or approval to market, any of our product candidates and any adverse development or perceived adverse development with respect to the FDA’s review of that IND or BLA;</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maintain our existing strategic alliances or enter into new alliances;</w:t>
      </w:r>
    </w:p>
    <w:p>
      <w:pPr>
        <w:spacing w:after="0" w:line="8" w:lineRule="exact"/>
        <w:rPr>
          <w:rFonts w:ascii="Times New Roman" w:cs="Times New Roman" w:eastAsia="Times New Roman" w:hAnsi="Times New Roman"/>
          <w:sz w:val="15"/>
          <w:szCs w:val="15"/>
          <w:color w:val="auto"/>
        </w:rPr>
      </w:pPr>
    </w:p>
    <w:p>
      <w:pPr>
        <w:ind w:left="540" w:right="220" w:hanging="278"/>
        <w:spacing w:after="0" w:line="251"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our strategic alliance partners to elect to develop and commercialize product candidates under our alliance agreements or the termination of any programs under our alliance agreements;</w:t>
      </w:r>
    </w:p>
    <w:p>
      <w:pPr>
        <w:spacing w:after="0" w:line="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or our licensors and strategic alliance partners to prosecute, maintain or enforce our intellectual property rights;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successfully and timely develop and commercialize our product candidates;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successfully and timely develop and validate manufacturing processes and product presentations;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4" w:name="page45"/>
    <w:bookmarkEnd w:id="44"/>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applicable to our preclinical and clinical development activities, product candidates or future products;</w:t>
      </w:r>
    </w:p>
    <w:p>
      <w:pPr>
        <w:spacing w:after="0" w:line="23"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obtain adequate product supply for our product candidates or the inability to do so at acceptable prices;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regulatory decisions;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introduction of new products, services or technologies by our competitors;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meet or exceed financial projections we may provide to the public;</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meet or exceed the estimates and projections of the investment community;</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disappointing commercial sales, or profit share or royalty revenue amounts;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perception of the pharmaceutical industry by the public, legislatures, regulators and the investment community;</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significant acquisitions, strategic partnerships, joint ventures or capital commitments by us, our strategic alliance partners or our competitors;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or other developments relating to proprietary rights, including patents, litigation matters and our ability to obtain patent protection for our technologies;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scientific or management personnel;</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lawsuits, including patent or licensing matters;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valuations of similar companies;</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common stock by us or our shareholders in the future; and</w:t>
      </w:r>
    </w:p>
    <w:p>
      <w:pPr>
        <w:spacing w:after="0" w:line="8"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volume of our common stock.</w:t>
      </w:r>
    </w:p>
    <w:p>
      <w:pPr>
        <w:spacing w:after="0" w:line="174" w:lineRule="exact"/>
        <w:rPr>
          <w:sz w:val="20"/>
          <w:szCs w:val="20"/>
          <w:color w:val="auto"/>
        </w:rPr>
      </w:pPr>
    </w:p>
    <w:p>
      <w:pPr>
        <w:ind w:firstLine="419"/>
        <w:spacing w:after="0" w:line="268" w:lineRule="auto"/>
        <w:rPr>
          <w:sz w:val="20"/>
          <w:szCs w:val="20"/>
          <w:color w:val="auto"/>
        </w:rPr>
      </w:pPr>
      <w:r>
        <w:rPr>
          <w:rFonts w:ascii="Times New Roman" w:cs="Times New Roman" w:eastAsia="Times New Roman" w:hAnsi="Times New Roman"/>
          <w:sz w:val="15"/>
          <w:szCs w:val="15"/>
          <w:color w:val="auto"/>
        </w:rPr>
        <w:t>In addition, companies trading in the stock market in general, and Nasdaq in particular, have experienced extreme price and volume fluctuations that have often been unrelated or disproportionate to the operating performance of these companies, particularly companies in our industry. Broad market and industry factors may negatively affect the market price of our common stock, regardless of our actual operating performance.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713"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We may issue and sell shares of our common stock having aggregate sales proceeds of up to $187,765,319 from time to time. Because there is no minimum offering amount required as a condition to any sales in this offering, the actual total public offering amount, commissions and proceeds to us, if any, are not determinable at this time. There can be no assurance that we will sell any shares under or fully utilize the Sales Agreement with Cantor, Wells Fargo, and William Blair as a source of financing.</w:t>
      </w:r>
    </w:p>
    <w:p>
      <w:pPr>
        <w:spacing w:after="0" w:line="14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5"/>
          <w:szCs w:val="15"/>
          <w:color w:val="auto"/>
        </w:rPr>
        <w:t>We intend to use the net proceeds, if any, from the sale of our common stock in this offering for working capital and general corporate purposes. We have not identified the amounts we will spend on any specific purpose. The amounts actually expended for any purpose may vary significantly depending upon numerous factors, including assessments of potential market opportunities, the results of clinical trials and regulatory developments. In the event any net proceeds are not immediately applied, we may temporarily deposit them in our bank accounts as cash and cash equivalents or purchase short-term investments.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amounts and timing of our actual expenditures will depend on numerous factors, including the progress of our clinical trials and other development efforts and other factors described under “Risk Factors” in this prospectus supplement and the documents incorporated by reference herein, as well as the amount of cash used in our operations. We may find it necessary or advisable to use the net proceeds for other purposes, and we will have broad discretion in the application of the net proceeds.</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5"/>
          <w:szCs w:val="15"/>
          <w:color w:val="auto"/>
        </w:rPr>
        <w:t>If you invest in our shares, your ownership interest will be diluted to the extent of the difference between the price you paid per share of common stock in this offering and the net tangible book value per share of our common stock after this offering. Net tangible book value per share represents total tangible assets less total liabilities, divided by the number of shares of our common stock outstanding.</w:t>
      </w:r>
    </w:p>
    <w:p>
      <w:pPr>
        <w:spacing w:after="0" w:line="14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color w:val="auto"/>
        </w:rPr>
        <w:t>Our net tangible book value as of September 30, 2025 was approximately $225 million, or approximately $7.90 per share of our common stock issued and outstanding, on an unaudited historical actual basis as of such date. Net tangible book value per share represents the amount of our total tangible assets less total liabilities, divided by 28,414,279 , the number of shares of common stock outstanding as of September 30, 2025.</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Our net tangible book value as of September 30, 2025 would have been approximately $406 million, or approximately $7.14 per share of our common stock issued and outstanding, on an unaudited as adjusted basis as of such date, after giving effect to the sale by us of 28,492,413 shares of our common stock in this offering at an assumed offering price of $6.59 per share, which was the last reported sale price of our common stock on the Nasdaq Global Market on December 22, 2025, for aggregate gross proceeds of $188 million, and after deducting commissions and estimated aggregate offering expenses payable by us. This represents an immediate decrease in net tangible book value of $0.76 per share of our common stock to existing stockholders and an immediate accretion of $0.55 per share of our common stock to new investors purchasing shares of our common stock in this offering at the assumed offering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illustrates the accretion on a per share of common stock basis for investors purchasing shares of our common stock in this offering: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public offering price per share</w:t>
            </w:r>
          </w:p>
        </w:tc>
        <w:tc>
          <w:tcPr>
            <w:tcW w:w="1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6.59</w:t>
            </w:r>
          </w:p>
        </w:tc>
      </w:tr>
      <w:tr>
        <w:trPr>
          <w:trHeight w:val="181"/>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2025</w:t>
            </w:r>
          </w:p>
        </w:tc>
        <w:tc>
          <w:tcPr>
            <w:tcW w:w="25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7.90</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in net tangible book value attributable to this offering</w:t>
            </w:r>
          </w:p>
        </w:tc>
        <w:tc>
          <w:tcPr>
            <w:tcW w:w="25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0.76</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As adjusted net tangible book value per share as of September 30, 2025</w:t>
            </w:r>
          </w:p>
        </w:tc>
        <w:tc>
          <w:tcPr>
            <w:tcW w:w="19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0" w:type="dxa"/>
            <w:vAlign w:val="bottom"/>
            <w:gridSpan w:val="2"/>
          </w:tcPr>
          <w:p>
            <w:pPr>
              <w:jc w:val="right"/>
              <w:ind w:right="42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7.14</w:t>
            </w:r>
          </w:p>
        </w:tc>
      </w:tr>
      <w:tr>
        <w:trPr>
          <w:trHeight w:val="172"/>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in net tangible book value per share to new investors</w:t>
            </w:r>
          </w:p>
        </w:tc>
        <w:tc>
          <w:tcPr>
            <w:tcW w:w="19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0.55</w:t>
            </w:r>
          </w:p>
        </w:tc>
      </w:tr>
    </w:tbl>
    <w:p>
      <w:pPr>
        <w:spacing w:after="0" w:line="1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The table above assumes, for illustrative purposes, that an aggregate of 28,492,413 shares of our common stock are sold at an offering price of $6.59 per share, the last reported sale price of our common stock on the Nasdaq Global Market on December 22, 2025, for aggregate gross proceeds of $188 million. However, the shares sold in this offering, if any, will be sold from time to time at various prices. Presented below, solely for illustrative purposes only, is the effect of each of an increase and a decrease of the assumed offering price by $1.00 per share.</w:t>
      </w:r>
    </w:p>
    <w:p>
      <w:pPr>
        <w:spacing w:after="0" w:line="15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Assuming that an aggregate of 24,738,472 shares of our common stock are sold at an offering price of $7.59 per share, representing an increase of $1.00 per share from the assumed offering price above, for aggregate gross proceeds of $188 million, after deducting commissions and estimated aggregate offering expenses payable by us, our net tangible book value per share on an as adjusted basis would be $7.65 per share and the accretion in net tangible book value per share to new investors would be $0.06 per share.</w:t>
      </w:r>
    </w:p>
    <w:p>
      <w:pPr>
        <w:spacing w:after="0" w:line="14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Assuming that an aggregate of 33,589,445 shares of our common stock are sold at an offering price of $5.59 per share, representing a decrease of $1.00 per share from the assumed offering price above, for aggregate gross proceeds of $188 million, after deducting commissions and estimated aggregate offering expenses payable by us, our net tangible book value per share on an unaudited as adjusted basis would be $6.56 per share and the accretion in net tangible book value per share to new investors would be $0.97 per share.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foregoing information does not take into account (the exercise of our outstanding options or the issuance of shares under our equity plans or other arrangements, as set forth in</w:t>
      </w:r>
    </w:p>
    <w:p>
      <w:pPr>
        <w:spacing w:after="0" w:line="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Prospectus Supplement Summary – The Offering</w:t>
      </w:r>
      <w:r>
        <w:rPr>
          <w:rFonts w:ascii="Times New Roman" w:cs="Times New Roman" w:eastAsia="Times New Roman" w:hAnsi="Times New Roman"/>
          <w:sz w:val="15"/>
          <w:szCs w:val="15"/>
          <w:color w:val="auto"/>
        </w:rPr>
        <w:t>”. To the extent that other shares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those securities could result in further dilution to investors in this offering.</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We have previously entered into the Sales Agreement with Cantor, Wells Fargo, and William Blair relating to the sale of our common stock offered by this prospectus supplement and the accompanying base prospectus. In accordance with the terms of the Sales Agreement and this prospectus supplement and accompanying prospectus, we may offer and sell shares of our common stock having an aggregate offering price of up to $200 million from time to time through Cantor, Wells Fargo, or William Blair, each acting as our sales agent. In accordance with the terms of the Sales Agreement. As of December 22, 2025, we have sold 1,179,201 shares of our common stock with an aggregate offering price of approximately $12 million, leaving an aggregate offering price of up to approximately $188 million remaining under the Sales Agreement.</w:t>
      </w:r>
    </w:p>
    <w:p>
      <w:pPr>
        <w:spacing w:after="0" w:line="15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5"/>
          <w:szCs w:val="15"/>
          <w:color w:val="auto"/>
        </w:rPr>
        <w:t>Each time that we wish to issue and sell shares, we will notify Cantor, Wells Fargo, or William Blair as to the number of shares to be issued, the time period during which sales are requested to be made, any limitation on the number of shares that may be sold in any one day and any minimum price below which sales may not be made. Cantor, Wells Fargo, or William Blair may decline to accept any such notice for any reason.</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Following the delivery and acceptance of such a notice, and subject to the terms and conditions of the Sales Agreement and applicable laws, rules and regulations, Cantor, Wells Fargo, or William Blair (as applicable) will use commercially reasonable efforts consistent with its normal trading and sales practices to sell shares in an amount and otherwise on terms specified by us from time to time and accepted by Cantor, Wells Fargo, or William Blair. Sales of our common stock by Cantor, Wells Fargo, and William Blair, if any, under this prospectus supplement and the accompanying base prospectus may be made by any method permitted by law and deemed to be an “at the market offering” as defined in Rule 415(a)(4) promulgated under the Securities Act. Cantor, Wells Fargo, and William Blair are not required to sell or purchase any specific number or dollar amounts of securities. There is no arrangement for funds to be received in any escrow, trust or similar arrangement. We, Cantor, Wells Fargo, or William Blair may suspend the offering of common stock upon notice and subject to other conditions.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We will pay Cantor, Wells Fargo, or William Blair commissions, in cash, for services in acting as agent in the sale of our common stock. Pursuant to the Sales Agreement, we will furnish to Cantor, Wells Fargo, or William Blair a “placement notice” and the recipient of such notice will be deemed the “designated agent” for such placement. Cantor, Wells Fargo, or William Blair, as designated agent, will be entitled to compensation at a commission rate of 3.0% of the gross sales price per share sold in any such placement. Because there is no minimum offering amount required as a condition to close this offering, the actual total public offering amount, commissions and proceeds to us, if any, are not determinable at this time. We have also agreed to reimburse Cantor, Wells Fargo, and William Blair for certain specified fees and documented expenses, including the fees and documented expenses of its legal counsel in an aggregate amount not to exceed $75,000 and certain on-going expenses. We estimate that the total expenses for the offering, excluding commissions and reimbursements payable to Cantor, Wells Fargo, and William Blair under the terms of the Sales Agreement, will be approximately $0.1 million.</w:t>
      </w:r>
    </w:p>
    <w:p>
      <w:pPr>
        <w:spacing w:after="0" w:line="1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Settlement for sales of common stock will occur on the second trading day following the date on which any sales are made, or on some other date that is agreed upon by us and Cantor, Wells Fargo, or William Blair (as applicable) in connection with a particular transaction, in return for payment of the net proceeds to us. Sales of our common stock as contemplated in this prospectus supplement will be settled through the facilities of The Depository Trust Company or by such other means as we, Cantor, Wells Fargo, and William Blair may agree upon. In connection with the sale of the common stock on our behalf, Cantor, Wells Fargo, and William Blair will be deemed to be “underwriters” within the meaning of the Securities Act and the compensation of Cantor, Wells Fargo, and William Blair will be deemed to be underwriting commissions or discounts. We have agreed to provide indemnification and contribution to Cantor, Wells Fargo, and William Blair against certain civil liabilities, including liabilities under the Securities Act.</w:t>
      </w:r>
    </w:p>
    <w:p>
      <w:pPr>
        <w:spacing w:after="0" w:line="154" w:lineRule="exact"/>
        <w:rPr>
          <w:sz w:val="20"/>
          <w:szCs w:val="20"/>
          <w:color w:val="auto"/>
        </w:rPr>
      </w:pPr>
    </w:p>
    <w:p>
      <w:pPr>
        <w:ind w:right="600"/>
        <w:spacing w:after="0" w:line="285" w:lineRule="auto"/>
        <w:rPr>
          <w:sz w:val="20"/>
          <w:szCs w:val="20"/>
          <w:color w:val="auto"/>
        </w:rPr>
      </w:pPr>
      <w:r>
        <w:rPr>
          <w:rFonts w:ascii="Times New Roman" w:cs="Times New Roman" w:eastAsia="Times New Roman" w:hAnsi="Times New Roman"/>
          <w:sz w:val="15"/>
          <w:szCs w:val="15"/>
          <w:color w:val="auto"/>
        </w:rPr>
        <w:t>The offering of our common stock pursuant to the sales agreement will terminate as permitted therein. We, Cantor, Wells Fargo, and William Blair may each terminate the Sales Agreement at any time upon five days’ prior notice.</w:t>
      </w:r>
    </w:p>
    <w:p>
      <w:pPr>
        <w:spacing w:after="0" w:line="1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Cantor, Wells Fargo, William Blair, and their respective affiliates may in the future provide various investment banking, commercial banking and other financial services for us and our affiliates, for which services they may in the future receive customary fees. To the extent required by Regulation M, Cantor, Wells Fargo, and William Blair will not engage in any market making activities involving our common stock while the offering is ongoing under this prospectus supplement.</w:t>
      </w:r>
    </w:p>
    <w:p>
      <w:pPr>
        <w:spacing w:after="0" w:line="146"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5"/>
          <w:szCs w:val="15"/>
          <w:color w:val="auto"/>
        </w:rPr>
        <w:t>This prospectus supplement in electronic format may be made available on a website maintained by Cantor, Wells Fargo, and William Blair, and each may distribute this prospectus supplement electronically.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listed on The Nasdaq Global Market under the trading symbol “ARCT.”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transfer agent for our common stock to be issued in this offering is Continental Stock Transfer &amp; Trust Company, located at 1 State Street, 30th Floor, New York, NY 10004.</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5"/>
          <w:szCs w:val="15"/>
          <w:color w:val="auto"/>
        </w:rPr>
        <w:t>The financial statements of Arcturus Therapeutics Holdings, Inc. and subsidiaries as of and for the year ended December 31, 2024 incorporated by reference in this Prospectus and the effectiveness of Arcturus Therapeutics Holdings, Inc. and subsidiaries’ internal control over financial reporting as of December 31, 2024,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5"/>
          <w:szCs w:val="15"/>
          <w:color w:val="auto"/>
        </w:rPr>
        <w:t>The financial statements of Arcturus Therapeutics Holdings Inc. and its Subsidiaries appearing in Arcturus Therapeutics Holdings Inc.’s Annual Report (Form 10-K) for the year ended December 31, 2023 has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4"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Dentons US LLP, New York, New York. Certain legal matters in connection with this offering will be passed upon for the agent by Paul Hastings LLP, New York, New York.</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We file annual, quarterly and periodic reports, proxy statements and other information with the SEC. You may read and copy any materials that we file with the SEC at the SEC’s Public Reference Room at 100 F Street, N.E., Washington, D.C. 20549. You may obtain information on the operation of the Public Reference Room by calling the SEC at 1-800-SEC-0330. Our SEC filings are also available to the public from the SEC’s Website at www.sec.gov. We make available free of charge our annual, quarterly and current reports, proxy statements and other information upon request. To request such materials, please contact the Corporate Secretary at the following address or telephone number: Arcturus Therapeutics Holdings Inc., 10285 Science Center Drive, San Diego, California 92121, Attention: Investor Relations; (858) 900-2660. Exhibits to the documents will not be sent, unless those exhibits have specifically been incorporated by reference in this prospectus supplement.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maintain our website at https://arcturusrx.com. Our website and the information contained therein or connected thereto are not incorporated into this Registration Statement.</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relating to the securities we are offering by this prospectus supplement and the accompanying base prospectus. This prospectus supplement and accompanying base prospectus do not contain all of the information set forth in the registration statement and the exhibits and schedules to the registration statement. Please refer to the registration statement and its exhibits and schedules for further information with respect to the Company and its securities. Statements contained in this prospectus supplement and accompanying base prospectus as to the contents of any contract or other document are not necessarily complete and, in each instance, we refer you to the copy of that contract or document filed as an exhibit to the registration statement or to a document incorporated by reference therein. You may read and obtain a copy of the registration statement and its exhibits and schedules from the SEC, as described in the preceding paragraph.</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INFORMATION INCORPORATED BY REFERENCE</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will automatically update and supersede this information. We incorporate by reference the documents filed with SEC listed below:</w:t>
      </w:r>
    </w:p>
    <w:p>
      <w:pPr>
        <w:spacing w:after="0" w:line="146" w:lineRule="exact"/>
        <w:rPr>
          <w:sz w:val="20"/>
          <w:szCs w:val="20"/>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Our </w:t>
      </w:r>
      <w:hyperlink r:id="rId40">
        <w:r>
          <w:rPr>
            <w:rFonts w:ascii="Times New Roman" w:cs="Times New Roman" w:eastAsia="Times New Roman" w:hAnsi="Times New Roman"/>
            <w:sz w:val="15"/>
            <w:szCs w:val="15"/>
            <w:u w:val="single" w:color="auto"/>
            <w:color w:val="0000EE"/>
          </w:rPr>
          <w:t>Annual Report on 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2024, filed with the SEC on March 6, 2025;</w:t>
      </w:r>
    </w:p>
    <w:p>
      <w:pPr>
        <w:spacing w:after="0" w:line="190" w:lineRule="exact"/>
        <w:rPr>
          <w:sz w:val="20"/>
          <w:szCs w:val="20"/>
          <w:color w:val="auto"/>
        </w:rPr>
      </w:pPr>
    </w:p>
    <w:p>
      <w:pPr>
        <w:ind w:left="80" w:right="540" w:hanging="44"/>
        <w:spacing w:after="0" w:line="28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periods ended </w:t>
      </w:r>
      <w:hyperlink r:id="rId41">
        <w:r>
          <w:rPr>
            <w:rFonts w:ascii="Times New Roman" w:cs="Times New Roman" w:eastAsia="Times New Roman" w:hAnsi="Times New Roman"/>
            <w:sz w:val="15"/>
            <w:szCs w:val="15"/>
            <w:u w:val="single" w:color="auto"/>
            <w:color w:val="0000EE"/>
          </w:rPr>
          <w:t>March 31, 2025</w:t>
        </w:r>
      </w:hyperlink>
      <w:r>
        <w:rPr>
          <w:rFonts w:ascii="Times New Roman" w:cs="Times New Roman" w:eastAsia="Times New Roman" w:hAnsi="Times New Roman"/>
          <w:sz w:val="15"/>
          <w:szCs w:val="15"/>
          <w:color w:val="auto"/>
        </w:rPr>
        <w:t xml:space="preserve">, </w:t>
      </w:r>
      <w:hyperlink r:id="rId42">
        <w:r>
          <w:rPr>
            <w:rFonts w:ascii="Times New Roman" w:cs="Times New Roman" w:eastAsia="Times New Roman" w:hAnsi="Times New Roman"/>
            <w:sz w:val="15"/>
            <w:szCs w:val="15"/>
            <w:u w:val="single" w:color="auto"/>
            <w:color w:val="0000EE"/>
          </w:rPr>
          <w:t>June 30,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43">
        <w:r>
          <w:rPr>
            <w:rFonts w:ascii="Times New Roman" w:cs="Times New Roman" w:eastAsia="Times New Roman" w:hAnsi="Times New Roman"/>
            <w:sz w:val="15"/>
            <w:szCs w:val="15"/>
            <w:u w:val="single" w:color="auto"/>
            <w:color w:val="0000EE"/>
          </w:rPr>
          <w:t>September 30, 2025</w:t>
        </w:r>
      </w:hyperlink>
      <w:r>
        <w:rPr>
          <w:rFonts w:ascii="Times New Roman" w:cs="Times New Roman" w:eastAsia="Times New Roman" w:hAnsi="Times New Roman"/>
          <w:sz w:val="15"/>
          <w:szCs w:val="15"/>
          <w:color w:val="auto"/>
        </w:rPr>
        <w:t>, filed with the SEC on May 12, 2025, August 11, 2025 and November 12, 2025, respectively.</w:t>
      </w:r>
    </w:p>
    <w:p>
      <w:pPr>
        <w:spacing w:after="0" w:line="133" w:lineRule="exact"/>
        <w:rPr>
          <w:rFonts w:ascii="Times New Roman" w:cs="Times New Roman" w:eastAsia="Times New Roman" w:hAnsi="Times New Roman"/>
          <w:sz w:val="15"/>
          <w:szCs w:val="15"/>
          <w:color w:val="auto"/>
        </w:rPr>
      </w:pPr>
    </w:p>
    <w:p>
      <w:pPr>
        <w:ind w:left="80" w:right="80" w:hanging="44"/>
        <w:spacing w:after="0" w:line="285" w:lineRule="auto"/>
        <w:rPr>
          <w:rFonts w:ascii="Times New Roman" w:cs="Times New Roman" w:eastAsia="Times New Roman" w:hAnsi="Times New Roman"/>
          <w:sz w:val="15"/>
          <w:szCs w:val="15"/>
          <w:color w:val="0000EE"/>
        </w:rPr>
      </w:pPr>
      <w:hyperlink r:id="rId44">
        <w:r>
          <w:rPr>
            <w:rFonts w:ascii="Times New Roman" w:cs="Times New Roman" w:eastAsia="Times New Roman" w:hAnsi="Times New Roman"/>
            <w:sz w:val="15"/>
            <w:szCs w:val="15"/>
            <w:color w:val="auto"/>
          </w:rPr>
          <w:t xml:space="preserve">·Our information specifically incorporated by reference into our Annual Report on Form 10-K for the year ended December 31, 2024 from our </w:t>
        </w:r>
        <w:r>
          <w:rPr>
            <w:rFonts w:ascii="Times New Roman" w:cs="Times New Roman" w:eastAsia="Times New Roman" w:hAnsi="Times New Roman"/>
            <w:sz w:val="15"/>
            <w:szCs w:val="15"/>
            <w:u w:val="single" w:color="auto"/>
            <w:color w:val="0000EE"/>
          </w:rPr>
          <w:t>Definitive Proxy Statement on Schedule</w:t>
        </w:r>
      </w:hyperlink>
      <w:r>
        <w:rPr>
          <w:rFonts w:ascii="Times New Roman" w:cs="Times New Roman" w:eastAsia="Times New Roman" w:hAnsi="Times New Roman"/>
          <w:sz w:val="15"/>
          <w:szCs w:val="15"/>
          <w:color w:val="auto"/>
        </w:rPr>
        <w:t xml:space="preserve"> </w:t>
      </w:r>
      <w:hyperlink r:id="rId44">
        <w:r>
          <w:rPr>
            <w:rFonts w:ascii="Times New Roman" w:cs="Times New Roman" w:eastAsia="Times New Roman" w:hAnsi="Times New Roman"/>
            <w:sz w:val="15"/>
            <w:szCs w:val="15"/>
            <w:u w:val="single" w:color="auto"/>
            <w:color w:val="0000EE"/>
          </w:rPr>
          <w:t>14A</w:t>
        </w:r>
        <w:r>
          <w:rPr>
            <w:rFonts w:ascii="Times New Roman" w:cs="Times New Roman" w:eastAsia="Times New Roman" w:hAnsi="Times New Roman"/>
            <w:sz w:val="15"/>
            <w:szCs w:val="15"/>
            <w:color w:val="000000"/>
          </w:rPr>
          <w:t>, filed with the SEC on April 25, 2025;</w:t>
        </w:r>
      </w:hyperlink>
    </w:p>
    <w:p>
      <w:pPr>
        <w:spacing w:after="0" w:line="133" w:lineRule="exact"/>
        <w:rPr>
          <w:sz w:val="20"/>
          <w:szCs w:val="20"/>
          <w:color w:val="auto"/>
        </w:rPr>
      </w:pPr>
    </w:p>
    <w:p>
      <w:pPr>
        <w:ind w:left="80" w:right="100" w:hanging="44"/>
        <w:spacing w:after="0" w:line="28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Current Reports on Form 8-K filed with the SEC on </w:t>
      </w:r>
      <w:hyperlink r:id="rId45">
        <w:r>
          <w:rPr>
            <w:rFonts w:ascii="Times New Roman" w:cs="Times New Roman" w:eastAsia="Times New Roman" w:hAnsi="Times New Roman"/>
            <w:sz w:val="15"/>
            <w:szCs w:val="15"/>
            <w:u w:val="single" w:color="auto"/>
            <w:color w:val="0000EE"/>
          </w:rPr>
          <w:t>June 6, 2025</w:t>
        </w:r>
      </w:hyperlink>
      <w:r>
        <w:rPr>
          <w:rFonts w:ascii="Times New Roman" w:cs="Times New Roman" w:eastAsia="Times New Roman" w:hAnsi="Times New Roman"/>
          <w:sz w:val="15"/>
          <w:szCs w:val="15"/>
          <w:color w:val="auto"/>
        </w:rPr>
        <w:t xml:space="preserve">, </w:t>
      </w:r>
      <w:hyperlink r:id="rId46">
        <w:r>
          <w:rPr>
            <w:rFonts w:ascii="Times New Roman" w:cs="Times New Roman" w:eastAsia="Times New Roman" w:hAnsi="Times New Roman"/>
            <w:sz w:val="15"/>
            <w:szCs w:val="15"/>
            <w:u w:val="single" w:color="auto"/>
            <w:color w:val="0000EE"/>
          </w:rPr>
          <w:t>October 22, 2025</w:t>
        </w:r>
      </w:hyperlink>
      <w:r>
        <w:rPr>
          <w:rFonts w:ascii="Times New Roman" w:cs="Times New Roman" w:eastAsia="Times New Roman" w:hAnsi="Times New Roman"/>
          <w:sz w:val="15"/>
          <w:szCs w:val="15"/>
          <w:color w:val="auto"/>
        </w:rPr>
        <w:t xml:space="preserve">, and </w:t>
      </w:r>
      <w:hyperlink r:id="rId47">
        <w:r>
          <w:rPr>
            <w:rFonts w:ascii="Times New Roman" w:cs="Times New Roman" w:eastAsia="Times New Roman" w:hAnsi="Times New Roman"/>
            <w:sz w:val="15"/>
            <w:szCs w:val="15"/>
            <w:u w:val="single" w:color="auto"/>
            <w:color w:val="0000EE"/>
          </w:rPr>
          <w:t>December 15, 2025</w:t>
        </w:r>
      </w:hyperlink>
      <w:r>
        <w:rPr>
          <w:rFonts w:ascii="Times New Roman" w:cs="Times New Roman" w:eastAsia="Times New Roman" w:hAnsi="Times New Roman"/>
          <w:sz w:val="15"/>
          <w:szCs w:val="15"/>
          <w:color w:val="auto"/>
        </w:rPr>
        <w:t>, respectively (in each case, except for information contained therein which is furnished rather than filed); and</w:t>
      </w:r>
    </w:p>
    <w:p>
      <w:pPr>
        <w:spacing w:after="0" w:line="133"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The description of our common stock in our Current Report on </w:t>
      </w:r>
      <w:hyperlink r:id="rId48">
        <w:r>
          <w:rPr>
            <w:rFonts w:ascii="Times New Roman" w:cs="Times New Roman" w:eastAsia="Times New Roman" w:hAnsi="Times New Roman"/>
            <w:sz w:val="15"/>
            <w:szCs w:val="15"/>
            <w:u w:val="single" w:color="auto"/>
            <w:color w:val="0000EE"/>
          </w:rPr>
          <w:t>Form 8-K12B</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June 14, 2019.</w:t>
      </w:r>
    </w:p>
    <w:p>
      <w:pPr>
        <w:spacing w:after="0" w:line="190" w:lineRule="exact"/>
        <w:rPr>
          <w:rFonts w:ascii="Times New Roman" w:cs="Times New Roman" w:eastAsia="Times New Roman" w:hAnsi="Times New Roman"/>
          <w:sz w:val="15"/>
          <w:szCs w:val="15"/>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152" w:lineRule="exact"/>
        <w:rPr>
          <w:rFonts w:ascii="Times New Roman" w:cs="Times New Roman" w:eastAsia="Times New Roman" w:hAnsi="Times New Roman"/>
          <w:sz w:val="15"/>
          <w:szCs w:val="15"/>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Any statement contained in this prospectus supplement or in a document incorporated or deemed to be incorporated by reference in this prospectus supplement shall be deemed to be modified or superseded for purposes of this prospectus supplement to the extent that a statement contained herein or in any other subsequently filed document which also is or is deemed to be incorporated by reference modifies or supersedes the statement. Any statement so modified or superseded shall not be deemed, except as so modified or superseded, to constitute a part of this prospectus supplement.</w:t>
      </w:r>
    </w:p>
    <w:p>
      <w:pPr>
        <w:spacing w:after="0" w:line="152" w:lineRule="exact"/>
        <w:rPr>
          <w:rFonts w:ascii="Times New Roman" w:cs="Times New Roman" w:eastAsia="Times New Roman" w:hAnsi="Times New Roman"/>
          <w:sz w:val="15"/>
          <w:szCs w:val="15"/>
          <w:color w:val="auto"/>
        </w:rPr>
      </w:pPr>
    </w:p>
    <w:p>
      <w:pPr>
        <w:ind w:right="300"/>
        <w:spacing w:after="0" w:line="285" w:lineRule="auto"/>
        <w:rPr>
          <w:sz w:val="20"/>
          <w:szCs w:val="20"/>
          <w:color w:val="auto"/>
        </w:rPr>
      </w:pPr>
      <w:r>
        <w:rPr>
          <w:rFonts w:ascii="Times New Roman" w:cs="Times New Roman" w:eastAsia="Times New Roman" w:hAnsi="Times New Roman"/>
          <w:sz w:val="15"/>
          <w:szCs w:val="15"/>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33" w:lineRule="exact"/>
        <w:rPr>
          <w:rFonts w:ascii="Times New Roman" w:cs="Times New Roman" w:eastAsia="Times New Roman" w:hAnsi="Times New Roman"/>
          <w:sz w:val="15"/>
          <w:szCs w:val="15"/>
          <w:color w:val="auto"/>
        </w:rPr>
      </w:pPr>
    </w:p>
    <w:p>
      <w:pPr>
        <w:ind w:left="4520"/>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4" w:lineRule="exact"/>
        <w:rPr>
          <w:rFonts w:ascii="Times New Roman" w:cs="Times New Roman" w:eastAsia="Times New Roman" w:hAnsi="Times New Roman"/>
          <w:sz w:val="15"/>
          <w:szCs w:val="15"/>
          <w:color w:val="auto"/>
        </w:rPr>
      </w:pPr>
    </w:p>
    <w:p>
      <w:pPr>
        <w:ind w:left="4760"/>
        <w:spacing w:after="0"/>
        <w:rPr>
          <w:sz w:val="20"/>
          <w:szCs w:val="20"/>
          <w:color w:val="auto"/>
        </w:rPr>
      </w:pPr>
      <w:r>
        <w:rPr>
          <w:rFonts w:ascii="Times New Roman" w:cs="Times New Roman" w:eastAsia="Times New Roman" w:hAnsi="Times New Roman"/>
          <w:sz w:val="15"/>
          <w:szCs w:val="15"/>
          <w:color w:val="auto"/>
        </w:rPr>
        <w:t>10285 Science Center Drive,</w:t>
      </w:r>
    </w:p>
    <w:p>
      <w:pPr>
        <w:spacing w:after="0" w:line="9" w:lineRule="exact"/>
        <w:rPr>
          <w:rFonts w:ascii="Times New Roman" w:cs="Times New Roman" w:eastAsia="Times New Roman" w:hAnsi="Times New Roman"/>
          <w:sz w:val="15"/>
          <w:szCs w:val="15"/>
          <w:color w:val="auto"/>
        </w:rPr>
      </w:pPr>
    </w:p>
    <w:p>
      <w:pPr>
        <w:ind w:left="4760"/>
        <w:spacing w:after="0"/>
        <w:rPr>
          <w:sz w:val="20"/>
          <w:szCs w:val="20"/>
          <w:color w:val="auto"/>
        </w:rPr>
      </w:pPr>
      <w:r>
        <w:rPr>
          <w:rFonts w:ascii="Times New Roman" w:cs="Times New Roman" w:eastAsia="Times New Roman" w:hAnsi="Times New Roman"/>
          <w:sz w:val="15"/>
          <w:szCs w:val="15"/>
          <w:color w:val="auto"/>
        </w:rPr>
        <w:t>San Diego, California 92121</w:t>
      </w:r>
    </w:p>
    <w:p>
      <w:pPr>
        <w:spacing w:after="0" w:line="9" w:lineRule="exact"/>
        <w:rPr>
          <w:rFonts w:ascii="Times New Roman" w:cs="Times New Roman" w:eastAsia="Times New Roman" w:hAnsi="Times New Roman"/>
          <w:sz w:val="15"/>
          <w:szCs w:val="15"/>
          <w:color w:val="auto"/>
        </w:rPr>
      </w:pPr>
    </w:p>
    <w:p>
      <w:pPr>
        <w:ind w:left="4800"/>
        <w:spacing w:after="0"/>
        <w:rPr>
          <w:sz w:val="20"/>
          <w:szCs w:val="20"/>
          <w:color w:val="auto"/>
        </w:rPr>
      </w:pPr>
      <w:r>
        <w:rPr>
          <w:rFonts w:ascii="Times New Roman" w:cs="Times New Roman" w:eastAsia="Times New Roman" w:hAnsi="Times New Roman"/>
          <w:sz w:val="15"/>
          <w:szCs w:val="15"/>
          <w:color w:val="auto"/>
        </w:rPr>
        <w:t>Telephone: (858) 900-2660</w:t>
      </w:r>
    </w:p>
    <w:p>
      <w:pPr>
        <w:spacing w:after="0" w:line="9" w:lineRule="exact"/>
        <w:rPr>
          <w:rFonts w:ascii="Times New Roman" w:cs="Times New Roman" w:eastAsia="Times New Roman" w:hAnsi="Times New Roman"/>
          <w:sz w:val="15"/>
          <w:szCs w:val="15"/>
          <w:color w:val="auto"/>
        </w:rPr>
      </w:pPr>
    </w:p>
    <w:p>
      <w:pPr>
        <w:ind w:left="4760"/>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174" w:lineRule="exact"/>
        <w:rPr>
          <w:rFonts w:ascii="Times New Roman" w:cs="Times New Roman" w:eastAsia="Times New Roman" w:hAnsi="Times New Roman"/>
          <w:sz w:val="15"/>
          <w:szCs w:val="15"/>
          <w:color w:val="auto"/>
        </w:rPr>
      </w:pPr>
    </w:p>
    <w:p>
      <w:pPr>
        <w:ind w:right="140"/>
        <w:spacing w:after="0" w:line="268" w:lineRule="auto"/>
        <w:rPr>
          <w:sz w:val="20"/>
          <w:szCs w:val="20"/>
          <w:color w:val="auto"/>
        </w:rPr>
      </w:pPr>
      <w:r>
        <w:rPr>
          <w:rFonts w:ascii="Times New Roman" w:cs="Times New Roman" w:eastAsia="Times New Roman" w:hAnsi="Times New Roman"/>
          <w:sz w:val="15"/>
          <w:szCs w:val="15"/>
          <w:color w:val="auto"/>
        </w:rPr>
        <w:t>Statements contained in this prospectus supplement as to the contents of any contract or other documents are not necessarily complete, and in each instance investors are referred to the copy of the contract or other document filed as an exhibit to the registration statement or to documents incorporated by reference therein, each such statement being qualified in all respects by such reference and the exhibits and schedules thereto.</w:t>
      </w:r>
    </w:p>
    <w:p>
      <w:pPr>
        <w:spacing w:after="0" w:line="22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00"/>
          </w:cols>
          <w:pgMar w:left="320" w:top="687" w:right="37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$187,765,319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132080</wp:posOffset>
            </wp:positionV>
            <wp:extent cx="2140585" cy="718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140585" cy="71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___________________</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___________________</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520" w:type="dxa"/>
            <w:vAlign w:val="bottom"/>
          </w:tcPr>
          <w:p>
            <w:pPr>
              <w:ind w:left="1620"/>
              <w:spacing w:after="0"/>
              <w:rPr>
                <w:sz w:val="20"/>
                <w:szCs w:val="20"/>
                <w:color w:val="auto"/>
              </w:rPr>
            </w:pPr>
            <w:r>
              <w:rPr>
                <w:rFonts w:ascii="Times New Roman" w:cs="Times New Roman" w:eastAsia="Times New Roman" w:hAnsi="Times New Roman"/>
                <w:sz w:val="15"/>
                <w:szCs w:val="15"/>
                <w:b w:val="1"/>
                <w:bCs w:val="1"/>
                <w:color w:val="auto"/>
              </w:rPr>
              <w:t>Cantor</w:t>
            </w:r>
          </w:p>
        </w:tc>
        <w:tc>
          <w:tcPr>
            <w:tcW w:w="4180" w:type="dxa"/>
            <w:vAlign w:val="bottom"/>
          </w:tcPr>
          <w:p>
            <w:pPr>
              <w:jc w:val="right"/>
              <w:ind w:right="1225"/>
              <w:spacing w:after="0"/>
              <w:rPr>
                <w:sz w:val="20"/>
                <w:szCs w:val="20"/>
                <w:color w:val="auto"/>
              </w:rPr>
            </w:pPr>
            <w:r>
              <w:rPr>
                <w:rFonts w:ascii="Times New Roman" w:cs="Times New Roman" w:eastAsia="Times New Roman" w:hAnsi="Times New Roman"/>
                <w:sz w:val="15"/>
                <w:szCs w:val="15"/>
                <w:b w:val="1"/>
                <w:bCs w:val="1"/>
                <w:color w:val="auto"/>
              </w:rPr>
              <w:t>Wells Fargo Securities</w:t>
            </w:r>
          </w:p>
        </w:tc>
        <w:tc>
          <w:tcPr>
            <w:tcW w:w="3560" w:type="dxa"/>
            <w:vAlign w:val="bottom"/>
          </w:tcPr>
          <w:p>
            <w:pPr>
              <w:ind w:left="1320"/>
              <w:spacing w:after="0"/>
              <w:rPr>
                <w:sz w:val="20"/>
                <w:szCs w:val="20"/>
                <w:color w:val="auto"/>
              </w:rPr>
            </w:pPr>
            <w:r>
              <w:rPr>
                <w:rFonts w:ascii="Times New Roman" w:cs="Times New Roman" w:eastAsia="Times New Roman" w:hAnsi="Times New Roman"/>
                <w:sz w:val="15"/>
                <w:szCs w:val="15"/>
                <w:b w:val="1"/>
                <w:bCs w:val="1"/>
                <w:color w:val="auto"/>
              </w:rPr>
              <w:t>William Blair</w:t>
            </w:r>
          </w:p>
        </w:tc>
      </w:tr>
      <w:tr>
        <w:trPr>
          <w:trHeight w:val="543"/>
        </w:trPr>
        <w:tc>
          <w:tcPr>
            <w:tcW w:w="3520" w:type="dxa"/>
            <w:vAlign w:val="bottom"/>
          </w:tcPr>
          <w:p>
            <w:pPr>
              <w:spacing w:after="0"/>
              <w:rPr>
                <w:sz w:val="24"/>
                <w:szCs w:val="24"/>
                <w:color w:val="auto"/>
              </w:rPr>
            </w:pPr>
          </w:p>
        </w:tc>
        <w:tc>
          <w:tcPr>
            <w:tcW w:w="4180" w:type="dxa"/>
            <w:vAlign w:val="bottom"/>
          </w:tcPr>
          <w:p>
            <w:pPr>
              <w:jc w:val="right"/>
              <w:ind w:right="1805"/>
              <w:spacing w:after="0"/>
              <w:rPr>
                <w:sz w:val="20"/>
                <w:szCs w:val="20"/>
                <w:color w:val="auto"/>
              </w:rPr>
            </w:pPr>
            <w:r>
              <w:rPr>
                <w:rFonts w:ascii="Times New Roman" w:cs="Times New Roman" w:eastAsia="Times New Roman" w:hAnsi="Times New Roman"/>
                <w:sz w:val="15"/>
                <w:szCs w:val="15"/>
                <w:b w:val="1"/>
                <w:bCs w:val="1"/>
                <w:color w:val="auto"/>
              </w:rPr>
              <w:t>, 2025</w:t>
            </w:r>
          </w:p>
        </w:tc>
        <w:tc>
          <w:tcPr>
            <w:tcW w:w="3560" w:type="dxa"/>
            <w:vAlign w:val="bottom"/>
          </w:tcPr>
          <w:p>
            <w:pPr>
              <w:spacing w:after="0"/>
              <w:rPr>
                <w:sz w:val="24"/>
                <w:szCs w:val="24"/>
                <w:color w:val="auto"/>
              </w:rPr>
            </w:pPr>
          </w:p>
        </w:tc>
      </w:tr>
      <w:tr>
        <w:trPr>
          <w:trHeight w:val="474"/>
        </w:trPr>
        <w:tc>
          <w:tcPr>
            <w:tcW w:w="3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7" w:right="319" w:bottom="1440" w:gutter="0" w:footer="0" w:header="0"/>
        </w:sectPr>
      </w:pPr>
    </w:p>
    <w:bookmarkStart w:id="51" w:name="page52"/>
    <w:bookmarkEnd w:id="51"/>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following table sets forth all expenses, other than the underwriting discounts and commissions, payable by the registrant in connection with the sale of the securities being registered.</w:t>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All of such fees expenses, except for the registration fee, are estimates: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27"/>
              <w:spacing w:after="0"/>
              <w:rPr>
                <w:sz w:val="20"/>
                <w:szCs w:val="20"/>
                <w:color w:val="auto"/>
              </w:rPr>
            </w:pPr>
            <w:r>
              <w:rPr>
                <w:rFonts w:ascii="Times New Roman" w:cs="Times New Roman" w:eastAsia="Times New Roman" w:hAnsi="Times New Roman"/>
                <w:sz w:val="15"/>
                <w:szCs w:val="15"/>
                <w:color w:val="auto"/>
              </w:rPr>
              <w:t>Amount</w:t>
            </w:r>
          </w:p>
        </w:tc>
      </w:tr>
      <w:tr>
        <w:trPr>
          <w:trHeight w:val="181"/>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41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3"/>
                <w:szCs w:val="13"/>
                <w:color w:val="auto"/>
              </w:rPr>
              <w:t>1,670</w:t>
            </w:r>
            <w:r>
              <w:rPr>
                <w:rFonts w:ascii="Times New Roman" w:cs="Times New Roman" w:eastAsia="Times New Roman" w:hAnsi="Times New Roman"/>
                <w:sz w:val="20"/>
                <w:szCs w:val="20"/>
                <w:color w:val="auto"/>
                <w:vertAlign w:val="superscript"/>
              </w:rPr>
              <w:t>(1)</w:t>
            </w:r>
          </w:p>
        </w:tc>
      </w:tr>
      <w:tr>
        <w:trPr>
          <w:trHeight w:val="181"/>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4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41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Miscellaneous fees and expenses</w:t>
            </w:r>
          </w:p>
        </w:tc>
        <w:tc>
          <w:tcPr>
            <w:tcW w:w="4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8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16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5"/>
          <w:szCs w:val="15"/>
          <w:color w:val="auto"/>
        </w:rPr>
        <w:t>*The calculation of these fees and expenses is dependent on the number of issuances and amount of securities offered and, accordingly, cannot be estimated at this time.</w:t>
      </w:r>
    </w:p>
    <w:p>
      <w:pPr>
        <w:spacing w:after="0" w:line="223" w:lineRule="exact"/>
        <w:rPr>
          <w:sz w:val="20"/>
          <w:szCs w:val="20"/>
          <w:color w:val="auto"/>
        </w:rPr>
      </w:pPr>
    </w:p>
    <w:p>
      <w:pPr>
        <w:ind w:left="10" w:right="40" w:hanging="10"/>
        <w:spacing w:after="0" w:line="268" w:lineRule="auto"/>
        <w:tabs>
          <w:tab w:leader="none" w:pos="217"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$500,000,000 of securities registered pursuant to this registration statement includes $487,765,319 of Unsold Securities registered pursuant to the Registration Statement on Form S-3 (File No. 333-269003), originally filed on December 23, 2022, and declared effective on December 30, 2022. Pursuant to Rule 415(a)(6) under the Securities Act of 1933, as amended, the filing fees previously paid in connection with the Unsold Securities will continue to be applied to the Unsold Securities.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Company shall bear all expenses in connection with the issuance and distribution of the securities being offered hereby.</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194" w:lineRule="exact"/>
        <w:rPr>
          <w:sz w:val="20"/>
          <w:szCs w:val="20"/>
          <w:color w:val="auto"/>
        </w:rPr>
      </w:pPr>
    </w:p>
    <w:p>
      <w:pPr>
        <w:ind w:left="10"/>
        <w:spacing w:after="0" w:line="257" w:lineRule="auto"/>
        <w:rPr>
          <w:sz w:val="20"/>
          <w:szCs w:val="20"/>
          <w:color w:val="auto"/>
        </w:rPr>
      </w:pPr>
      <w:r>
        <w:rPr>
          <w:rFonts w:ascii="Times New Roman" w:cs="Times New Roman" w:eastAsia="Times New Roman" w:hAnsi="Times New Roman"/>
          <w:sz w:val="15"/>
          <w:szCs w:val="15"/>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55"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15"/>
          <w:szCs w:val="15"/>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23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87" w:right="319" w:bottom="1440" w:gutter="0" w:footer="0" w:header="0"/>
        </w:sectPr>
      </w:pPr>
    </w:p>
    <w:bookmarkStart w:id="52" w:name="page53"/>
    <w:bookmarkEnd w:id="52"/>
    <w:p>
      <w:pPr>
        <w:ind w:left="10"/>
        <w:spacing w:after="0"/>
        <w:rPr>
          <w:sz w:val="20"/>
          <w:szCs w:val="20"/>
          <w:color w:val="auto"/>
        </w:rPr>
      </w:pPr>
      <w:r>
        <w:rPr>
          <w:rFonts w:ascii="Times New Roman" w:cs="Times New Roman" w:eastAsia="Times New Roman" w:hAnsi="Times New Roman"/>
          <w:sz w:val="15"/>
          <w:szCs w:val="15"/>
          <w:color w:val="auto"/>
        </w:rPr>
        <w:t>Further subsections of DGCL Section 145 provide that:</w:t>
      </w:r>
    </w:p>
    <w:p>
      <w:pPr>
        <w:spacing w:after="0" w:line="190" w:lineRule="exact"/>
        <w:rPr>
          <w:sz w:val="20"/>
          <w:szCs w:val="20"/>
          <w:color w:val="auto"/>
        </w:rPr>
      </w:pPr>
    </w:p>
    <w:p>
      <w:pPr>
        <w:ind w:left="10" w:right="260" w:hanging="10"/>
        <w:spacing w:after="0" w:line="268" w:lineRule="auto"/>
        <w:tabs>
          <w:tab w:leader="none" w:pos="22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46" w:lineRule="exact"/>
        <w:rPr>
          <w:rFonts w:ascii="Times New Roman" w:cs="Times New Roman" w:eastAsia="Times New Roman" w:hAnsi="Times New Roman"/>
          <w:sz w:val="15"/>
          <w:szCs w:val="15"/>
          <w:color w:val="auto"/>
        </w:rPr>
      </w:pPr>
    </w:p>
    <w:p>
      <w:pPr>
        <w:ind w:left="10" w:right="220" w:hanging="10"/>
        <w:spacing w:after="0" w:line="285" w:lineRule="auto"/>
        <w:tabs>
          <w:tab w:leader="none" w:pos="22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33" w:lineRule="exact"/>
        <w:rPr>
          <w:rFonts w:ascii="Times New Roman" w:cs="Times New Roman" w:eastAsia="Times New Roman" w:hAnsi="Times New Roman"/>
          <w:sz w:val="15"/>
          <w:szCs w:val="15"/>
          <w:color w:val="auto"/>
        </w:rPr>
      </w:pPr>
    </w:p>
    <w:p>
      <w:pPr>
        <w:jc w:val="both"/>
        <w:ind w:left="10" w:right="180" w:hanging="10"/>
        <w:spacing w:after="0" w:line="262" w:lineRule="auto"/>
        <w:tabs>
          <w:tab w:leader="none" w:pos="22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52"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15"/>
          <w:szCs w:val="15"/>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as amended (the “Securities Act”).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We have entered into indemnification agreements with our officers and directors.</w:t>
      </w:r>
    </w:p>
    <w:p>
      <w:pPr>
        <w:spacing w:after="0" w:line="190"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15"/>
          <w:szCs w:val="15"/>
          <w:color w:val="auto"/>
        </w:rPr>
        <w:t>Our certificate of incorporation, as amended,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52"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5"/>
          <w:szCs w:val="15"/>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1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See the Exhibit Index attached to this registration statement and incorporated herein by this reference.</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4" w:lineRule="exact"/>
        <w:rPr>
          <w:sz w:val="20"/>
          <w:szCs w:val="20"/>
          <w:color w:val="auto"/>
        </w:rPr>
      </w:pPr>
    </w:p>
    <w:p>
      <w:pPr>
        <w:ind w:left="210" w:hanging="210"/>
        <w:spacing w:after="0"/>
        <w:tabs>
          <w:tab w:leader="none" w:pos="21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89" w:lineRule="exact"/>
        <w:rPr>
          <w:rFonts w:ascii="Times New Roman" w:cs="Times New Roman" w:eastAsia="Times New Roman" w:hAnsi="Times New Roman"/>
          <w:sz w:val="15"/>
          <w:szCs w:val="15"/>
          <w:color w:val="auto"/>
        </w:rPr>
      </w:pPr>
    </w:p>
    <w:p>
      <w:pPr>
        <w:ind w:left="490" w:hanging="218"/>
        <w:spacing w:after="0"/>
        <w:tabs>
          <w:tab w:leader="none" w:pos="49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89" w:lineRule="exact"/>
        <w:rPr>
          <w:rFonts w:ascii="Times New Roman" w:cs="Times New Roman" w:eastAsia="Times New Roman" w:hAnsi="Times New Roman"/>
          <w:sz w:val="15"/>
          <w:szCs w:val="15"/>
          <w:color w:val="auto"/>
        </w:rPr>
      </w:pPr>
    </w:p>
    <w:p>
      <w:pPr>
        <w:ind w:left="730" w:hanging="187"/>
        <w:spacing w:after="0"/>
        <w:tabs>
          <w:tab w:leader="none" w:pos="730" w:val="left"/>
        </w:tabs>
        <w:numPr>
          <w:ilvl w:val="2"/>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89" w:lineRule="exact"/>
        <w:rPr>
          <w:rFonts w:ascii="Times New Roman" w:cs="Times New Roman" w:eastAsia="Times New Roman" w:hAnsi="Times New Roman"/>
          <w:sz w:val="15"/>
          <w:szCs w:val="15"/>
          <w:color w:val="auto"/>
        </w:rPr>
      </w:pPr>
    </w:p>
    <w:p>
      <w:pPr>
        <w:ind w:left="550" w:right="80" w:hanging="7"/>
        <w:spacing w:after="0" w:line="258" w:lineRule="auto"/>
        <w:tabs>
          <w:tab w:leader="none" w:pos="772" w:val="left"/>
        </w:tabs>
        <w:numPr>
          <w:ilvl w:val="2"/>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7"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91" w:right="319" w:bottom="1440" w:gutter="0" w:footer="0" w:header="0"/>
        </w:sectPr>
      </w:pPr>
    </w:p>
    <w:bookmarkStart w:id="53" w:name="page54"/>
    <w:bookmarkEnd w:id="53"/>
    <w:p>
      <w:pPr>
        <w:ind w:left="540" w:right="60" w:hanging="7"/>
        <w:spacing w:after="0" w:line="285" w:lineRule="auto"/>
        <w:tabs>
          <w:tab w:leader="none" w:pos="804"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paragraphs (1)(i), (1)(ii) and (1)(iii) of this section do not apply if the information required to be included in a post-effective amendment by those paragraphs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51" w:lineRule="exact"/>
        <w:rPr>
          <w:sz w:val="20"/>
          <w:szCs w:val="20"/>
          <w:color w:val="auto"/>
        </w:rPr>
      </w:pPr>
    </w:p>
    <w:p>
      <w:pPr>
        <w:ind w:left="260" w:right="80" w:firstLine="2"/>
        <w:spacing w:after="0" w:line="285" w:lineRule="auto"/>
        <w:tabs>
          <w:tab w:leader="none" w:pos="473"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Times New Roman" w:cs="Times New Roman" w:eastAsia="Times New Roman" w:hAnsi="Times New Roman"/>
          <w:sz w:val="15"/>
          <w:szCs w:val="15"/>
          <w:color w:val="auto"/>
        </w:rPr>
      </w:pPr>
    </w:p>
    <w:p>
      <w:pPr>
        <w:ind w:left="480" w:hanging="218"/>
        <w:spacing w:after="0"/>
        <w:tabs>
          <w:tab w:leader="none" w:pos="4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89" w:lineRule="exact"/>
        <w:rPr>
          <w:rFonts w:ascii="Times New Roman" w:cs="Times New Roman" w:eastAsia="Times New Roman" w:hAnsi="Times New Roman"/>
          <w:sz w:val="15"/>
          <w:szCs w:val="15"/>
          <w:color w:val="auto"/>
        </w:rPr>
      </w:pPr>
    </w:p>
    <w:p>
      <w:pPr>
        <w:ind w:left="480" w:hanging="218"/>
        <w:spacing w:after="0"/>
        <w:tabs>
          <w:tab w:leader="none" w:pos="4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w:t>
      </w:r>
    </w:p>
    <w:p>
      <w:pPr>
        <w:spacing w:after="0" w:line="189" w:lineRule="exact"/>
        <w:rPr>
          <w:rFonts w:ascii="Times New Roman" w:cs="Times New Roman" w:eastAsia="Times New Roman" w:hAnsi="Times New Roman"/>
          <w:sz w:val="15"/>
          <w:szCs w:val="15"/>
          <w:color w:val="auto"/>
        </w:rPr>
      </w:pPr>
    </w:p>
    <w:p>
      <w:pPr>
        <w:ind w:left="540" w:right="100" w:hanging="7"/>
        <w:spacing w:after="0" w:line="285" w:lineRule="auto"/>
        <w:tabs>
          <w:tab w:leader="none" w:pos="720"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3" w:lineRule="exact"/>
        <w:rPr>
          <w:rFonts w:ascii="Times New Roman" w:cs="Times New Roman" w:eastAsia="Times New Roman" w:hAnsi="Times New Roman"/>
          <w:sz w:val="15"/>
          <w:szCs w:val="15"/>
          <w:color w:val="auto"/>
        </w:rPr>
      </w:pPr>
    </w:p>
    <w:p>
      <w:pPr>
        <w:ind w:left="540" w:hanging="7"/>
        <w:spacing w:after="0" w:line="255" w:lineRule="auto"/>
        <w:tabs>
          <w:tab w:leader="none" w:pos="837"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0" w:lineRule="exact"/>
        <w:rPr>
          <w:rFonts w:ascii="Times New Roman" w:cs="Times New Roman" w:eastAsia="Times New Roman" w:hAnsi="Times New Roman"/>
          <w:sz w:val="15"/>
          <w:szCs w:val="15"/>
          <w:color w:val="auto"/>
        </w:rPr>
      </w:pPr>
    </w:p>
    <w:p>
      <w:pPr>
        <w:ind w:left="480" w:hanging="218"/>
        <w:spacing w:after="0"/>
        <w:tabs>
          <w:tab w:leader="none" w:pos="4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w:t>
      </w:r>
    </w:p>
    <w:p>
      <w:pPr>
        <w:spacing w:after="0" w:line="190" w:lineRule="exact"/>
        <w:rPr>
          <w:sz w:val="20"/>
          <w:szCs w:val="20"/>
          <w:color w:val="auto"/>
        </w:rPr>
      </w:pPr>
    </w:p>
    <w:p>
      <w:pPr>
        <w:ind w:left="260" w:right="20"/>
        <w:spacing w:after="0" w:line="268" w:lineRule="auto"/>
        <w:rPr>
          <w:sz w:val="20"/>
          <w:szCs w:val="20"/>
          <w:color w:val="auto"/>
        </w:rPr>
      </w:pPr>
      <w:r>
        <w:rPr>
          <w:rFonts w:ascii="Times New Roman" w:cs="Times New Roman" w:eastAsia="Times New Roman" w:hAnsi="Times New Roman"/>
          <w:sz w:val="15"/>
          <w:szCs w:val="15"/>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 Any preliminary prospectus or prospectus of the undersigned registrant relating to the offering required to be filed pursuant to Rule 424;</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54" w:name="page55"/>
    <w:bookmarkEnd w:id="54"/>
    <w:p>
      <w:pPr>
        <w:ind w:left="770" w:hanging="227"/>
        <w:spacing w:after="0"/>
        <w:tabs>
          <w:tab w:leader="none" w:pos="77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89" w:lineRule="exact"/>
        <w:rPr>
          <w:rFonts w:ascii="Times New Roman" w:cs="Times New Roman" w:eastAsia="Times New Roman" w:hAnsi="Times New Roman"/>
          <w:sz w:val="15"/>
          <w:szCs w:val="15"/>
          <w:color w:val="auto"/>
        </w:rPr>
      </w:pPr>
    </w:p>
    <w:p>
      <w:pPr>
        <w:ind w:left="550" w:right="140" w:hanging="7"/>
        <w:spacing w:after="0" w:line="285" w:lineRule="auto"/>
        <w:tabs>
          <w:tab w:leader="none" w:pos="813"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3" w:lineRule="exact"/>
        <w:rPr>
          <w:rFonts w:ascii="Times New Roman" w:cs="Times New Roman" w:eastAsia="Times New Roman" w:hAnsi="Times New Roman"/>
          <w:sz w:val="15"/>
          <w:szCs w:val="15"/>
          <w:color w:val="auto"/>
        </w:rPr>
      </w:pPr>
    </w:p>
    <w:p>
      <w:pPr>
        <w:ind w:left="790" w:hanging="247"/>
        <w:spacing w:after="0"/>
        <w:tabs>
          <w:tab w:leader="none" w:pos="79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90" w:lineRule="exact"/>
        <w:rPr>
          <w:sz w:val="20"/>
          <w:szCs w:val="20"/>
          <w:color w:val="auto"/>
        </w:rPr>
      </w:pPr>
    </w:p>
    <w:p>
      <w:pPr>
        <w:ind w:left="10" w:right="180" w:hanging="10"/>
        <w:spacing w:after="0" w:line="262" w:lineRule="auto"/>
        <w:tabs>
          <w:tab w:leader="none" w:pos="22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2" w:lineRule="exact"/>
        <w:rPr>
          <w:sz w:val="20"/>
          <w:szCs w:val="20"/>
          <w:color w:val="auto"/>
        </w:rPr>
      </w:pPr>
    </w:p>
    <w:p>
      <w:pPr>
        <w:ind w:left="10" w:hanging="10"/>
        <w:spacing w:after="0" w:line="258" w:lineRule="auto"/>
        <w:tabs>
          <w:tab w:leader="none" w:pos="223"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4" w:lineRule="exact"/>
        <w:rPr>
          <w:sz w:val="20"/>
          <w:szCs w:val="20"/>
          <w:color w:val="auto"/>
        </w:rPr>
      </w:pPr>
    </w:p>
    <w:p>
      <w:pPr>
        <w:ind w:left="10" w:right="220" w:hanging="10"/>
        <w:spacing w:after="0" w:line="285" w:lineRule="auto"/>
        <w:tabs>
          <w:tab w:leader="none" w:pos="19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2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50"/>
          </w:cols>
          <w:pgMar w:left="310" w:top="691"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00"/>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40" w:type="dxa"/>
            <w:vAlign w:val="bottom"/>
            <w:gridSpan w:val="8"/>
          </w:tcPr>
          <w:p>
            <w:pPr>
              <w:ind w:left="6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43"/>
        </w:trPr>
        <w:tc>
          <w:tcPr>
            <w:tcW w:w="1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0"/>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54"/>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32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24"/>
                <w:szCs w:val="24"/>
                <w:color w:val="auto"/>
              </w:rPr>
            </w:pPr>
          </w:p>
        </w:tc>
        <w:tc>
          <w:tcPr>
            <w:tcW w:w="10160" w:type="dxa"/>
            <w:vAlign w:val="bottom"/>
            <w:gridSpan w:val="17"/>
          </w:tcPr>
          <w:p>
            <w:pPr>
              <w:spacing w:after="0" w:line="173" w:lineRule="exact"/>
              <w:rPr>
                <w:rFonts w:ascii="Times New Roman" w:cs="Times New Roman" w:eastAsia="Times New Roman" w:hAnsi="Times New Roman"/>
                <w:sz w:val="15"/>
                <w:szCs w:val="15"/>
                <w:color w:val="0000EE"/>
              </w:rPr>
            </w:pPr>
            <w:hyperlink r:id="rId73">
              <w:r>
                <w:rPr>
                  <w:rFonts w:ascii="Times New Roman" w:cs="Times New Roman" w:eastAsia="Times New Roman" w:hAnsi="Times New Roman"/>
                  <w:sz w:val="15"/>
                  <w:szCs w:val="15"/>
                  <w:color w:val="0000EE"/>
                </w:rPr>
                <w:t>Controlled Equity Offering</w:t>
              </w:r>
            </w:hyperlink>
            <w:r>
              <w:rPr>
                <w:rFonts w:ascii="MS PGothic" w:cs="MS PGothic" w:eastAsia="MS PGothic" w:hAnsi="MS PGothic"/>
                <w:sz w:val="15"/>
                <w:szCs w:val="15"/>
                <w:color w:val="0000EE"/>
              </w:rPr>
              <w:t>℠</w:t>
            </w:r>
            <w:r>
              <w:rPr>
                <w:rFonts w:ascii="Times New Roman" w:cs="Times New Roman" w:eastAsia="Times New Roman" w:hAnsi="Times New Roman"/>
                <w:sz w:val="15"/>
                <w:szCs w:val="15"/>
                <w:color w:val="0000EE"/>
              </w:rPr>
              <w:t xml:space="preserve"> </w:t>
            </w:r>
            <w:hyperlink r:id="rId73">
              <w:r>
                <w:rPr>
                  <w:rFonts w:ascii="Times New Roman" w:cs="Times New Roman" w:eastAsia="Times New Roman" w:hAnsi="Times New Roman"/>
                  <w:sz w:val="15"/>
                  <w:szCs w:val="15"/>
                  <w:color w:val="0000EE"/>
                </w:rPr>
                <w:t>Sales Agreement, dated as of December 23, 2022 by and between Cantor Fitzgerald &amp; Co, Wells Fargo Securities, LLC and Arcturus</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Borders>
              <w:bottom w:val="single" w:sz="8" w:color="0000EE"/>
            </w:tcBorders>
            <w:gridSpan w:val="15"/>
          </w:tcPr>
          <w:p>
            <w:pPr>
              <w:spacing w:after="0" w:line="161" w:lineRule="exact"/>
              <w:rPr>
                <w:rFonts w:ascii="Times New Roman" w:cs="Times New Roman" w:eastAsia="Times New Roman" w:hAnsi="Times New Roman"/>
                <w:sz w:val="15"/>
                <w:szCs w:val="15"/>
                <w:color w:val="0000EE"/>
              </w:rPr>
            </w:pPr>
            <w:hyperlink r:id="rId73">
              <w:r>
                <w:rPr>
                  <w:rFonts w:ascii="Times New Roman" w:cs="Times New Roman" w:eastAsia="Times New Roman" w:hAnsi="Times New Roman"/>
                  <w:sz w:val="15"/>
                  <w:szCs w:val="15"/>
                  <w:color w:val="0000EE"/>
                </w:rPr>
                <w:t>Therapeutics Holdings Inc. Incorporated by reference to Exhibit 1.2 to the Company’s Registration Statement on Form S-3, filed with the SEC on December 23, 2022</w:t>
              </w:r>
            </w:hyperlink>
          </w:p>
        </w:tc>
        <w:tc>
          <w:tcPr>
            <w:tcW w:w="120" w:type="dxa"/>
            <w:vAlign w:val="bottom"/>
            <w:gridSpan w:val="2"/>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0000EE"/>
            </w:tcBorders>
            <w:gridSpan w:val="2"/>
          </w:tcPr>
          <w:p>
            <w:pPr>
              <w:spacing w:after="0" w:line="161" w:lineRule="exact"/>
              <w:rPr>
                <w:rFonts w:ascii="Times New Roman" w:cs="Times New Roman" w:eastAsia="Times New Roman" w:hAnsi="Times New Roman"/>
                <w:sz w:val="15"/>
                <w:szCs w:val="15"/>
                <w:color w:val="0000EE"/>
                <w:w w:val="99"/>
              </w:rPr>
            </w:pPr>
            <w:hyperlink r:id="rId73">
              <w:r>
                <w:rPr>
                  <w:rFonts w:ascii="Times New Roman" w:cs="Times New Roman" w:eastAsia="Times New Roman" w:hAnsi="Times New Roman"/>
                  <w:sz w:val="15"/>
                  <w:szCs w:val="15"/>
                  <w:color w:val="0000EE"/>
                  <w:w w:val="99"/>
                </w:rPr>
                <w:t>(File No. 333-269003).</w:t>
              </w:r>
            </w:hyperlink>
          </w:p>
        </w:tc>
        <w:tc>
          <w:tcPr>
            <w:tcW w:w="8760" w:type="dxa"/>
            <w:vAlign w:val="bottom"/>
            <w:gridSpan w:val="15"/>
          </w:tcPr>
          <w:p>
            <w:pPr>
              <w:spacing w:after="0"/>
              <w:rPr>
                <w:sz w:val="14"/>
                <w:szCs w:val="1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line="173" w:lineRule="exact"/>
              <w:rPr>
                <w:rFonts w:ascii="Times New Roman" w:cs="Times New Roman" w:eastAsia="Times New Roman" w:hAnsi="Times New Roman"/>
                <w:sz w:val="15"/>
                <w:szCs w:val="15"/>
                <w:color w:val="0000EE"/>
              </w:rPr>
            </w:pPr>
            <w:hyperlink r:id="rId74">
              <w:r>
                <w:rPr>
                  <w:rFonts w:ascii="Times New Roman" w:cs="Times New Roman" w:eastAsia="Times New Roman" w:hAnsi="Times New Roman"/>
                  <w:sz w:val="15"/>
                  <w:szCs w:val="15"/>
                  <w:color w:val="0000EE"/>
                </w:rPr>
                <w:t>Amendment No. 1 to Controlled Equity Offering</w:t>
              </w:r>
            </w:hyperlink>
            <w:r>
              <w:rPr>
                <w:rFonts w:ascii="MS PGothic" w:cs="MS PGothic" w:eastAsia="MS PGothic" w:hAnsi="MS PGothic"/>
                <w:sz w:val="15"/>
                <w:szCs w:val="15"/>
                <w:color w:val="0000EE"/>
              </w:rPr>
              <w:t>℠</w:t>
            </w:r>
            <w:r>
              <w:rPr>
                <w:rFonts w:ascii="Times New Roman" w:cs="Times New Roman" w:eastAsia="Times New Roman" w:hAnsi="Times New Roman"/>
                <w:sz w:val="15"/>
                <w:szCs w:val="15"/>
                <w:color w:val="0000EE"/>
              </w:rPr>
              <w:t xml:space="preserve"> </w:t>
            </w:r>
            <w:hyperlink r:id="rId74">
              <w:r>
                <w:rPr>
                  <w:rFonts w:ascii="Times New Roman" w:cs="Times New Roman" w:eastAsia="Times New Roman" w:hAnsi="Times New Roman"/>
                  <w:sz w:val="15"/>
                  <w:szCs w:val="15"/>
                  <w:color w:val="0000EE"/>
                </w:rPr>
                <w:t>Sales Agreement. Incorporated by reference to Exhibit 1.1 to the Company’s Current Report on Form 8-K, filed</w:t>
              </w:r>
            </w:hyperlink>
          </w:p>
        </w:tc>
        <w:tc>
          <w:tcPr>
            <w:tcW w:w="280" w:type="dxa"/>
            <w:vAlign w:val="bottom"/>
            <w:gridSpan w:val="4"/>
          </w:tcPr>
          <w:p>
            <w:pPr>
              <w:spacing w:after="0"/>
              <w:rPr>
                <w:sz w:val="24"/>
                <w:szCs w:val="24"/>
                <w:color w:val="auto"/>
              </w:rPr>
            </w:pPr>
          </w:p>
        </w:tc>
      </w:tr>
      <w:tr>
        <w:trPr>
          <w:trHeight w:val="16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tcBorders>
              <w:bottom w:val="single" w:sz="8" w:color="0000EE"/>
            </w:tcBorders>
            <w:gridSpan w:val="9"/>
          </w:tcPr>
          <w:p>
            <w:pPr>
              <w:spacing w:after="0" w:line="161" w:lineRule="exact"/>
              <w:rPr>
                <w:rFonts w:ascii="Times New Roman" w:cs="Times New Roman" w:eastAsia="Times New Roman" w:hAnsi="Times New Roman"/>
                <w:sz w:val="15"/>
                <w:szCs w:val="15"/>
                <w:color w:val="0000EE"/>
                <w:w w:val="99"/>
              </w:rPr>
            </w:pPr>
            <w:hyperlink r:id="rId74">
              <w:r>
                <w:rPr>
                  <w:rFonts w:ascii="Times New Roman" w:cs="Times New Roman" w:eastAsia="Times New Roman" w:hAnsi="Times New Roman"/>
                  <w:sz w:val="15"/>
                  <w:szCs w:val="15"/>
                  <w:color w:val="0000EE"/>
                  <w:w w:val="99"/>
                </w:rPr>
                <w:t>with the SEC on August 7, 2023 (File No. 001-38942).</w:t>
              </w:r>
            </w:hyperlink>
          </w:p>
        </w:tc>
        <w:tc>
          <w:tcPr>
            <w:tcW w:w="6840" w:type="dxa"/>
            <w:vAlign w:val="bottom"/>
            <w:gridSpan w:val="8"/>
          </w:tcPr>
          <w:p>
            <w:pPr>
              <w:spacing w:after="0"/>
              <w:rPr>
                <w:sz w:val="14"/>
                <w:szCs w:val="1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rPr>
            </w:pPr>
            <w:hyperlink r:id="rId75">
              <w:r>
                <w:rPr>
                  <w:rFonts w:ascii="Times New Roman" w:cs="Times New Roman" w:eastAsia="Times New Roman" w:hAnsi="Times New Roman"/>
                  <w:sz w:val="15"/>
                  <w:szCs w:val="15"/>
                  <w:color w:val="0000EE"/>
                </w:rPr>
                <w:t>Certificate of Incorporation. Incorporated by reference to Annex B to the proxy statement/prospectus which forms part of the Registration Statement on Form S-4 filed</w:t>
              </w:r>
            </w:hyperlink>
          </w:p>
        </w:tc>
        <w:tc>
          <w:tcPr>
            <w:tcW w:w="80" w:type="dxa"/>
            <w:vAlign w:val="bottom"/>
          </w:tcPr>
          <w:p>
            <w:pPr>
              <w:spacing w:after="0"/>
              <w:rPr>
                <w:sz w:val="24"/>
                <w:szCs w:val="24"/>
                <w:color w:val="auto"/>
              </w:rPr>
            </w:pPr>
          </w:p>
        </w:tc>
      </w:tr>
      <w:tr>
        <w:trPr>
          <w:trHeight w:val="16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60" w:type="dxa"/>
            <w:vAlign w:val="bottom"/>
            <w:gridSpan w:val="17"/>
          </w:tcPr>
          <w:p>
            <w:pPr>
              <w:spacing w:after="0" w:line="161" w:lineRule="exact"/>
              <w:rPr>
                <w:rFonts w:ascii="Times New Roman" w:cs="Times New Roman" w:eastAsia="Times New Roman" w:hAnsi="Times New Roman"/>
                <w:sz w:val="15"/>
                <w:szCs w:val="15"/>
                <w:color w:val="0000EE"/>
              </w:rPr>
            </w:pPr>
            <w:hyperlink r:id="rId75">
              <w:r>
                <w:rPr>
                  <w:rFonts w:ascii="Times New Roman" w:cs="Times New Roman" w:eastAsia="Times New Roman" w:hAnsi="Times New Roman"/>
                  <w:sz w:val="15"/>
                  <w:szCs w:val="15"/>
                  <w:color w:val="0000EE"/>
                </w:rPr>
                <w:t>on March 18, 2019 (File No. 333-230353).</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rPr>
            </w:pPr>
            <w:hyperlink r:id="rId76">
              <w:r>
                <w:rPr>
                  <w:rFonts w:ascii="Times New Roman" w:cs="Times New Roman" w:eastAsia="Times New Roman" w:hAnsi="Times New Roman"/>
                  <w:sz w:val="15"/>
                  <w:szCs w:val="15"/>
                  <w:color w:val="0000EE"/>
                </w:rPr>
                <w:t>Certificate of Amendment, dated November 25, 2020. Incorporated by reference to Exhibit 3.1 to Form 8-K filed on November 25, 2020 (File No. 001-38942).</w:t>
              </w:r>
            </w:hyperlink>
          </w:p>
        </w:tc>
        <w:tc>
          <w:tcPr>
            <w:tcW w:w="540" w:type="dxa"/>
            <w:vAlign w:val="bottom"/>
            <w:gridSpan w:val="6"/>
          </w:tcPr>
          <w:p>
            <w:pPr>
              <w:spacing w:after="0"/>
              <w:rPr>
                <w:sz w:val="24"/>
                <w:szCs w:val="2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rPr>
            </w:pPr>
            <w:hyperlink r:id="rId77">
              <w:r>
                <w:rPr>
                  <w:rFonts w:ascii="Times New Roman" w:cs="Times New Roman" w:eastAsia="Times New Roman" w:hAnsi="Times New Roman"/>
                  <w:sz w:val="15"/>
                  <w:szCs w:val="15"/>
                  <w:color w:val="0000EE"/>
                </w:rPr>
                <w:t>Bylaws of Arcturus Therapeutics Holdings Inc. Incorporated by reference to Exhibit 3.2 to the Company’s Registration Statement on Form S-3, filed with the SEC on</w:t>
              </w:r>
            </w:hyperlink>
          </w:p>
        </w:tc>
        <w:tc>
          <w:tcPr>
            <w:tcW w:w="140" w:type="dxa"/>
            <w:vAlign w:val="bottom"/>
            <w:gridSpan w:val="3"/>
          </w:tcPr>
          <w:p>
            <w:pPr>
              <w:spacing w:after="0"/>
              <w:rPr>
                <w:sz w:val="24"/>
                <w:szCs w:val="24"/>
                <w:color w:val="auto"/>
              </w:rPr>
            </w:pPr>
          </w:p>
        </w:tc>
      </w:tr>
      <w:tr>
        <w:trPr>
          <w:trHeight w:val="16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60" w:type="dxa"/>
            <w:vAlign w:val="bottom"/>
            <w:gridSpan w:val="17"/>
          </w:tcPr>
          <w:p>
            <w:pPr>
              <w:spacing w:after="0" w:line="161" w:lineRule="exact"/>
              <w:rPr>
                <w:rFonts w:ascii="Times New Roman" w:cs="Times New Roman" w:eastAsia="Times New Roman" w:hAnsi="Times New Roman"/>
                <w:sz w:val="15"/>
                <w:szCs w:val="15"/>
                <w:color w:val="0000EE"/>
              </w:rPr>
            </w:pPr>
            <w:hyperlink r:id="rId77">
              <w:r>
                <w:rPr>
                  <w:rFonts w:ascii="Times New Roman" w:cs="Times New Roman" w:eastAsia="Times New Roman" w:hAnsi="Times New Roman"/>
                  <w:sz w:val="15"/>
                  <w:szCs w:val="15"/>
                  <w:color w:val="0000EE"/>
                </w:rPr>
                <w:t>May 8, 2020 (File No. 333-238139).</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r>
      <w:tr>
        <w:trPr>
          <w:trHeight w:val="37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Specimen Certificate Representing Preferred Stock.</w:t>
            </w:r>
          </w:p>
        </w:tc>
      </w:tr>
      <w:tr>
        <w:trPr>
          <w:trHeight w:val="32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Form of Indenture.</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r>
      <w:tr>
        <w:trPr>
          <w:trHeight w:val="37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Subordinated Debt Securities Indenture.</w:t>
            </w:r>
          </w:p>
        </w:tc>
      </w:tr>
      <w:tr>
        <w:trPr>
          <w:trHeight w:val="36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Senior Debt Securities Indenture.</w:t>
            </w:r>
          </w:p>
        </w:tc>
      </w:tr>
      <w:tr>
        <w:trPr>
          <w:trHeight w:val="36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Warrant.</w:t>
            </w:r>
          </w:p>
        </w:tc>
      </w:tr>
      <w:tr>
        <w:trPr>
          <w:trHeight w:val="36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Warrant Agreement.</w:t>
            </w:r>
          </w:p>
        </w:tc>
      </w:tr>
      <w:tr>
        <w:trPr>
          <w:trHeight w:val="36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Form of Unit Agreement.</w:t>
            </w:r>
          </w:p>
        </w:tc>
      </w:tr>
      <w:tr>
        <w:trPr>
          <w:trHeight w:val="32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24"/>
                <w:szCs w:val="24"/>
                <w:color w:val="auto"/>
              </w:rPr>
            </w:pPr>
          </w:p>
        </w:tc>
        <w:tc>
          <w:tcPr>
            <w:tcW w:w="1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8"/>
              </w:rPr>
              <w:t>Opinion of Dentons US LLP.</w:t>
            </w:r>
          </w:p>
        </w:tc>
        <w:tc>
          <w:tcPr>
            <w:tcW w:w="8400" w:type="dxa"/>
            <w:vAlign w:val="bottom"/>
            <w:gridSpan w:val="14"/>
          </w:tcPr>
          <w:p>
            <w:pPr>
              <w:spacing w:after="0"/>
              <w:rPr>
                <w:sz w:val="24"/>
                <w:szCs w:val="2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5"/>
                <w:szCs w:val="15"/>
                <w:color w:val="0000EE"/>
                <w:w w:val="99"/>
              </w:rPr>
              <w:t>Consent of Deloitte &amp; Touche LLP</w:t>
            </w:r>
          </w:p>
        </w:tc>
        <w:tc>
          <w:tcPr>
            <w:tcW w:w="8040" w:type="dxa"/>
            <w:vAlign w:val="bottom"/>
            <w:gridSpan w:val="12"/>
          </w:tcPr>
          <w:p>
            <w:pPr>
              <w:spacing w:after="0"/>
              <w:rPr>
                <w:sz w:val="24"/>
                <w:szCs w:val="2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Consent of Ernst &amp; Young LLP</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24"/>
                <w:szCs w:val="24"/>
                <w:color w:val="auto"/>
              </w:rPr>
            </w:pPr>
          </w:p>
        </w:tc>
        <w:tc>
          <w:tcPr>
            <w:tcW w:w="3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Consent of Dentons US LLP (included in Exhibit 5.1)</w:t>
            </w:r>
          </w:p>
        </w:tc>
        <w:tc>
          <w:tcPr>
            <w:tcW w:w="6900" w:type="dxa"/>
            <w:vAlign w:val="bottom"/>
            <w:gridSpan w:val="9"/>
          </w:tcPr>
          <w:p>
            <w:pPr>
              <w:spacing w:after="0"/>
              <w:rPr>
                <w:sz w:val="24"/>
                <w:szCs w:val="24"/>
                <w:color w:val="auto"/>
              </w:rPr>
            </w:pPr>
          </w:p>
        </w:tc>
      </w:tr>
      <w:tr>
        <w:trPr>
          <w:trHeight w:val="34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0000EE"/>
              </w:rPr>
              <w:t>Powers of Attorney (incorporated by reference to the signature page hereto).</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gridSpan w:val="10"/>
            <w:shd w:val="clear" w:color="auto" w:fill="0000EE"/>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r>
      <w:tr>
        <w:trPr>
          <w:trHeight w:val="37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5"/>
                <w:szCs w:val="15"/>
                <w:color w:val="auto"/>
              </w:rPr>
              <w:t>Statement of Eligibility on Form T-1 under the Trust Indenture Act of 1939, as amended, of Debt Trustee (to be filed prior to any issuance of Debt Securities).</w:t>
            </w:r>
          </w:p>
        </w:tc>
      </w:tr>
    </w:tbl>
    <w:p>
      <w:pPr>
        <w:spacing w:after="0" w:line="166" w:lineRule="exact"/>
        <w:rPr>
          <w:sz w:val="20"/>
          <w:szCs w:val="20"/>
          <w:color w:val="auto"/>
        </w:rPr>
      </w:pPr>
    </w:p>
    <w:p>
      <w:pPr>
        <w:ind w:left="1110" w:hanging="1110"/>
        <w:spacing w:after="0"/>
        <w:tabs>
          <w:tab w:leader="none" w:pos="111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Filing Fee Table.</w:t>
      </w:r>
    </w:p>
    <w:p>
      <w:pPr>
        <w:spacing w:after="0" w:line="190" w:lineRule="exact"/>
        <w:rPr>
          <w:sz w:val="20"/>
          <w:szCs w:val="20"/>
          <w:color w:val="auto"/>
        </w:rPr>
      </w:pPr>
    </w:p>
    <w:p>
      <w:pPr>
        <w:ind w:left="10" w:right="4700" w:hanging="10"/>
        <w:spacing w:after="0" w:line="536" w:lineRule="auto"/>
        <w:tabs>
          <w:tab w:leader="none" w:pos="145"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by amendment or incorporated by reference in connection with the offering of the securities. ** To be filed in accordance with the requirements of Section 305(b)(2) of the Trust Indenture Act of 1939.</w:t>
      </w:r>
    </w:p>
    <w:p>
      <w:pPr>
        <w:spacing w:after="0" w:line="36"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87"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color w:val="auto"/>
        </w:rPr>
        <w:t>Pursuant to the requirement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this 30th day of December 2025.</w:t>
      </w:r>
    </w:p>
    <w:p>
      <w:pPr>
        <w:spacing w:after="0" w:line="14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b w:val="1"/>
          <w:bCs w:val="1"/>
          <w:color w:val="auto"/>
        </w:rPr>
        <w:t>ARCTURUS THERAPEUTICS HOLDINGS INC.</w:t>
      </w:r>
    </w:p>
    <w:p>
      <w:pPr>
        <w:spacing w:after="0" w:line="194" w:lineRule="exact"/>
        <w:rPr>
          <w:sz w:val="20"/>
          <w:szCs w:val="20"/>
          <w:color w:val="auto"/>
        </w:rPr>
      </w:pPr>
    </w:p>
    <w:p>
      <w:pPr>
        <w:ind w:left="6880"/>
        <w:spacing w:after="0"/>
        <w:tabs>
          <w:tab w:leader="none" w:pos="7300" w:val="left"/>
        </w:tabs>
        <w:rPr>
          <w:sz w:val="20"/>
          <w:szCs w:val="20"/>
          <w:color w:val="auto"/>
        </w:rPr>
      </w:pPr>
      <w:r>
        <w:rPr>
          <w:rFonts w:ascii="Times New Roman" w:cs="Times New Roman" w:eastAsia="Times New Roman" w:hAnsi="Times New Roman"/>
          <w:sz w:val="15"/>
          <w:szCs w:val="15"/>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14605</wp:posOffset>
            </wp:positionV>
            <wp:extent cx="24999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2499995" cy="6985"/>
                    </a:xfrm>
                    <a:prstGeom prst="rect">
                      <a:avLst/>
                    </a:prstGeom>
                    <a:noFill/>
                  </pic:spPr>
                </pic:pic>
              </a:graphicData>
            </a:graphic>
          </wp:anchor>
        </w:drawing>
      </w:r>
    </w:p>
    <w:p>
      <w:pPr>
        <w:spacing w:after="0" w:line="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Joseph E. Payne</w:t>
      </w:r>
    </w:p>
    <w:p>
      <w:pPr>
        <w:spacing w:after="0" w:line="2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Each person whose signature appears below constitutes and appoints Joseph E. Payne and Joe Roberts, and each of them,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Act, this Registration Statement has been signed by the following persons in the capacities and on the dates indicated below.</w:t>
      </w:r>
    </w:p>
    <w:p>
      <w:pPr>
        <w:sectPr>
          <w:pgSz w:w="11900" w:h="16838" w:orient="portrait"/>
          <w:cols w:equalWidth="0" w:num="1">
            <w:col w:w="11260"/>
          </w:cols>
          <w:pgMar w:left="320" w:top="687" w:right="3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4707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2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Joseph E. Payne</w:t>
      </w: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/s/ Dr. Moncef Slaoui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Dr. Moncef Slaoui</w:t>
      </w: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/s/ Joe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Joe Roberts</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 Dr.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247078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Dr. Magda Marquet</w:t>
      </w: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/s/ James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James Barlow</w:t>
      </w: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/s/ Edward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b w:val="1"/>
          <w:bCs w:val="1"/>
          <w:color w:val="auto"/>
        </w:rPr>
        <w:t>Edward Holmes</w:t>
      </w:r>
    </w:p>
    <w:p>
      <w:pPr>
        <w:spacing w:after="0" w:line="2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5"/>
          <w:szCs w:val="15"/>
          <w:color w:val="auto"/>
        </w:rPr>
        <w:t>/s/ Dr. Peter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Dr. Peter Farrell</w:t>
      </w:r>
    </w:p>
    <w:p>
      <w:pPr>
        <w:spacing w:after="0" w:line="2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 Dr. John Markels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5"/>
          <w:szCs w:val="15"/>
          <w:b w:val="1"/>
          <w:bCs w:val="1"/>
          <w:color w:val="auto"/>
        </w:rPr>
        <w:t>Dr. John Markels</w:t>
      </w:r>
    </w:p>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/s/ Jing Marantz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47078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2470785" cy="6985"/>
                    </a:xfrm>
                    <a:prstGeom prst="rect">
                      <a:avLst/>
                    </a:prstGeom>
                    <a:noFill/>
                  </pic:spPr>
                </pic:pic>
              </a:graphicData>
            </a:graphic>
          </wp:anchor>
        </w:drawing>
      </w:r>
    </w:p>
    <w:p>
      <w:pPr>
        <w:spacing w:after="0" w:line="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b w:val="1"/>
          <w:bCs w:val="1"/>
          <w:color w:val="auto"/>
        </w:rPr>
        <w:t>Jing Marantz</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140" w:type="dxa"/>
            <w:vAlign w:val="bottom"/>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411"/>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204"/>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9"/>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Chairman of the Board</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Controller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204"/>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19"/>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622"/>
        </w:trPr>
        <w:tc>
          <w:tcPr>
            <w:tcW w:w="4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30, 2025</w:t>
            </w:r>
          </w:p>
        </w:tc>
      </w:tr>
      <w:tr>
        <w:trPr>
          <w:trHeight w:val="588"/>
        </w:trPr>
        <w:tc>
          <w:tcPr>
            <w:tcW w:w="482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II-6</w:t>
            </w: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0</wp:posOffset>
            </wp:positionV>
            <wp:extent cx="71545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2">
            <w:col w:w="3340" w:space="720"/>
            <w:col w:w="7200"/>
          </w:cols>
          <w:pgMar w:left="320" w:top="687" w:right="3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7380" w:type="dxa"/>
            <w:vAlign w:val="bottom"/>
            <w:gridSpan w:val="3"/>
          </w:tcPr>
          <w:p>
            <w:pPr>
              <w:jc w:val="center"/>
              <w:ind w:right="3805"/>
              <w:spacing w:after="0"/>
              <w:rPr>
                <w:sz w:val="20"/>
                <w:szCs w:val="20"/>
                <w:color w:val="auto"/>
              </w:rPr>
            </w:pPr>
            <w:r>
              <w:rPr>
                <w:rFonts w:ascii="Times New Roman" w:cs="Times New Roman" w:eastAsia="Times New Roman" w:hAnsi="Times New Roman"/>
                <w:sz w:val="15"/>
                <w:szCs w:val="15"/>
                <w:b w:val="1"/>
                <w:bCs w:val="1"/>
                <w:color w:val="auto"/>
              </w:rPr>
              <w:t>ARCTURUS THERAPEUTICS HOLDINGS INC.</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25"/>
              <w:spacing w:after="0"/>
              <w:rPr>
                <w:sz w:val="20"/>
                <w:szCs w:val="20"/>
                <w:color w:val="auto"/>
              </w:rPr>
            </w:pPr>
            <w:r>
              <w:rPr>
                <w:rFonts w:ascii="Times New Roman" w:cs="Times New Roman" w:eastAsia="Times New Roman" w:hAnsi="Times New Roman"/>
                <w:sz w:val="15"/>
                <w:szCs w:val="15"/>
                <w:b w:val="1"/>
                <w:bCs w:val="1"/>
                <w:color w:val="auto"/>
              </w:rPr>
              <w:t>Issuer</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25"/>
              <w:spacing w:after="0"/>
              <w:rPr>
                <w:sz w:val="20"/>
                <w:szCs w:val="20"/>
                <w:color w:val="auto"/>
              </w:rPr>
            </w:pPr>
            <w:r>
              <w:rPr>
                <w:rFonts w:ascii="Times New Roman" w:cs="Times New Roman" w:eastAsia="Times New Roman" w:hAnsi="Times New Roman"/>
                <w:sz w:val="15"/>
                <w:szCs w:val="15"/>
                <w:b w:val="1"/>
                <w:bCs w:val="1"/>
                <w:color w:val="auto"/>
                <w:w w:val="98"/>
              </w:rPr>
              <w:t>AND</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05"/>
              <w:spacing w:after="0"/>
              <w:rPr>
                <w:sz w:val="20"/>
                <w:szCs w:val="20"/>
                <w:color w:val="auto"/>
              </w:rPr>
            </w:pPr>
            <w:r>
              <w:rPr>
                <w:rFonts w:ascii="Times New Roman" w:cs="Times New Roman" w:eastAsia="Times New Roman" w:hAnsi="Times New Roman"/>
                <w:sz w:val="15"/>
                <w:szCs w:val="15"/>
                <w:b w:val="1"/>
                <w:bCs w:val="1"/>
                <w:color w:val="auto"/>
                <w:w w:val="99"/>
              </w:rPr>
              <w:t>as Trustee</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05"/>
              <w:spacing w:after="0"/>
              <w:rPr>
                <w:sz w:val="20"/>
                <w:szCs w:val="20"/>
                <w:color w:val="auto"/>
              </w:rPr>
            </w:pPr>
            <w:r>
              <w:rPr>
                <w:rFonts w:ascii="Times New Roman" w:cs="Times New Roman" w:eastAsia="Times New Roman" w:hAnsi="Times New Roman"/>
                <w:sz w:val="15"/>
                <w:szCs w:val="15"/>
                <w:b w:val="1"/>
                <w:bCs w:val="1"/>
                <w:color w:val="auto"/>
                <w:w w:val="99"/>
              </w:rPr>
              <w:t>INDENTURE</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25"/>
              <w:spacing w:after="0"/>
              <w:rPr>
                <w:sz w:val="20"/>
                <w:szCs w:val="20"/>
                <w:color w:val="auto"/>
              </w:rPr>
            </w:pPr>
            <w:r>
              <w:rPr>
                <w:rFonts w:ascii="Times New Roman" w:cs="Times New Roman" w:eastAsia="Times New Roman" w:hAnsi="Times New Roman"/>
                <w:sz w:val="15"/>
                <w:szCs w:val="15"/>
                <w:b w:val="1"/>
                <w:bCs w:val="1"/>
                <w:color w:val="auto"/>
              </w:rPr>
              <w:t>Dated as of ,</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05"/>
              <w:spacing w:after="0"/>
              <w:rPr>
                <w:sz w:val="20"/>
                <w:szCs w:val="20"/>
                <w:color w:val="auto"/>
              </w:rPr>
            </w:pPr>
            <w:r>
              <w:rPr>
                <w:rFonts w:ascii="Times New Roman" w:cs="Times New Roman" w:eastAsia="Times New Roman" w:hAnsi="Times New Roman"/>
                <w:sz w:val="15"/>
                <w:szCs w:val="15"/>
                <w:b w:val="1"/>
                <w:bCs w:val="1"/>
                <w:color w:val="auto"/>
              </w:rPr>
              <w:t>Debt Securities</w:t>
            </w:r>
          </w:p>
        </w:tc>
      </w:tr>
      <w:tr>
        <w:trPr>
          <w:trHeight w:val="362"/>
        </w:trPr>
        <w:tc>
          <w:tcPr>
            <w:tcW w:w="3880" w:type="dxa"/>
            <w:vAlign w:val="bottom"/>
          </w:tcPr>
          <w:p>
            <w:pPr>
              <w:spacing w:after="0"/>
              <w:rPr>
                <w:sz w:val="24"/>
                <w:szCs w:val="24"/>
                <w:color w:val="auto"/>
              </w:rPr>
            </w:pPr>
          </w:p>
        </w:tc>
        <w:tc>
          <w:tcPr>
            <w:tcW w:w="7380" w:type="dxa"/>
            <w:vAlign w:val="bottom"/>
            <w:gridSpan w:val="3"/>
          </w:tcPr>
          <w:p>
            <w:pPr>
              <w:jc w:val="center"/>
              <w:ind w:right="3825"/>
              <w:spacing w:after="0"/>
              <w:rPr>
                <w:sz w:val="20"/>
                <w:szCs w:val="20"/>
                <w:color w:val="auto"/>
              </w:rPr>
            </w:pPr>
            <w:r>
              <w:rPr>
                <w:rFonts w:ascii="Times New Roman" w:cs="Times New Roman" w:eastAsia="Times New Roman" w:hAnsi="Times New Roman"/>
                <w:sz w:val="15"/>
                <w:szCs w:val="15"/>
                <w:b w:val="1"/>
                <w:bCs w:val="1"/>
                <w:color w:val="auto"/>
              </w:rPr>
              <w:t>CROSS-REFERENCE TABLE(1)</w:t>
            </w:r>
          </w:p>
        </w:tc>
      </w:tr>
      <w:tr>
        <w:trPr>
          <w:trHeight w:val="362"/>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b w:val="1"/>
                <w:bCs w:val="1"/>
                <w:color w:val="auto"/>
                <w:w w:val="99"/>
              </w:rPr>
              <w:t>SECTION OF</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2"/>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b w:val="1"/>
                <w:bCs w:val="1"/>
                <w:color w:val="auto"/>
              </w:rPr>
              <w:t>TRUST INDENTURE</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SECTION(S) OF</w:t>
            </w:r>
          </w:p>
        </w:tc>
      </w:tr>
      <w:tr>
        <w:trPr>
          <w:trHeight w:val="362"/>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b w:val="1"/>
                <w:bCs w:val="1"/>
                <w:color w:val="auto"/>
              </w:rPr>
              <w:t>ACT OF 1939, AS AMENDED</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INDENTURE</w:t>
            </w:r>
          </w:p>
        </w:tc>
      </w:tr>
      <w:tr>
        <w:trPr>
          <w:trHeight w:val="180"/>
        </w:trPr>
        <w:tc>
          <w:tcPr>
            <w:tcW w:w="38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520" w:type="dxa"/>
            <w:vAlign w:val="bottom"/>
            <w:tcBorders>
              <w:bottom w:val="single" w:sz="8" w:color="auto"/>
            </w:tcBorders>
          </w:tcPr>
          <w:p>
            <w:pPr>
              <w:spacing w:after="0"/>
              <w:rPr>
                <w:sz w:val="15"/>
                <w:szCs w:val="15"/>
                <w:color w:val="auto"/>
              </w:rPr>
            </w:pPr>
          </w:p>
        </w:tc>
      </w:tr>
      <w:tr>
        <w:trPr>
          <w:trHeight w:val="172"/>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310(a)</w:t>
            </w: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7.9</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310(b)</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7.8</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311(a)</w:t>
            </w:r>
          </w:p>
        </w:tc>
        <w:tc>
          <w:tcPr>
            <w:tcW w:w="7380" w:type="dxa"/>
            <w:vAlign w:val="bottom"/>
            <w:gridSpan w:val="3"/>
            <w:shd w:val="clear" w:color="auto" w:fill="CCEEFF"/>
          </w:tcPr>
          <w:p>
            <w:pPr>
              <w:jc w:val="center"/>
              <w:ind w:left="1765"/>
              <w:spacing w:after="0"/>
              <w:rPr>
                <w:sz w:val="20"/>
                <w:szCs w:val="20"/>
                <w:color w:val="auto"/>
              </w:rPr>
            </w:pPr>
            <w:r>
              <w:rPr>
                <w:rFonts w:ascii="Times New Roman" w:cs="Times New Roman" w:eastAsia="Times New Roman" w:hAnsi="Times New Roman"/>
                <w:sz w:val="15"/>
                <w:szCs w:val="15"/>
                <w:color w:val="auto"/>
                <w:w w:val="98"/>
              </w:rPr>
              <w:t>7.13</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311(b)</w:t>
            </w:r>
          </w:p>
        </w:tc>
        <w:tc>
          <w:tcPr>
            <w:tcW w:w="7380" w:type="dxa"/>
            <w:vAlign w:val="bottom"/>
            <w:gridSpan w:val="3"/>
          </w:tcPr>
          <w:p>
            <w:pPr>
              <w:jc w:val="center"/>
              <w:ind w:left="1765"/>
              <w:spacing w:after="0"/>
              <w:rPr>
                <w:sz w:val="20"/>
                <w:szCs w:val="20"/>
                <w:color w:val="auto"/>
              </w:rPr>
            </w:pPr>
            <w:r>
              <w:rPr>
                <w:rFonts w:ascii="Times New Roman" w:cs="Times New Roman" w:eastAsia="Times New Roman" w:hAnsi="Times New Roman"/>
                <w:sz w:val="15"/>
                <w:szCs w:val="15"/>
                <w:color w:val="auto"/>
                <w:w w:val="98"/>
              </w:rPr>
              <w:t>7.13</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312(a)</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 5.2(a)</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312(b)</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5.2(b)</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312(c)</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5.2(c)</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313(a)</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5.4</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313(b)</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5.4</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313(c)</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5.4</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313(d)</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5.4</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314(a)</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w w:val="99"/>
              </w:rPr>
              <w:t>5.3, 14.12</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314(c)</w:t>
            </w:r>
          </w:p>
        </w:tc>
        <w:tc>
          <w:tcPr>
            <w:tcW w:w="1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14.7(a)</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314(e)</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14.7(b)</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315(a)</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7.1</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315(b)</w:t>
            </w:r>
          </w:p>
        </w:tc>
        <w:tc>
          <w:tcPr>
            <w:tcW w:w="7380" w:type="dxa"/>
            <w:vAlign w:val="bottom"/>
            <w:gridSpan w:val="3"/>
          </w:tcPr>
          <w:p>
            <w:pPr>
              <w:jc w:val="center"/>
              <w:ind w:left="1765"/>
              <w:spacing w:after="0"/>
              <w:rPr>
                <w:sz w:val="20"/>
                <w:szCs w:val="20"/>
                <w:color w:val="auto"/>
              </w:rPr>
            </w:pPr>
            <w:r>
              <w:rPr>
                <w:rFonts w:ascii="Times New Roman" w:cs="Times New Roman" w:eastAsia="Times New Roman" w:hAnsi="Times New Roman"/>
                <w:sz w:val="15"/>
                <w:szCs w:val="15"/>
                <w:color w:val="auto"/>
                <w:w w:val="98"/>
              </w:rPr>
              <w:t>7.14</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315(c)</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7.1</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315(d)</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7.1</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315(e)</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6.7</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316(a)</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w w:val="97"/>
              </w:rPr>
              <w:t>6.6, 8.4</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316(b)</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6.4</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rPr>
              <w:t>316(c)</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8.1</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317(a)</w:t>
            </w:r>
          </w:p>
        </w:tc>
        <w:tc>
          <w:tcPr>
            <w:tcW w:w="7380" w:type="dxa"/>
            <w:vAlign w:val="bottom"/>
            <w:gridSpan w:val="3"/>
            <w:shd w:val="clear" w:color="auto" w:fill="CCEEFF"/>
          </w:tcPr>
          <w:p>
            <w:pPr>
              <w:jc w:val="center"/>
              <w:ind w:left="1785"/>
              <w:spacing w:after="0"/>
              <w:rPr>
                <w:sz w:val="20"/>
                <w:szCs w:val="20"/>
                <w:color w:val="auto"/>
              </w:rPr>
            </w:pPr>
            <w:r>
              <w:rPr>
                <w:rFonts w:ascii="Times New Roman" w:cs="Times New Roman" w:eastAsia="Times New Roman" w:hAnsi="Times New Roman"/>
                <w:sz w:val="15"/>
                <w:szCs w:val="15"/>
                <w:color w:val="auto"/>
              </w:rPr>
              <w:t>6.2</w:t>
            </w:r>
          </w:p>
        </w:tc>
      </w:tr>
      <w:tr>
        <w:trPr>
          <w:trHeight w:val="181"/>
        </w:trPr>
        <w:tc>
          <w:tcPr>
            <w:tcW w:w="3880" w:type="dxa"/>
            <w:vAlign w:val="bottom"/>
          </w:tcPr>
          <w:p>
            <w:pPr>
              <w:jc w:val="center"/>
              <w:ind w:left="1565"/>
              <w:spacing w:after="0"/>
              <w:rPr>
                <w:sz w:val="20"/>
                <w:szCs w:val="20"/>
                <w:color w:val="auto"/>
              </w:rPr>
            </w:pPr>
            <w:r>
              <w:rPr>
                <w:rFonts w:ascii="Times New Roman" w:cs="Times New Roman" w:eastAsia="Times New Roman" w:hAnsi="Times New Roman"/>
                <w:sz w:val="15"/>
                <w:szCs w:val="15"/>
                <w:color w:val="auto"/>
                <w:w w:val="99"/>
              </w:rPr>
              <w:t>317(b)</w:t>
            </w:r>
          </w:p>
        </w:tc>
        <w:tc>
          <w:tcPr>
            <w:tcW w:w="7380" w:type="dxa"/>
            <w:vAlign w:val="bottom"/>
            <w:gridSpan w:val="3"/>
          </w:tcPr>
          <w:p>
            <w:pPr>
              <w:jc w:val="center"/>
              <w:ind w:left="1785"/>
              <w:spacing w:after="0"/>
              <w:rPr>
                <w:sz w:val="20"/>
                <w:szCs w:val="20"/>
                <w:color w:val="auto"/>
              </w:rPr>
            </w:pPr>
            <w:r>
              <w:rPr>
                <w:rFonts w:ascii="Times New Roman" w:cs="Times New Roman" w:eastAsia="Times New Roman" w:hAnsi="Times New Roman"/>
                <w:sz w:val="15"/>
                <w:szCs w:val="15"/>
                <w:color w:val="auto"/>
              </w:rPr>
              <w:t>4.2</w:t>
            </w:r>
          </w:p>
        </w:tc>
      </w:tr>
      <w:tr>
        <w:trPr>
          <w:trHeight w:val="181"/>
        </w:trPr>
        <w:tc>
          <w:tcPr>
            <w:tcW w:w="3880" w:type="dxa"/>
            <w:vAlign w:val="bottom"/>
            <w:shd w:val="clear" w:color="auto" w:fill="CCEEFF"/>
          </w:tcPr>
          <w:p>
            <w:pPr>
              <w:jc w:val="center"/>
              <w:ind w:left="1565"/>
              <w:spacing w:after="0"/>
              <w:rPr>
                <w:sz w:val="20"/>
                <w:szCs w:val="20"/>
                <w:color w:val="auto"/>
              </w:rPr>
            </w:pPr>
            <w:r>
              <w:rPr>
                <w:rFonts w:ascii="Times New Roman" w:cs="Times New Roman" w:eastAsia="Times New Roman" w:hAnsi="Times New Roman"/>
                <w:sz w:val="15"/>
                <w:szCs w:val="15"/>
                <w:color w:val="auto"/>
              </w:rPr>
              <w:t>318(a)</w:t>
            </w:r>
          </w:p>
        </w:tc>
        <w:tc>
          <w:tcPr>
            <w:tcW w:w="7380" w:type="dxa"/>
            <w:vAlign w:val="bottom"/>
            <w:gridSpan w:val="3"/>
            <w:shd w:val="clear" w:color="auto" w:fill="CCEEFF"/>
          </w:tcPr>
          <w:p>
            <w:pPr>
              <w:jc w:val="center"/>
              <w:ind w:left="1765"/>
              <w:spacing w:after="0"/>
              <w:rPr>
                <w:sz w:val="20"/>
                <w:szCs w:val="20"/>
                <w:color w:val="auto"/>
              </w:rPr>
            </w:pPr>
            <w:r>
              <w:rPr>
                <w:rFonts w:ascii="Times New Roman" w:cs="Times New Roman" w:eastAsia="Times New Roman" w:hAnsi="Times New Roman"/>
                <w:sz w:val="15"/>
                <w:szCs w:val="15"/>
                <w:color w:val="auto"/>
                <w:w w:val="98"/>
              </w:rPr>
              <w:t>14.9</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71545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40" w:type="dxa"/>
            <w:vAlign w:val="bottom"/>
          </w:tcPr>
          <w:p>
            <w:pPr>
              <w:ind w:left="31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66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6"/>
              </w:rPr>
              <w:t>ARTICLE I DEFINITIONS</w:t>
            </w:r>
          </w:p>
        </w:tc>
        <w:tc>
          <w:tcPr>
            <w:tcW w:w="744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FEFEFE"/>
          </w:tcPr>
          <w:p>
            <w:pPr>
              <w:spacing w:after="0"/>
              <w:rPr>
                <w:sz w:val="15"/>
                <w:szCs w:val="15"/>
                <w:color w:val="auto"/>
              </w:rPr>
            </w:pPr>
          </w:p>
        </w:tc>
        <w:tc>
          <w:tcPr>
            <w:tcW w:w="7440" w:type="dxa"/>
            <w:vAlign w:val="bottom"/>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1.1</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Definitions of Terms.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1.2</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100" w:type="dxa"/>
            <w:vAlign w:val="bottom"/>
            <w:gridSpan w:val="2"/>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ARTICLE II ISSUE, DESCRIPTION, TERMS, EXECUTION, REGISTRATION AND EXCHANGE OF SECURITIES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74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2.1</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Designation and Terms of Securities.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2.2</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Securities and Trustee’s Certificate.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2.3</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Denominations; Provisions for Payment.</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2.4</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Execution and Authentication.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2.5</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Registration of Transfer and Exchange.</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2.6</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Temporary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2.7</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Mutilated, Destroyed, Lost or Stolen Securities.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2.8</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Cancellation.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2.9</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Benefits of Indenture.</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2.10</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Authenticating Agent.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2.11</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Global Securities.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2.12</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Cusip and Isin Numbers.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100" w:type="dxa"/>
            <w:vAlign w:val="bottom"/>
            <w:gridSpan w:val="2"/>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III REDEMPTION OF SECURITIES AND SINKING FUND PROVISIONS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FEFEFE"/>
          </w:tcPr>
          <w:p>
            <w:pPr>
              <w:spacing w:after="0"/>
              <w:rPr>
                <w:sz w:val="15"/>
                <w:szCs w:val="15"/>
                <w:color w:val="auto"/>
              </w:rPr>
            </w:pPr>
          </w:p>
        </w:tc>
        <w:tc>
          <w:tcPr>
            <w:tcW w:w="7440" w:type="dxa"/>
            <w:vAlign w:val="bottom"/>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Redemption.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3.2</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Notice of Redemption.</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3.3</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upon Redemption.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3.4</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Sinking Fund.</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3.5</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3.6</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100" w:type="dxa"/>
            <w:vAlign w:val="bottom"/>
            <w:gridSpan w:val="2"/>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74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4.1</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Payment of Principal, Premium and Interest.</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4.2</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Paying Agent and Security Registrar.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4.3</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Appointment to Fill Vacancy in Office of Trustee.</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4.4</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Compliance with Consolidation Provisions.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100" w:type="dxa"/>
            <w:vAlign w:val="bottom"/>
            <w:gridSpan w:val="2"/>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 SECURITYHOLDERS’ LISTS AND REPORTS BY THE COMPANY AND THE TRUSTEE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FEFEFE"/>
          </w:tcPr>
          <w:p>
            <w:pPr>
              <w:spacing w:after="0"/>
              <w:rPr>
                <w:sz w:val="15"/>
                <w:szCs w:val="15"/>
                <w:color w:val="auto"/>
              </w:rPr>
            </w:pPr>
          </w:p>
        </w:tc>
        <w:tc>
          <w:tcPr>
            <w:tcW w:w="7440" w:type="dxa"/>
            <w:vAlign w:val="bottom"/>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5.1</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 to Furnish Trustee Names and Addresses of Securityholders.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5.2</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Preservation of Information; Communications with Securityholders.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5.3</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Reports by the Company.</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5.4</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Reports by the Trustee.</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10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 REMEDIES OF THE TRUSTEE AND SECURITYHOLDERS ON EVENT OF DEFAULT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660" w:type="dxa"/>
            <w:vAlign w:val="bottom"/>
            <w:shd w:val="clear" w:color="auto" w:fill="FEFEFE"/>
          </w:tcPr>
          <w:p>
            <w:pPr>
              <w:spacing w:after="0"/>
              <w:rPr>
                <w:sz w:val="15"/>
                <w:szCs w:val="15"/>
                <w:color w:val="auto"/>
              </w:rPr>
            </w:pPr>
          </w:p>
        </w:tc>
        <w:tc>
          <w:tcPr>
            <w:tcW w:w="7440" w:type="dxa"/>
            <w:vAlign w:val="bottom"/>
            <w:shd w:val="clear" w:color="auto" w:fill="FEFEFE"/>
          </w:tcPr>
          <w:p>
            <w:pPr>
              <w:spacing w:after="0"/>
              <w:rPr>
                <w:sz w:val="15"/>
                <w:szCs w:val="15"/>
                <w:color w:val="auto"/>
              </w:rPr>
            </w:pPr>
          </w:p>
        </w:tc>
        <w:tc>
          <w:tcPr>
            <w:tcW w:w="214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6.1</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Events of Default.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6.2</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6.3</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Application of Moneys Collected.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6.4</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Limitation on Suits.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6.5</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Rights and Remedies Cumulative; Delay or Omission not Waiver.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6.6</w:t>
            </w:r>
          </w:p>
        </w:tc>
        <w:tc>
          <w:tcPr>
            <w:tcW w:w="744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Control by Securityholders.</w:t>
            </w:r>
          </w:p>
        </w:tc>
        <w:tc>
          <w:tcPr>
            <w:tcW w:w="2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6.7</w:t>
            </w: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Undertaking to Pay Costs.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7" w:right="3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ARTICLE VII CONCERNING THE TRUSTEE</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7.1</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Certain Duties and Responsibilities of Trustee.</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Certain Rights of Trustee.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7.3</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Trustee not Responsible for Recitals or Issuance or Securities.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7.4</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May Hold Securities and Otherwise Deal with the Company.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7.5</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Moneys Held in Trust.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7.6</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Compensation and Reimbursement.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7.7</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Reliance on Officer’s Certificate.</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7.8</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Disqualification; Conflicting Interests.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7.9</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Corporate Trustee Required; Eligibility.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7.10</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Resignation and Removal; Appointment of Successor.</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7.11</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Acceptance of Appointment by Successor.</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7.12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Merger, Conversion, Consolidation or Succession to Business.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7.13</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Preferential Collection of Claims Against the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7.14</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Notice of Default.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7.15</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Limitation of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34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VIII CONCERNING THE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8.1</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Evidence of Action by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8.2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Proof of Execution by Securityholders.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8.3</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Who may be Deemed Owners.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8.4</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Certain Securities Owned by Company Disregarded.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8.5</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Actions Binding on Future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34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9.1</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Supplemental Indentures without the Consent of Securityholders.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9.2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Supplemental Indentures with the Consent of Securityholders.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9.3</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Effect of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9.4</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Securities Affected by Supplemental Indentures.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9.5</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Execution of Supplemental Indentures.</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34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 SUCCESSOR ENTITY</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10.1</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Company may Consolidate,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10.2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Successor Entity Substituted.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Section 10.3</w:t>
            </w:r>
          </w:p>
        </w:tc>
        <w:tc>
          <w:tcPr>
            <w:tcW w:w="81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Evidence of Consolidation, etc. To Trustee.</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934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XI SATISFACTION AND DISCHARGE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FEFEFE"/>
          </w:tcPr>
          <w:p>
            <w:pPr>
              <w:spacing w:after="0"/>
              <w:rPr>
                <w:sz w:val="15"/>
                <w:szCs w:val="15"/>
                <w:color w:val="auto"/>
              </w:rPr>
            </w:pPr>
          </w:p>
        </w:tc>
        <w:tc>
          <w:tcPr>
            <w:tcW w:w="8140" w:type="dxa"/>
            <w:vAlign w:val="bottom"/>
            <w:shd w:val="clear" w:color="auto" w:fill="FEFEFE"/>
          </w:tcPr>
          <w:p>
            <w:pPr>
              <w:spacing w:after="0"/>
              <w:rPr>
                <w:sz w:val="15"/>
                <w:szCs w:val="15"/>
                <w:color w:val="auto"/>
              </w:rPr>
            </w:pPr>
          </w:p>
        </w:tc>
        <w:tc>
          <w:tcPr>
            <w:tcW w:w="1900" w:type="dxa"/>
            <w:vAlign w:val="bottom"/>
            <w:shd w:val="clear" w:color="auto" w:fill="FEFEF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11.1</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11.2</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Application of Trust Money.</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34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ARTICLE XII LEGAL DEFEASANCE AND COVENANT DEFEASANCE</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12.1</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Option to Effect Legal Defeasance or Covenant Defeasance</w:t>
            </w:r>
            <w:r>
              <w:rPr>
                <w:rFonts w:ascii="Times New Roman" w:cs="Times New Roman" w:eastAsia="Times New Roman" w:hAnsi="Times New Roman"/>
                <w:sz w:val="15"/>
                <w:szCs w:val="15"/>
                <w:i w:val="1"/>
                <w:iCs w:val="1"/>
                <w:color w:val="auto"/>
              </w:rPr>
              <w:t>.</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12.2</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Legal Defeasance and Discharge</w:t>
            </w:r>
            <w:r>
              <w:rPr>
                <w:rFonts w:ascii="Times New Roman" w:cs="Times New Roman" w:eastAsia="Times New Roman" w:hAnsi="Times New Roman"/>
                <w:sz w:val="15"/>
                <w:szCs w:val="15"/>
                <w:i w:val="1"/>
                <w:i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12.3</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Covenant Defeasance</w:t>
            </w:r>
            <w:r>
              <w:rPr>
                <w:rFonts w:ascii="Times New Roman" w:cs="Times New Roman" w:eastAsia="Times New Roman" w:hAnsi="Times New Roman"/>
                <w:sz w:val="15"/>
                <w:szCs w:val="15"/>
                <w:i w:val="1"/>
                <w:iCs w:val="1"/>
                <w:color w:val="auto"/>
              </w:rPr>
              <w:t>.</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12.4</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Conditions to Legal or Covenant Defeasance</w:t>
            </w:r>
            <w:r>
              <w:rPr>
                <w:rFonts w:ascii="Times New Roman" w:cs="Times New Roman" w:eastAsia="Times New Roman" w:hAnsi="Times New Roman"/>
                <w:sz w:val="15"/>
                <w:szCs w:val="15"/>
                <w:i w:val="1"/>
                <w:i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12.5</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Deposited Money and Government Securities to be Held in Trust; other Miscellaneous Provisions</w:t>
            </w:r>
            <w:r>
              <w:rPr>
                <w:rFonts w:ascii="Times New Roman" w:cs="Times New Roman" w:eastAsia="Times New Roman" w:hAnsi="Times New Roman"/>
                <w:sz w:val="15"/>
                <w:szCs w:val="15"/>
                <w:i w:val="1"/>
                <w:iCs w:val="1"/>
                <w:color w:val="auto"/>
              </w:rPr>
              <w:t>.</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12.6</w:t>
            </w:r>
          </w:p>
        </w:tc>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Repayment to Company</w:t>
            </w:r>
            <w:r>
              <w:rPr>
                <w:rFonts w:ascii="Times New Roman" w:cs="Times New Roman" w:eastAsia="Times New Roman" w:hAnsi="Times New Roman"/>
                <w:sz w:val="15"/>
                <w:szCs w:val="15"/>
                <w:i w:val="1"/>
                <w:i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12.7</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Reinstatement.</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934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34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ARTICLE XIII IMMUNITY OF INCORPORATORS, STOCKHOLDERS, OFFICERS AND DIRECTORS</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Section 13.1</w:t>
            </w:r>
          </w:p>
        </w:tc>
        <w:tc>
          <w:tcPr>
            <w:tcW w:w="8140" w:type="dxa"/>
            <w:vAlign w:val="bottom"/>
            <w:shd w:val="clear" w:color="auto" w:fill="FEFEFE"/>
          </w:tcPr>
          <w:p>
            <w:pPr>
              <w:ind w:left="460"/>
              <w:spacing w:after="0"/>
              <w:rPr>
                <w:sz w:val="20"/>
                <w:szCs w:val="20"/>
                <w:color w:val="auto"/>
              </w:rPr>
            </w:pPr>
            <w:r>
              <w:rPr>
                <w:rFonts w:ascii="Times New Roman" w:cs="Times New Roman" w:eastAsia="Times New Roman" w:hAnsi="Times New Roman"/>
                <w:sz w:val="15"/>
                <w:szCs w:val="15"/>
                <w:color w:val="auto"/>
              </w:rPr>
              <w:t>No Recourse.</w:t>
            </w:r>
          </w:p>
        </w:tc>
        <w:tc>
          <w:tcPr>
            <w:tcW w:w="1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91" w:right="31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XIV MISCELLANEOUS PROVISIONS</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4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14.1</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Effect on Successors and Assigns.</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14.2</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Actions by Successor.</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14.3</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Surrender of Company Powers.</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14.4</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Notices.</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14.5</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Governing Law/Waiver of Jury Trial.</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14.6</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Treatment of Securities as Debt.</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14.7</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Compliance Certificates and Opinions.</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14.8</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Payments on Business Days.</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14.9</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Conflict with Trust Indenture Act.</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14.10</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Counterparts.</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14.11</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Severability.</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14.12</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Compliance Certificates.</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14.13</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Usa Patriot Act</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auto"/>
              </w:rPr>
              <w:t>Section 14.14</w:t>
            </w:r>
          </w:p>
        </w:tc>
        <w:tc>
          <w:tcPr>
            <w:tcW w:w="6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Consent to Jurisdiction and Service</w:t>
            </w:r>
          </w:p>
        </w:tc>
        <w:tc>
          <w:tcPr>
            <w:tcW w:w="3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14.15</w:t>
            </w:r>
          </w:p>
        </w:tc>
        <w:tc>
          <w:tcPr>
            <w:tcW w:w="6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Force Majeure</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05"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5"/>
          <w:szCs w:val="15"/>
          <w:b w:val="1"/>
          <w:bCs w:val="1"/>
          <w:color w:val="auto"/>
        </w:rPr>
        <w:t>INDENTURE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INDENTURE, dated as of , , among ARCTURUS THERAPEUTICS HOLDINGS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national banking association organized under the laws of the United States, as trustee (the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firstLine="543"/>
        <w:spacing w:after="0" w:line="268" w:lineRule="auto"/>
        <w:rPr>
          <w:sz w:val="20"/>
          <w:szCs w:val="20"/>
          <w:color w:val="auto"/>
        </w:rPr>
      </w:pPr>
      <w:r>
        <w:rPr>
          <w:rFonts w:ascii="Times New Roman" w:cs="Times New Roman" w:eastAsia="Times New Roman" w:hAnsi="Times New Roman"/>
          <w:sz w:val="15"/>
          <w:szCs w:val="15"/>
          <w:color w:val="auto"/>
        </w:rPr>
        <w:t>WHEREAS, for its lawful corporate purposes, the Company has duly authorized the execution and delivery of this Indenture to provide for the issuance of debt securities (hereinafter referred to as the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in an unlimited aggregate principal amount to be issued from time to time in one or more series as in this Indenture provided, as registered Securities without coupons, to be authenticated by the Trustee;</w:t>
      </w:r>
    </w:p>
    <w:p>
      <w:pPr>
        <w:spacing w:after="0" w:line="146" w:lineRule="exact"/>
        <w:rPr>
          <w:sz w:val="20"/>
          <w:szCs w:val="20"/>
          <w:color w:val="auto"/>
        </w:rPr>
      </w:pPr>
    </w:p>
    <w:p>
      <w:pPr>
        <w:jc w:val="both"/>
        <w:ind w:firstLine="543"/>
        <w:spacing w:after="0" w:line="285" w:lineRule="auto"/>
        <w:rPr>
          <w:sz w:val="20"/>
          <w:szCs w:val="20"/>
          <w:color w:val="auto"/>
        </w:rPr>
      </w:pPr>
      <w:r>
        <w:rPr>
          <w:rFonts w:ascii="Times New Roman" w:cs="Times New Roman" w:eastAsia="Times New Roman" w:hAnsi="Times New Roman"/>
          <w:sz w:val="15"/>
          <w:szCs w:val="15"/>
          <w:color w:val="auto"/>
        </w:rPr>
        <w:t>WHEREAS, to provide the terms and conditions upon which the Securities are to be authenticated, issued and delivered, the Company has duly authorized the execution of this Indenture; and</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all things necessary to make this Indenture a valid agreement of the Company, in accordance with its terms, have been done.</w:t>
      </w:r>
    </w:p>
    <w:p>
      <w:pPr>
        <w:spacing w:after="0" w:line="190" w:lineRule="exact"/>
        <w:rPr>
          <w:sz w:val="20"/>
          <w:szCs w:val="20"/>
          <w:color w:val="auto"/>
        </w:rPr>
      </w:pPr>
    </w:p>
    <w:p>
      <w:pPr>
        <w:jc w:val="both"/>
        <w:ind w:firstLine="543"/>
        <w:spacing w:after="0" w:line="285" w:lineRule="auto"/>
        <w:rPr>
          <w:sz w:val="20"/>
          <w:szCs w:val="20"/>
          <w:color w:val="auto"/>
        </w:rPr>
      </w:pPr>
      <w:r>
        <w:rPr>
          <w:rFonts w:ascii="Times New Roman" w:cs="Times New Roman" w:eastAsia="Times New Roman" w:hAnsi="Times New Roman"/>
          <w:sz w:val="15"/>
          <w:szCs w:val="15"/>
          <w:color w:val="auto"/>
        </w:rPr>
        <w:t>NOW, THEREFORE, in consideration of the premises and the purchase of the Securities by the holders thereof, it is mutually covenanted and agreed as follows for the equal and ratable benefit of the holders of Securities: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1.1</w:t>
      </w:r>
      <w:r>
        <w:rPr>
          <w:sz w:val="20"/>
          <w:szCs w:val="20"/>
          <w:color w:val="auto"/>
        </w:rPr>
        <w:tab/>
      </w:r>
      <w:r>
        <w:rPr>
          <w:rFonts w:ascii="Times New Roman" w:cs="Times New Roman" w:eastAsia="Times New Roman" w:hAnsi="Times New Roman"/>
          <w:sz w:val="15"/>
          <w:szCs w:val="15"/>
          <w:b w:val="1"/>
          <w:bCs w:val="1"/>
          <w:color w:val="auto"/>
        </w:rPr>
        <w:t>DEFINITIONS OF TERMS.</w:t>
      </w:r>
    </w:p>
    <w:p>
      <w:pPr>
        <w:spacing w:after="0" w:line="19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Authenticating Agent</w:t>
      </w:r>
      <w:r>
        <w:rPr>
          <w:rFonts w:ascii="Times New Roman" w:cs="Times New Roman" w:eastAsia="Times New Roman" w:hAnsi="Times New Roman"/>
          <w:sz w:val="15"/>
          <w:szCs w:val="15"/>
          <w:color w:val="auto"/>
        </w:rPr>
        <w:t>” means an authenticating agent with respect to all or any of the series of Securities appointed by the Trustee pursuant to Section 2.10.</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Authorized Officer</w:t>
      </w:r>
      <w:r>
        <w:rPr>
          <w:rFonts w:ascii="Times New Roman" w:cs="Times New Roman" w:eastAsia="Times New Roman" w:hAnsi="Times New Roman"/>
          <w:sz w:val="15"/>
          <w:szCs w:val="15"/>
          <w:color w:val="auto"/>
        </w:rPr>
        <w:t>,” when used with respect to the Company, means the Chairman of the Board of Directors, the Co-Chief Executive Officers, the President, the Chief Operating Officer, the Chief Financial Officer, the Treasurer, any Assistant Treasurer, the Controller, the Secretary or any Executive Vice President or Senior Vice President of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Law</w:t>
      </w:r>
      <w:r>
        <w:rPr>
          <w:rFonts w:ascii="Times New Roman" w:cs="Times New Roman" w:eastAsia="Times New Roman" w:hAnsi="Times New Roman"/>
          <w:sz w:val="15"/>
          <w:szCs w:val="15"/>
          <w:color w:val="auto"/>
        </w:rPr>
        <w:t>” means Title 11, U.S. Code, or any similar federal or state law for the relief of debtors.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means the Board of Directors of the Company or any duly authorized committee of such Board.</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Resolution</w:t>
      </w:r>
      <w:r>
        <w:rPr>
          <w:rFonts w:ascii="Times New Roman" w:cs="Times New Roman" w:eastAsia="Times New Roman" w:hAnsi="Times New Roman"/>
          <w:sz w:val="15"/>
          <w:szCs w:val="15"/>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1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means the Securities and Exchange Commission.</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Arcturus Therapeutics Holdings Inc., a corporation duly organized and existing under the laws of the State of Delaware, and, subject to the provisions of Article X, shall also include its successors and assigns.</w:t>
      </w:r>
    </w:p>
    <w:p>
      <w:pPr>
        <w:spacing w:after="0" w:line="12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Request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Company Order</w:t>
      </w:r>
      <w:r>
        <w:rPr>
          <w:rFonts w:ascii="Times New Roman" w:cs="Times New Roman" w:eastAsia="Times New Roman" w:hAnsi="Times New Roman"/>
          <w:sz w:val="15"/>
          <w:szCs w:val="15"/>
          <w:color w:val="auto"/>
        </w:rPr>
        <w:t>” means a written request or order signed in the name of the Company by one or more Authorized Officers of the Company, and delivered to the Trustee.</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Trust Office</w:t>
      </w:r>
      <w:r>
        <w:rPr>
          <w:rFonts w:ascii="Times New Roman" w:cs="Times New Roman" w:eastAsia="Times New Roman" w:hAnsi="Times New Roman"/>
          <w:sz w:val="15"/>
          <w:szCs w:val="15"/>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Covenant Defeasance</w:t>
      </w:r>
      <w:r>
        <w:rPr>
          <w:rFonts w:ascii="Times New Roman" w:cs="Times New Roman" w:eastAsia="Times New Roman" w:hAnsi="Times New Roman"/>
          <w:sz w:val="15"/>
          <w:szCs w:val="15"/>
          <w:color w:val="auto"/>
        </w:rPr>
        <w:t>” shall have the meaning set forth in Section 12.3.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Custodian</w:t>
      </w:r>
      <w:r>
        <w:rPr>
          <w:rFonts w:ascii="Times New Roman" w:cs="Times New Roman" w:eastAsia="Times New Roman" w:hAnsi="Times New Roman"/>
          <w:sz w:val="15"/>
          <w:szCs w:val="15"/>
          <w:color w:val="auto"/>
        </w:rPr>
        <w:t>” means any receiver, trustee, assignee, liquidator or similar official under any Bankruptcy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means any event, act or condition that with notice or lapse of time, or both, would constitute an Event of Default.</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w:t>
      </w:r>
      <w:r>
        <w:rPr>
          <w:rFonts w:ascii="Times New Roman" w:cs="Times New Roman" w:eastAsia="Times New Roman" w:hAnsi="Times New Roman"/>
          <w:sz w:val="15"/>
          <w:szCs w:val="15"/>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Event of Default</w:t>
      </w:r>
      <w:r>
        <w:rPr>
          <w:rFonts w:ascii="Times New Roman" w:cs="Times New Roman" w:eastAsia="Times New Roman" w:hAnsi="Times New Roman"/>
          <w:sz w:val="15"/>
          <w:szCs w:val="15"/>
          <w:color w:val="auto"/>
        </w:rPr>
        <w:t>” means, with respect to Securities of a particular series, any event specified in Section 6.1, continued for the period of time, if any, therein designated.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Security</w:t>
      </w:r>
      <w:r>
        <w:rPr>
          <w:rFonts w:ascii="Times New Roman" w:cs="Times New Roman" w:eastAsia="Times New Roman" w:hAnsi="Times New Roman"/>
          <w:sz w:val="15"/>
          <w:szCs w:val="15"/>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Obligations</w:t>
      </w:r>
      <w:r>
        <w:rPr>
          <w:rFonts w:ascii="Times New Roman" w:cs="Times New Roman" w:eastAsia="Times New Roman" w:hAnsi="Times New Roman"/>
          <w:sz w:val="15"/>
          <w:szCs w:val="15"/>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herein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hereunder</w:t>
      </w:r>
      <w:r>
        <w:rPr>
          <w:rFonts w:ascii="Times New Roman" w:cs="Times New Roman" w:eastAsia="Times New Roman" w:hAnsi="Times New Roman"/>
          <w:sz w:val="15"/>
          <w:szCs w:val="15"/>
          <w:color w:val="auto"/>
        </w:rPr>
        <w:t>,” and other words of similar import, refer to this Indenture as a whole and not to any particular Article, Section or other subdivision.</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1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 Payment Date</w:t>
      </w:r>
      <w:r>
        <w:rPr>
          <w:rFonts w:ascii="Times New Roman" w:cs="Times New Roman" w:eastAsia="Times New Roman" w:hAnsi="Times New Roman"/>
          <w:sz w:val="15"/>
          <w:szCs w:val="15"/>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Legal Defeasance</w:t>
      </w:r>
      <w:r>
        <w:rPr>
          <w:rFonts w:ascii="Times New Roman" w:cs="Times New Roman" w:eastAsia="Times New Roman" w:hAnsi="Times New Roman"/>
          <w:sz w:val="15"/>
          <w:szCs w:val="15"/>
          <w:color w:val="auto"/>
        </w:rPr>
        <w:t>” shall have the meaning set forth in Section 12.2.</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Officer’s Certificate</w:t>
      </w:r>
      <w:r>
        <w:rPr>
          <w:rFonts w:ascii="Times New Roman" w:cs="Times New Roman" w:eastAsia="Times New Roman" w:hAnsi="Times New Roman"/>
          <w:sz w:val="15"/>
          <w:szCs w:val="15"/>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1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Opinion of Counsel</w:t>
      </w:r>
      <w:r>
        <w:rPr>
          <w:rFonts w:ascii="Times New Roman" w:cs="Times New Roman" w:eastAsia="Times New Roman" w:hAnsi="Times New Roman"/>
          <w:sz w:val="15"/>
          <w:szCs w:val="15"/>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Outstanding</w:t>
      </w:r>
      <w:r>
        <w:rPr>
          <w:rFonts w:ascii="Times New Roman" w:cs="Times New Roman" w:eastAsia="Times New Roman" w:hAnsi="Times New Roman"/>
          <w:sz w:val="15"/>
          <w:szCs w:val="15"/>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 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Paying Agent</w:t>
      </w:r>
      <w:r>
        <w:rPr>
          <w:rFonts w:ascii="Times New Roman" w:cs="Times New Roman" w:eastAsia="Times New Roman" w:hAnsi="Times New Roman"/>
          <w:sz w:val="15"/>
          <w:szCs w:val="15"/>
          <w:color w:val="auto"/>
        </w:rPr>
        <w:t>” shall have the meaning set forth in Section 4.2(a).</w:t>
      </w:r>
    </w:p>
    <w:p>
      <w:pPr>
        <w:spacing w:after="0" w:line="19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Predecessor Security</w:t>
      </w:r>
      <w:r>
        <w:rPr>
          <w:rFonts w:ascii="Times New Roman" w:cs="Times New Roman" w:eastAsia="Times New Roman" w:hAnsi="Times New Roman"/>
          <w:sz w:val="15"/>
          <w:szCs w:val="15"/>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Redemption Date</w:t>
      </w:r>
      <w:r>
        <w:rPr>
          <w:rFonts w:ascii="Times New Roman" w:cs="Times New Roman" w:eastAsia="Times New Roman" w:hAnsi="Times New Roman"/>
          <w:sz w:val="15"/>
          <w:szCs w:val="15"/>
          <w:color w:val="auto"/>
        </w:rPr>
        <w:t>,” when used with respect to any Security to be redeemed, means the date fixed for such redemption by or pursuant to this Indenture.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shall have the meaning set forth in the recitals to this Indenture.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Securityholder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holder of Securities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registered holder</w:t>
      </w:r>
      <w:r>
        <w:rPr>
          <w:rFonts w:ascii="Times New Roman" w:cs="Times New Roman" w:eastAsia="Times New Roman" w:hAnsi="Times New Roman"/>
          <w:sz w:val="15"/>
          <w:szCs w:val="15"/>
          <w:color w:val="auto"/>
        </w:rPr>
        <w:t>,” or other similar term, means the Person or Persons in whose name or names a particular Security shall be registered on the Security Register in accordance with the terms of this Indenture.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 Register</w:t>
      </w:r>
      <w:r>
        <w:rPr>
          <w:rFonts w:ascii="Times New Roman" w:cs="Times New Roman" w:eastAsia="Times New Roman" w:hAnsi="Times New Roman"/>
          <w:sz w:val="15"/>
          <w:szCs w:val="15"/>
          <w:color w:val="auto"/>
        </w:rPr>
        <w:t>” shall have the meaning set forth in Section 4.2(a).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 Registrar</w:t>
      </w:r>
      <w:r>
        <w:rPr>
          <w:rFonts w:ascii="Times New Roman" w:cs="Times New Roman" w:eastAsia="Times New Roman" w:hAnsi="Times New Roman"/>
          <w:sz w:val="15"/>
          <w:szCs w:val="15"/>
          <w:color w:val="auto"/>
        </w:rPr>
        <w:t>” shall have the meaning set forth in Section 4.2(a).</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Stated Maturity</w:t>
      </w:r>
      <w:r>
        <w:rPr>
          <w:rFonts w:ascii="Times New Roman" w:cs="Times New Roman" w:eastAsia="Times New Roman" w:hAnsi="Times New Roman"/>
          <w:sz w:val="15"/>
          <w:szCs w:val="15"/>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5" w:name="page66"/>
    <w:bookmarkEnd w:id="65"/>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 Indenture Act</w:t>
      </w:r>
      <w:r>
        <w:rPr>
          <w:rFonts w:ascii="Times New Roman" w:cs="Times New Roman" w:eastAsia="Times New Roman" w:hAnsi="Times New Roman"/>
          <w:sz w:val="15"/>
          <w:szCs w:val="15"/>
          <w:color w:val="auto"/>
        </w:rPr>
        <w:t>” means the Trust Indenture Act of 1939, as amended.</w:t>
      </w:r>
    </w:p>
    <w:p>
      <w:pPr>
        <w:spacing w:after="0" w:line="19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 Officer</w:t>
      </w:r>
      <w:r>
        <w:rPr>
          <w:rFonts w:ascii="Times New Roman" w:cs="Times New Roman" w:eastAsia="Times New Roman" w:hAnsi="Times New Roman"/>
          <w:sz w:val="15"/>
          <w:szCs w:val="15"/>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Uniform Commercial Code</w:t>
      </w:r>
      <w:r>
        <w:rPr>
          <w:rFonts w:ascii="Times New Roman" w:cs="Times New Roman" w:eastAsia="Times New Roman" w:hAnsi="Times New Roman"/>
          <w:sz w:val="15"/>
          <w:szCs w:val="15"/>
          <w:color w:val="auto"/>
        </w:rPr>
        <w:t>” means the New York Uniform Commercial Code as in effect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means the United States of America.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USA Patriot Act</w:t>
      </w:r>
      <w:r>
        <w:rPr>
          <w:rFonts w:ascii="Times New Roman" w:cs="Times New Roman" w:eastAsia="Times New Roman" w:hAnsi="Times New Roman"/>
          <w:sz w:val="15"/>
          <w:szCs w:val="15"/>
          <w:color w:val="auto"/>
        </w:rPr>
        <w:t>” shall have the meaning set forth in Section 14.13.</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Voting Stock</w:t>
      </w:r>
      <w:r>
        <w:rPr>
          <w:rFonts w:ascii="Times New Roman" w:cs="Times New Roman" w:eastAsia="Times New Roman" w:hAnsi="Times New Roman"/>
          <w:sz w:val="15"/>
          <w:szCs w:val="15"/>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6" w:name="page67"/>
    <w:bookmarkEnd w:id="66"/>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w:t>
      </w:r>
      <w:r>
        <w:rPr>
          <w:sz w:val="20"/>
          <w:szCs w:val="20"/>
          <w:color w:val="auto"/>
        </w:rPr>
        <w:tab/>
      </w:r>
      <w:r>
        <w:rPr>
          <w:rFonts w:ascii="Times New Roman" w:cs="Times New Roman" w:eastAsia="Times New Roman" w:hAnsi="Times New Roman"/>
          <w:sz w:val="15"/>
          <w:szCs w:val="15"/>
          <w:b w:val="1"/>
          <w:bCs w:val="1"/>
          <w:color w:val="auto"/>
        </w:rPr>
        <w:t>INCORPORATION BY REFERENCE OF TRUST INDENTURE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Whenever this Indenture refers to a provision of the Trust Indenture Act, the provision is incorporated by reference in and made a part of this Indenture.</w:t>
      </w:r>
    </w:p>
    <w:p>
      <w:pPr>
        <w:spacing w:after="0" w:line="19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5"/>
          <w:szCs w:val="15"/>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ISSUE, DESCRIPTION, TERMS, EXECUTION, REGISTRATION</w:t>
      </w:r>
    </w:p>
    <w:p>
      <w:pPr>
        <w:spacing w:after="0" w:line="1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AND EXCHANGE OF SECURITIES</w:t>
      </w:r>
    </w:p>
    <w:p>
      <w:pPr>
        <w:spacing w:after="0" w:line="18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2.1</w:t>
      </w:r>
      <w:r>
        <w:rPr>
          <w:sz w:val="20"/>
          <w:szCs w:val="20"/>
          <w:color w:val="auto"/>
        </w:rPr>
        <w:tab/>
      </w:r>
      <w:r>
        <w:rPr>
          <w:rFonts w:ascii="Times New Roman" w:cs="Times New Roman" w:eastAsia="Times New Roman" w:hAnsi="Times New Roman"/>
          <w:sz w:val="15"/>
          <w:szCs w:val="15"/>
          <w:b w:val="1"/>
          <w:bCs w:val="1"/>
          <w:color w:val="auto"/>
        </w:rPr>
        <w:t>DESIGNATION AND TERMS OF SECURITIES.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2" w:lineRule="exact"/>
        <w:rPr>
          <w:sz w:val="20"/>
          <w:szCs w:val="20"/>
          <w:color w:val="auto"/>
        </w:rPr>
      </w:pPr>
    </w:p>
    <w:p>
      <w:pPr>
        <w:ind w:left="740" w:hanging="207"/>
        <w:spacing w:after="0"/>
        <w:tabs>
          <w:tab w:leader="none" w:pos="7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Securities of the series (which shall distinguish the Securities of that series from all other Securities);</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75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67" w:name="page68"/>
    <w:bookmarkEnd w:id="67"/>
    <w:p>
      <w:pPr>
        <w:ind w:right="20" w:firstLine="533"/>
        <w:spacing w:after="0" w:line="285" w:lineRule="auto"/>
        <w:tabs>
          <w:tab w:leader="none" w:pos="75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at which the Securities of the series shall bear interest or the manner of calculation of such rate or rates, if any, and whether the rate(s) are fixed or variable;</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76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46"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extend the interest payment periods and the duration of such extension;</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or periods within which, the price or prices at which and the terms and conditions upon which Securities of the series may be redeemed, in whole or in part, at the option of the Company;</w:t>
      </w:r>
    </w:p>
    <w:p>
      <w:pPr>
        <w:spacing w:after="0" w:line="133" w:lineRule="exact"/>
        <w:rPr>
          <w:rFonts w:ascii="Times New Roman" w:cs="Times New Roman" w:eastAsia="Times New Roman" w:hAnsi="Times New Roman"/>
          <w:sz w:val="15"/>
          <w:szCs w:val="15"/>
          <w:color w:val="auto"/>
        </w:rPr>
      </w:pPr>
    </w:p>
    <w:p>
      <w:pPr>
        <w:jc w:val="both"/>
        <w:ind w:firstLine="533"/>
        <w:spacing w:after="0" w:line="268" w:lineRule="auto"/>
        <w:tabs>
          <w:tab w:leader="none" w:pos="75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6"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subordination of any series of subordinated debt;</w:t>
      </w:r>
    </w:p>
    <w:p>
      <w:pPr>
        <w:spacing w:after="0" w:line="189"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the Securities of the series including the form of the certificate of authentication for such series;</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83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133"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are issuable as a Global Security and, in such case, the terms and the identity of the Depositary for such series;</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833"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46" w:lineRule="exact"/>
        <w:rPr>
          <w:rFonts w:ascii="Times New Roman" w:cs="Times New Roman" w:eastAsia="Times New Roman" w:hAnsi="Times New Roman"/>
          <w:sz w:val="15"/>
          <w:szCs w:val="15"/>
          <w:color w:val="auto"/>
        </w:rPr>
      </w:pPr>
    </w:p>
    <w:p>
      <w:pPr>
        <w:ind w:right="20" w:firstLine="533"/>
        <w:spacing w:after="0" w:line="285" w:lineRule="auto"/>
        <w:tabs>
          <w:tab w:leader="none" w:pos="847"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principal amount thereof, the portion of the principal amount of Securities of the series which shall be payable upon declaration of acceleration of the maturity thereof pursuant to Section 6.1;</w:t>
      </w:r>
    </w:p>
    <w:p>
      <w:pPr>
        <w:spacing w:after="0" w:line="133" w:lineRule="exact"/>
        <w:rPr>
          <w:rFonts w:ascii="Times New Roman" w:cs="Times New Roman" w:eastAsia="Times New Roman" w:hAnsi="Times New Roman"/>
          <w:sz w:val="15"/>
          <w:szCs w:val="15"/>
          <w:color w:val="auto"/>
        </w:rPr>
      </w:pPr>
    </w:p>
    <w:p>
      <w:pPr>
        <w:jc w:val="both"/>
        <w:ind w:firstLine="533"/>
        <w:spacing w:after="0" w:line="258" w:lineRule="auto"/>
        <w:tabs>
          <w:tab w:leader="none" w:pos="83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68" w:name="page69"/>
    <w:bookmarkEnd w:id="68"/>
    <w:p>
      <w:pPr>
        <w:ind w:left="820" w:hanging="287"/>
        <w:spacing w:after="0"/>
        <w:tabs>
          <w:tab w:leader="none" w:pos="8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U.S. dollars, the coin or currency in which the Securities of the series are denominated (including, but not limited to, foreign currency);</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832"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146"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U.S. federal income tax considerations applicable to the Securities of the series;</w:t>
      </w:r>
    </w:p>
    <w:p>
      <w:pPr>
        <w:spacing w:after="0" w:line="189"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transfer, sale or assignment of the Securities of the series;</w:t>
      </w:r>
    </w:p>
    <w:p>
      <w:pPr>
        <w:spacing w:after="0" w:line="189"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relating to any auction or remarketing of the Securities of the series and any security for the obligations of the Company with respect to such Securities;</w:t>
      </w:r>
    </w:p>
    <w:p>
      <w:pPr>
        <w:spacing w:after="0" w:line="189"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are secured or unsecured, and if the Securities are secured, the terms of the secured Securities;</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69" w:name="page70"/>
    <w:bookmarkEnd w:id="69"/>
    <w:p>
      <w:pPr>
        <w:ind w:left="820" w:hanging="287"/>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describing any book-entry features;</w:t>
      </w:r>
    </w:p>
    <w:p>
      <w:pPr>
        <w:spacing w:after="0" w:line="189" w:lineRule="exact"/>
        <w:rPr>
          <w:rFonts w:ascii="Times New Roman" w:cs="Times New Roman" w:eastAsia="Times New Roman" w:hAnsi="Times New Roman"/>
          <w:sz w:val="15"/>
          <w:szCs w:val="15"/>
          <w:color w:val="auto"/>
        </w:rPr>
      </w:pPr>
    </w:p>
    <w:p>
      <w:pPr>
        <w:ind w:left="820" w:hanging="287"/>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any guarantors and the terms of the guarantees; and</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85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14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2.2</w:t>
      </w:r>
      <w:r>
        <w:rPr>
          <w:sz w:val="20"/>
          <w:szCs w:val="20"/>
          <w:color w:val="auto"/>
        </w:rPr>
        <w:tab/>
      </w:r>
      <w:r>
        <w:rPr>
          <w:rFonts w:ascii="Times New Roman" w:cs="Times New Roman" w:eastAsia="Times New Roman" w:hAnsi="Times New Roman"/>
          <w:sz w:val="15"/>
          <w:szCs w:val="15"/>
          <w:b w:val="1"/>
          <w:bCs w:val="1"/>
          <w:color w:val="auto"/>
        </w:rPr>
        <w:t>FORM OF SECURITIES AND TRUSTEE’S CERTIFICATE.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2.3</w:t>
      </w:r>
      <w:r>
        <w:rPr>
          <w:sz w:val="20"/>
          <w:szCs w:val="20"/>
          <w:color w:val="auto"/>
        </w:rPr>
        <w:tab/>
      </w:r>
      <w:r>
        <w:rPr>
          <w:rFonts w:ascii="Times New Roman" w:cs="Times New Roman" w:eastAsia="Times New Roman" w:hAnsi="Times New Roman"/>
          <w:sz w:val="14"/>
          <w:szCs w:val="14"/>
          <w:b w:val="1"/>
          <w:bCs w:val="1"/>
          <w:color w:val="auto"/>
        </w:rPr>
        <w:t>DENOMINATIONS; PROVISIONS FOR PAYMENT.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 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70" w:name="page71"/>
    <w:bookmarkEnd w:id="70"/>
    <w:p>
      <w:pPr>
        <w:jc w:val="both"/>
        <w:spacing w:after="0" w:line="271" w:lineRule="auto"/>
        <w:rPr>
          <w:sz w:val="20"/>
          <w:szCs w:val="20"/>
          <w:color w:val="auto"/>
        </w:rPr>
      </w:pPr>
      <w:r>
        <w:rPr>
          <w:rFonts w:ascii="Times New Roman" w:cs="Times New Roman" w:eastAsia="Times New Roman" w:hAnsi="Times New Roman"/>
          <w:sz w:val="15"/>
          <w:szCs w:val="15"/>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5"/>
          <w:szCs w:val="15"/>
          <w:b w:val="1"/>
          <w:bCs w:val="1"/>
          <w:color w:val="auto"/>
        </w:rPr>
        <w:t>Defaulted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Interest</w:t>
      </w:r>
      <w:r>
        <w:rPr>
          <w:rFonts w:ascii="Times New Roman" w:cs="Times New Roman" w:eastAsia="Times New Roman" w:hAnsi="Times New Roman"/>
          <w:sz w:val="15"/>
          <w:szCs w:val="15"/>
          <w:color w:val="auto"/>
        </w:rPr>
        <w:t>”) shall forthwith cease to be payable to the registered holder on the relevant regular record date by virtue of having been such holder; and such Defaulted Interest shall be paid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at its election, as provided in clause (1) or clause (2) below:</w:t>
      </w:r>
    </w:p>
    <w:p>
      <w:pPr>
        <w:spacing w:after="0" w:line="144" w:lineRule="exact"/>
        <w:rPr>
          <w:sz w:val="20"/>
          <w:szCs w:val="20"/>
          <w:color w:val="auto"/>
        </w:rPr>
      </w:pPr>
    </w:p>
    <w:p>
      <w:pPr>
        <w:jc w:val="both"/>
        <w:ind w:firstLine="533"/>
        <w:spacing w:after="0" w:line="254" w:lineRule="auto"/>
        <w:tabs>
          <w:tab w:leader="none" w:pos="772"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44" w:lineRule="exact"/>
        <w:rPr>
          <w:rFonts w:ascii="Times New Roman" w:cs="Times New Roman" w:eastAsia="Times New Roman" w:hAnsi="Times New Roman"/>
          <w:sz w:val="15"/>
          <w:szCs w:val="15"/>
          <w:color w:val="auto"/>
        </w:rPr>
      </w:pPr>
    </w:p>
    <w:p>
      <w:pPr>
        <w:jc w:val="both"/>
        <w:ind w:firstLine="533"/>
        <w:spacing w:after="0" w:line="268" w:lineRule="auto"/>
        <w:tabs>
          <w:tab w:leader="none" w:pos="763"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Unless otherwise set forth in a Board Resolution or one or more indentures supplemental hereto establishing the terms of any series of Securities pursuant to Section 2.1 hereof, the term “</w:t>
      </w:r>
      <w:r>
        <w:rPr>
          <w:rFonts w:ascii="Times New Roman" w:cs="Times New Roman" w:eastAsia="Times New Roman" w:hAnsi="Times New Roman"/>
          <w:sz w:val="15"/>
          <w:szCs w:val="15"/>
          <w:b w:val="1"/>
          <w:bCs w:val="1"/>
          <w:color w:val="auto"/>
        </w:rPr>
        <w:t>regular record date</w:t>
      </w:r>
      <w:r>
        <w:rPr>
          <w:rFonts w:ascii="Times New Roman" w:cs="Times New Roman" w:eastAsia="Times New Roman" w:hAnsi="Times New Roman"/>
          <w:sz w:val="15"/>
          <w:szCs w:val="15"/>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2.4</w:t>
      </w:r>
      <w:r>
        <w:rPr>
          <w:sz w:val="20"/>
          <w:szCs w:val="20"/>
          <w:color w:val="auto"/>
        </w:rPr>
        <w:tab/>
      </w:r>
      <w:r>
        <w:rPr>
          <w:rFonts w:ascii="Times New Roman" w:cs="Times New Roman" w:eastAsia="Times New Roman" w:hAnsi="Times New Roman"/>
          <w:sz w:val="15"/>
          <w:szCs w:val="15"/>
          <w:b w:val="1"/>
          <w:bCs w:val="1"/>
          <w:color w:val="auto"/>
        </w:rPr>
        <w:t>EXECUTION AND AUTHENTICATION.</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 Securities shall be signed on behalf of the Company by an Authorized Officer and, to the extent necessary, under its corporate seal. Signatures may be in the form of a manual or facsimile signature.</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71" w:name="page72"/>
    <w:bookmarkEnd w:id="71"/>
    <w:p>
      <w:pPr>
        <w:ind w:right="20"/>
        <w:spacing w:after="0" w:line="285" w:lineRule="auto"/>
        <w:rPr>
          <w:sz w:val="20"/>
          <w:szCs w:val="20"/>
          <w:color w:val="auto"/>
        </w:rPr>
      </w:pPr>
      <w:r>
        <w:rPr>
          <w:rFonts w:ascii="Times New Roman" w:cs="Times New Roman" w:eastAsia="Times New Roman" w:hAnsi="Times New Roman"/>
          <w:sz w:val="15"/>
          <w:szCs w:val="15"/>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13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2.5</w:t>
      </w:r>
      <w:r>
        <w:rPr>
          <w:sz w:val="20"/>
          <w:szCs w:val="20"/>
          <w:color w:val="auto"/>
        </w:rPr>
        <w:tab/>
      </w:r>
      <w:r>
        <w:rPr>
          <w:rFonts w:ascii="Times New Roman" w:cs="Times New Roman" w:eastAsia="Times New Roman" w:hAnsi="Times New Roman"/>
          <w:sz w:val="15"/>
          <w:szCs w:val="15"/>
          <w:b w:val="1"/>
          <w:bCs w:val="1"/>
          <w:color w:val="auto"/>
        </w:rPr>
        <w:t>REGISTRATION OF TRANSFER AND EXCHANGE.</w:t>
      </w:r>
    </w:p>
    <w:p>
      <w:pPr>
        <w:spacing w:after="0" w:line="194" w:lineRule="exact"/>
        <w:rPr>
          <w:sz w:val="20"/>
          <w:szCs w:val="20"/>
          <w:color w:val="auto"/>
        </w:rPr>
      </w:pPr>
    </w:p>
    <w:p>
      <w:pPr>
        <w:jc w:val="both"/>
        <w:ind w:firstLine="533"/>
        <w:spacing w:after="0" w:line="262" w:lineRule="auto"/>
        <w:tabs>
          <w:tab w:leader="none" w:pos="75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51" w:lineRule="exact"/>
        <w:rPr>
          <w:rFonts w:ascii="Times New Roman" w:cs="Times New Roman" w:eastAsia="Times New Roman" w:hAnsi="Times New Roman"/>
          <w:sz w:val="15"/>
          <w:szCs w:val="15"/>
          <w:color w:val="auto"/>
        </w:rPr>
      </w:pPr>
    </w:p>
    <w:p>
      <w:pPr>
        <w:ind w:right="20" w:firstLine="533"/>
        <w:spacing w:after="0" w:line="285" w:lineRule="auto"/>
        <w:tabs>
          <w:tab w:leader="none" w:pos="76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1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72" w:name="page73"/>
    <w:bookmarkEnd w:id="72"/>
    <w:p>
      <w:pPr>
        <w:jc w:val="both"/>
        <w:ind w:firstLine="533"/>
        <w:spacing w:after="0" w:line="262" w:lineRule="auto"/>
        <w:tabs>
          <w:tab w:leader="none" w:pos="75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151" w:lineRule="exact"/>
        <w:rPr>
          <w:rFonts w:ascii="Times New Roman" w:cs="Times New Roman" w:eastAsia="Times New Roman" w:hAnsi="Times New Roman"/>
          <w:sz w:val="15"/>
          <w:szCs w:val="15"/>
          <w:color w:val="auto"/>
        </w:rPr>
      </w:pPr>
    </w:p>
    <w:p>
      <w:pPr>
        <w:jc w:val="both"/>
        <w:ind w:right="20" w:firstLine="533"/>
        <w:spacing w:after="0" w:line="268" w:lineRule="auto"/>
        <w:tabs>
          <w:tab w:leader="none" w:pos="75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146" w:lineRule="exact"/>
        <w:rPr>
          <w:rFonts w:ascii="Times New Roman" w:cs="Times New Roman" w:eastAsia="Times New Roman" w:hAnsi="Times New Roman"/>
          <w:sz w:val="15"/>
          <w:szCs w:val="15"/>
          <w:color w:val="auto"/>
        </w:rPr>
      </w:pPr>
    </w:p>
    <w:p>
      <w:pPr>
        <w:ind w:firstLine="533"/>
        <w:spacing w:after="0" w:line="285" w:lineRule="auto"/>
        <w:tabs>
          <w:tab w:leader="none" w:pos="75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Successive registrations and registrations of transfers and exchanges as aforesaid may be made from time to time as desired, and each such registration shall be noted on the register for the Securities.</w:t>
      </w:r>
    </w:p>
    <w:p>
      <w:pPr>
        <w:spacing w:after="0" w:line="133" w:lineRule="exact"/>
        <w:rPr>
          <w:rFonts w:ascii="Times New Roman" w:cs="Times New Roman" w:eastAsia="Times New Roman" w:hAnsi="Times New Roman"/>
          <w:sz w:val="15"/>
          <w:szCs w:val="15"/>
          <w:color w:val="auto"/>
        </w:rPr>
      </w:pPr>
    </w:p>
    <w:p>
      <w:pPr>
        <w:ind w:right="20" w:firstLine="533"/>
        <w:spacing w:after="0" w:line="285" w:lineRule="auto"/>
        <w:tabs>
          <w:tab w:leader="none" w:pos="74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Security Registrar shall provide to the Trustee such information as the Trustee may reasonably require in connection with the delivery by such Security Registrar of Securities upon transfer or exchange of Securities.</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this Section 2.5 are, with respect to any Global Security, subject to Section 2.11 hereof.</w:t>
      </w:r>
    </w:p>
    <w:p>
      <w:pPr>
        <w:spacing w:after="0" w:line="189" w:lineRule="exact"/>
        <w:rPr>
          <w:rFonts w:ascii="Times New Roman" w:cs="Times New Roman" w:eastAsia="Times New Roman" w:hAnsi="Times New Roman"/>
          <w:sz w:val="15"/>
          <w:szCs w:val="15"/>
          <w:color w:val="auto"/>
        </w:rPr>
      </w:pPr>
    </w:p>
    <w:p>
      <w:pPr>
        <w:jc w:val="both"/>
        <w:ind w:firstLine="533"/>
        <w:spacing w:after="0" w:line="262" w:lineRule="auto"/>
        <w:tabs>
          <w:tab w:leader="none" w:pos="775"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1" w:lineRule="exact"/>
        <w:rPr>
          <w:rFonts w:ascii="Times New Roman" w:cs="Times New Roman" w:eastAsia="Times New Roman" w:hAnsi="Times New Roman"/>
          <w:sz w:val="15"/>
          <w:szCs w:val="15"/>
          <w:color w:val="auto"/>
        </w:rPr>
      </w:pPr>
    </w:p>
    <w:p>
      <w:pPr>
        <w:ind w:left="720" w:hanging="187"/>
        <w:spacing w:after="0"/>
        <w:tabs>
          <w:tab w:leader="none" w:pos="7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Trustee nor any agent shall have any responsibility or liability for any actions taken or not taken by the Depositary.</w:t>
      </w:r>
    </w:p>
    <w:p>
      <w:pPr>
        <w:spacing w:after="0" w:line="18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2.6</w:t>
      </w:r>
      <w:r>
        <w:rPr>
          <w:sz w:val="20"/>
          <w:szCs w:val="20"/>
          <w:color w:val="auto"/>
        </w:rPr>
        <w:tab/>
      </w:r>
      <w:r>
        <w:rPr>
          <w:rFonts w:ascii="Times New Roman" w:cs="Times New Roman" w:eastAsia="Times New Roman" w:hAnsi="Times New Roman"/>
          <w:sz w:val="15"/>
          <w:szCs w:val="15"/>
          <w:b w:val="1"/>
          <w:bCs w:val="1"/>
          <w:color w:val="auto"/>
        </w:rPr>
        <w:t>TEMPORARY SECURITIES.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73" w:name="page74"/>
    <w:bookmarkEnd w:id="73"/>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2.7</w:t>
      </w:r>
      <w:r>
        <w:rPr>
          <w:sz w:val="20"/>
          <w:szCs w:val="20"/>
          <w:color w:val="auto"/>
        </w:rPr>
        <w:tab/>
      </w:r>
      <w:r>
        <w:rPr>
          <w:rFonts w:ascii="Times New Roman" w:cs="Times New Roman" w:eastAsia="Times New Roman" w:hAnsi="Times New Roman"/>
          <w:sz w:val="15"/>
          <w:szCs w:val="15"/>
          <w:b w:val="1"/>
          <w:bCs w:val="1"/>
          <w:color w:val="auto"/>
        </w:rPr>
        <w:t>MUTILATED, DESTROYED, LOST OR STOLEN SECURITIES.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2.8</w:t>
      </w:r>
      <w:r>
        <w:rPr>
          <w:sz w:val="20"/>
          <w:szCs w:val="20"/>
          <w:color w:val="auto"/>
        </w:rPr>
        <w:tab/>
      </w:r>
      <w:r>
        <w:rPr>
          <w:rFonts w:ascii="Times New Roman" w:cs="Times New Roman" w:eastAsia="Times New Roman" w:hAnsi="Times New Roman"/>
          <w:sz w:val="14"/>
          <w:szCs w:val="14"/>
          <w:b w:val="1"/>
          <w:bCs w:val="1"/>
          <w:color w:val="auto"/>
        </w:rPr>
        <w:t>CANCELLATION.</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5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2.9</w:t>
      </w:r>
      <w:r>
        <w:rPr>
          <w:sz w:val="20"/>
          <w:szCs w:val="20"/>
          <w:color w:val="auto"/>
        </w:rPr>
        <w:tab/>
      </w:r>
      <w:r>
        <w:rPr>
          <w:rFonts w:ascii="Times New Roman" w:cs="Times New Roman" w:eastAsia="Times New Roman" w:hAnsi="Times New Roman"/>
          <w:sz w:val="15"/>
          <w:szCs w:val="15"/>
          <w:b w:val="1"/>
          <w:bCs w:val="1"/>
          <w:color w:val="auto"/>
        </w:rPr>
        <w:t>BENEFITS OF INDENTURE.</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74" w:name="page75"/>
    <w:bookmarkEnd w:id="74"/>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2.10</w:t>
      </w:r>
      <w:r>
        <w:rPr>
          <w:sz w:val="20"/>
          <w:szCs w:val="20"/>
          <w:color w:val="auto"/>
        </w:rPr>
        <w:tab/>
      </w:r>
      <w:r>
        <w:rPr>
          <w:rFonts w:ascii="Times New Roman" w:cs="Times New Roman" w:eastAsia="Times New Roman" w:hAnsi="Times New Roman"/>
          <w:sz w:val="14"/>
          <w:szCs w:val="14"/>
          <w:b w:val="1"/>
          <w:bCs w:val="1"/>
          <w:color w:val="auto"/>
        </w:rPr>
        <w:t>AUTHENTICATING AGENT.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2.11</w:t>
      </w:r>
      <w:r>
        <w:rPr>
          <w:sz w:val="20"/>
          <w:szCs w:val="20"/>
          <w:color w:val="auto"/>
        </w:rPr>
        <w:tab/>
      </w:r>
      <w:r>
        <w:rPr>
          <w:rFonts w:ascii="Times New Roman" w:cs="Times New Roman" w:eastAsia="Times New Roman" w:hAnsi="Times New Roman"/>
          <w:sz w:val="15"/>
          <w:szCs w:val="15"/>
          <w:b w:val="1"/>
          <w:bCs w:val="1"/>
          <w:color w:val="auto"/>
        </w:rPr>
        <w:t>GLOBAL SECURITIES.</w:t>
      </w:r>
    </w:p>
    <w:p>
      <w:pPr>
        <w:spacing w:after="0" w:line="194" w:lineRule="exact"/>
        <w:rPr>
          <w:sz w:val="20"/>
          <w:szCs w:val="20"/>
          <w:color w:val="auto"/>
        </w:rPr>
      </w:pPr>
    </w:p>
    <w:p>
      <w:pPr>
        <w:jc w:val="both"/>
        <w:ind w:firstLine="533"/>
        <w:spacing w:after="0" w:line="260" w:lineRule="auto"/>
        <w:tabs>
          <w:tab w:leader="none" w:pos="754"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151" w:lineRule="exact"/>
        <w:rPr>
          <w:rFonts w:ascii="Times New Roman" w:cs="Times New Roman" w:eastAsia="Times New Roman" w:hAnsi="Times New Roman"/>
          <w:sz w:val="15"/>
          <w:szCs w:val="15"/>
          <w:color w:val="auto"/>
        </w:rPr>
      </w:pPr>
    </w:p>
    <w:p>
      <w:pPr>
        <w:jc w:val="both"/>
        <w:ind w:right="20" w:firstLine="533"/>
        <w:spacing w:after="0" w:line="262" w:lineRule="auto"/>
        <w:tabs>
          <w:tab w:leader="none" w:pos="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151" w:lineRule="exact"/>
        <w:rPr>
          <w:rFonts w:ascii="Times New Roman" w:cs="Times New Roman" w:eastAsia="Times New Roman" w:hAnsi="Times New Roman"/>
          <w:sz w:val="15"/>
          <w:szCs w:val="15"/>
          <w:color w:val="auto"/>
        </w:rPr>
      </w:pPr>
    </w:p>
    <w:p>
      <w:pPr>
        <w:jc w:val="both"/>
        <w:ind w:firstLine="533"/>
        <w:spacing w:after="0" w:line="254" w:lineRule="auto"/>
        <w:tabs>
          <w:tab w:leader="none" w:pos="75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75" w:name="page76"/>
    <w:bookmarkEnd w:id="75"/>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2.12</w:t>
      </w:r>
      <w:r>
        <w:rPr>
          <w:sz w:val="20"/>
          <w:szCs w:val="20"/>
          <w:color w:val="auto"/>
        </w:rPr>
        <w:tab/>
      </w:r>
      <w:r>
        <w:rPr>
          <w:rFonts w:ascii="Times New Roman" w:cs="Times New Roman" w:eastAsia="Times New Roman" w:hAnsi="Times New Roman"/>
          <w:sz w:val="15"/>
          <w:szCs w:val="15"/>
          <w:b w:val="1"/>
          <w:bCs w:val="1"/>
          <w:color w:val="auto"/>
        </w:rPr>
        <w:t>CUSIP AND ISIN NUMBERS.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REDEMPTION OF SECURITIES AND SINKING FUND PROVISIONS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3.1</w:t>
      </w:r>
      <w:r>
        <w:rPr>
          <w:sz w:val="20"/>
          <w:szCs w:val="20"/>
          <w:color w:val="auto"/>
        </w:rPr>
        <w:tab/>
      </w:r>
      <w:r>
        <w:rPr>
          <w:rFonts w:ascii="Times New Roman" w:cs="Times New Roman" w:eastAsia="Times New Roman" w:hAnsi="Times New Roman"/>
          <w:sz w:val="15"/>
          <w:szCs w:val="15"/>
          <w:b w:val="1"/>
          <w:bCs w:val="1"/>
          <w:color w:val="auto"/>
        </w:rPr>
        <w:t>REDEMPTION.</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3.2</w:t>
      </w:r>
      <w:r>
        <w:rPr>
          <w:sz w:val="20"/>
          <w:szCs w:val="20"/>
          <w:color w:val="auto"/>
        </w:rPr>
        <w:tab/>
      </w:r>
      <w:r>
        <w:rPr>
          <w:rFonts w:ascii="Times New Roman" w:cs="Times New Roman" w:eastAsia="Times New Roman" w:hAnsi="Times New Roman"/>
          <w:sz w:val="15"/>
          <w:szCs w:val="15"/>
          <w:b w:val="1"/>
          <w:bCs w:val="1"/>
          <w:color w:val="auto"/>
        </w:rPr>
        <w:t>NOTICE OF REDEMPTION.</w:t>
      </w:r>
    </w:p>
    <w:p>
      <w:pPr>
        <w:spacing w:after="0" w:line="194" w:lineRule="exact"/>
        <w:rPr>
          <w:sz w:val="20"/>
          <w:szCs w:val="20"/>
          <w:color w:val="auto"/>
        </w:rPr>
      </w:pPr>
    </w:p>
    <w:p>
      <w:pPr>
        <w:jc w:val="both"/>
        <w:ind w:firstLine="533"/>
        <w:spacing w:after="0" w:line="255" w:lineRule="auto"/>
        <w:tabs>
          <w:tab w:leader="none" w:pos="76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76" w:name="page77"/>
    <w:bookmarkEnd w:id="76"/>
    <w:p>
      <w:pPr>
        <w:spacing w:after="0" w:line="285" w:lineRule="auto"/>
        <w:rPr>
          <w:sz w:val="20"/>
          <w:szCs w:val="20"/>
          <w:color w:val="auto"/>
        </w:rPr>
      </w:pPr>
      <w:r>
        <w:rPr>
          <w:rFonts w:ascii="Times New Roman" w:cs="Times New Roman" w:eastAsia="Times New Roman" w:hAnsi="Times New Roman"/>
          <w:sz w:val="15"/>
          <w:szCs w:val="15"/>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3" w:lineRule="exact"/>
        <w:rPr>
          <w:sz w:val="20"/>
          <w:szCs w:val="20"/>
          <w:color w:val="auto"/>
        </w:rPr>
      </w:pPr>
    </w:p>
    <w:p>
      <w:pPr>
        <w:jc w:val="both"/>
        <w:ind w:firstLine="533"/>
        <w:spacing w:after="0" w:line="255" w:lineRule="auto"/>
        <w:tabs>
          <w:tab w:leader="none" w:pos="76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5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3.3</w:t>
      </w:r>
      <w:r>
        <w:rPr>
          <w:sz w:val="20"/>
          <w:szCs w:val="20"/>
          <w:color w:val="auto"/>
        </w:rPr>
        <w:tab/>
      </w:r>
      <w:r>
        <w:rPr>
          <w:rFonts w:ascii="Times New Roman" w:cs="Times New Roman" w:eastAsia="Times New Roman" w:hAnsi="Times New Roman"/>
          <w:sz w:val="14"/>
          <w:szCs w:val="14"/>
          <w:b w:val="1"/>
          <w:bCs w:val="1"/>
          <w:color w:val="auto"/>
        </w:rPr>
        <w:t>PAYMENT UPON REDEMPTION.</w:t>
      </w:r>
    </w:p>
    <w:p>
      <w:pPr>
        <w:spacing w:after="0" w:line="194" w:lineRule="exact"/>
        <w:rPr>
          <w:sz w:val="20"/>
          <w:szCs w:val="20"/>
          <w:color w:val="auto"/>
        </w:rPr>
      </w:pPr>
    </w:p>
    <w:p>
      <w:pPr>
        <w:jc w:val="both"/>
        <w:ind w:firstLine="533"/>
        <w:spacing w:after="0" w:line="257" w:lineRule="auto"/>
        <w:tabs>
          <w:tab w:leader="none" w:pos="761"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155" w:lineRule="exact"/>
        <w:rPr>
          <w:rFonts w:ascii="Times New Roman" w:cs="Times New Roman" w:eastAsia="Times New Roman" w:hAnsi="Times New Roman"/>
          <w:sz w:val="15"/>
          <w:szCs w:val="15"/>
          <w:color w:val="auto"/>
        </w:rPr>
      </w:pPr>
    </w:p>
    <w:p>
      <w:pPr>
        <w:jc w:val="both"/>
        <w:ind w:firstLine="533"/>
        <w:spacing w:after="0" w:line="268" w:lineRule="auto"/>
        <w:tabs>
          <w:tab w:leader="none" w:pos="765"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3.4</w:t>
      </w:r>
      <w:r>
        <w:rPr>
          <w:sz w:val="20"/>
          <w:szCs w:val="20"/>
          <w:color w:val="auto"/>
        </w:rPr>
        <w:tab/>
      </w:r>
      <w:r>
        <w:rPr>
          <w:rFonts w:ascii="Times New Roman" w:cs="Times New Roman" w:eastAsia="Times New Roman" w:hAnsi="Times New Roman"/>
          <w:sz w:val="15"/>
          <w:szCs w:val="15"/>
          <w:b w:val="1"/>
          <w:bCs w:val="1"/>
          <w:color w:val="auto"/>
        </w:rPr>
        <w:t>SINKING FUND.</w:t>
      </w:r>
    </w:p>
    <w:p>
      <w:pPr>
        <w:spacing w:after="0" w:line="19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Securities of any series is herein referred to as a “</w:t>
      </w:r>
      <w:r>
        <w:rPr>
          <w:rFonts w:ascii="Times New Roman" w:cs="Times New Roman" w:eastAsia="Times New Roman" w:hAnsi="Times New Roman"/>
          <w:sz w:val="15"/>
          <w:szCs w:val="15"/>
          <w:b w:val="1"/>
          <w:bCs w:val="1"/>
          <w:color w:val="auto"/>
        </w:rPr>
        <w:t>mandatory sinking fund payment</w:t>
      </w:r>
      <w:r>
        <w:rPr>
          <w:rFonts w:ascii="Times New Roman" w:cs="Times New Roman" w:eastAsia="Times New Roman" w:hAnsi="Times New Roman"/>
          <w:sz w:val="15"/>
          <w:szCs w:val="15"/>
          <w:color w:val="auto"/>
        </w:rPr>
        <w:t>,” and any payment in excess of such minimum amount provided for by the terms of Securities of any series is herein referred to as an “</w:t>
      </w:r>
      <w:r>
        <w:rPr>
          <w:rFonts w:ascii="Times New Roman" w:cs="Times New Roman" w:eastAsia="Times New Roman" w:hAnsi="Times New Roman"/>
          <w:sz w:val="15"/>
          <w:szCs w:val="15"/>
          <w:b w:val="1"/>
          <w:bCs w:val="1"/>
          <w:color w:val="auto"/>
        </w:rPr>
        <w:t>optional sinking fund payment</w:t>
      </w:r>
      <w:r>
        <w:rPr>
          <w:rFonts w:ascii="Times New Roman" w:cs="Times New Roman" w:eastAsia="Times New Roman" w:hAnsi="Times New Roman"/>
          <w:sz w:val="15"/>
          <w:szCs w:val="15"/>
          <w:color w:val="auto"/>
        </w:rPr>
        <w: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77" w:name="page78"/>
    <w:bookmarkEnd w:id="77"/>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3.5</w:t>
      </w:r>
      <w:r>
        <w:rPr>
          <w:sz w:val="20"/>
          <w:szCs w:val="20"/>
          <w:color w:val="auto"/>
        </w:rPr>
        <w:tab/>
      </w:r>
      <w:r>
        <w:rPr>
          <w:rFonts w:ascii="Times New Roman" w:cs="Times New Roman" w:eastAsia="Times New Roman" w:hAnsi="Times New Roman"/>
          <w:sz w:val="14"/>
          <w:szCs w:val="14"/>
          <w:b w:val="1"/>
          <w:bCs w:val="1"/>
          <w:color w:val="auto"/>
        </w:rPr>
        <w:t>SATISFACTION OF SINKING FUND PAYMENTS WITH SECURITIES.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3.6</w:t>
      </w:r>
      <w:r>
        <w:rPr>
          <w:sz w:val="20"/>
          <w:szCs w:val="20"/>
          <w:color w:val="auto"/>
        </w:rPr>
        <w:tab/>
      </w:r>
      <w:r>
        <w:rPr>
          <w:rFonts w:ascii="Times New Roman" w:cs="Times New Roman" w:eastAsia="Times New Roman" w:hAnsi="Times New Roman"/>
          <w:sz w:val="15"/>
          <w:szCs w:val="15"/>
          <w:b w:val="1"/>
          <w:bCs w:val="1"/>
          <w:color w:val="auto"/>
        </w:rPr>
        <w:t>REDEMPTION OF SECURITIES FOR SINKING FUND.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1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4.1</w:t>
      </w:r>
      <w:r>
        <w:rPr>
          <w:sz w:val="20"/>
          <w:szCs w:val="20"/>
          <w:color w:val="auto"/>
        </w:rPr>
        <w:tab/>
      </w:r>
      <w:r>
        <w:rPr>
          <w:rFonts w:ascii="Times New Roman" w:cs="Times New Roman" w:eastAsia="Times New Roman" w:hAnsi="Times New Roman"/>
          <w:sz w:val="14"/>
          <w:szCs w:val="14"/>
          <w:b w:val="1"/>
          <w:bCs w:val="1"/>
          <w:color w:val="auto"/>
        </w:rPr>
        <w:t>PAYMENT OF PRINCIPAL, PREMIUM AND INTEREST.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157"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4.2</w:t>
      </w:r>
      <w:r>
        <w:rPr>
          <w:sz w:val="20"/>
          <w:szCs w:val="20"/>
          <w:color w:val="auto"/>
        </w:rPr>
        <w:tab/>
      </w:r>
      <w:r>
        <w:rPr>
          <w:rFonts w:ascii="Times New Roman" w:cs="Times New Roman" w:eastAsia="Times New Roman" w:hAnsi="Times New Roman"/>
          <w:sz w:val="14"/>
          <w:szCs w:val="14"/>
          <w:b w:val="1"/>
          <w:bCs w:val="1"/>
          <w:color w:val="auto"/>
        </w:rPr>
        <w:t>PAYING AGENT AND SECURITY REGISTRAR.</w:t>
      </w:r>
    </w:p>
    <w:p>
      <w:pPr>
        <w:spacing w:after="0" w:line="194" w:lineRule="exact"/>
        <w:rPr>
          <w:sz w:val="20"/>
          <w:szCs w:val="20"/>
          <w:color w:val="auto"/>
        </w:rPr>
      </w:pPr>
    </w:p>
    <w:p>
      <w:pPr>
        <w:jc w:val="both"/>
        <w:ind w:firstLine="533"/>
        <w:spacing w:after="0" w:line="258" w:lineRule="auto"/>
        <w:tabs>
          <w:tab w:leader="none" w:pos="753"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any series of the Securities remain Outstanding, the Company shall maintain an office or agency where Securities may be presented for registration of transfer or for exchange (“</w:t>
      </w:r>
      <w:r>
        <w:rPr>
          <w:rFonts w:ascii="Times New Roman" w:cs="Times New Roman" w:eastAsia="Times New Roman" w:hAnsi="Times New Roman"/>
          <w:sz w:val="15"/>
          <w:szCs w:val="15"/>
          <w:b w:val="1"/>
          <w:bCs w:val="1"/>
          <w:color w:val="auto"/>
        </w:rPr>
        <w:t>Security Registrar</w:t>
      </w:r>
      <w:r>
        <w:rPr>
          <w:rFonts w:ascii="Times New Roman" w:cs="Times New Roman" w:eastAsia="Times New Roman" w:hAnsi="Times New Roman"/>
          <w:sz w:val="15"/>
          <w:szCs w:val="15"/>
          <w:color w:val="auto"/>
        </w:rPr>
        <w:t>”), an office or agency where Securities may be presented for payment (“</w:t>
      </w:r>
      <w:r>
        <w:rPr>
          <w:rFonts w:ascii="Times New Roman" w:cs="Times New Roman" w:eastAsia="Times New Roman" w:hAnsi="Times New Roman"/>
          <w:sz w:val="15"/>
          <w:szCs w:val="15"/>
          <w:b w:val="1"/>
          <w:bCs w:val="1"/>
          <w:color w:val="auto"/>
        </w:rPr>
        <w:t>Paying Agent</w:t>
      </w:r>
      <w:r>
        <w:rPr>
          <w:rFonts w:ascii="Times New Roman" w:cs="Times New Roman" w:eastAsia="Times New Roman" w:hAnsi="Times New Roman"/>
          <w:sz w:val="15"/>
          <w:szCs w:val="15"/>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Times New Roman" w:cs="Times New Roman" w:eastAsia="Times New Roman" w:hAnsi="Times New Roman"/>
          <w:sz w:val="15"/>
          <w:szCs w:val="15"/>
          <w:b w:val="1"/>
          <w:bCs w:val="1"/>
          <w:color w:val="auto"/>
        </w:rPr>
        <w:t>Security Register</w:t>
      </w:r>
      <w:r>
        <w:rPr>
          <w:rFonts w:ascii="Times New Roman" w:cs="Times New Roman" w:eastAsia="Times New Roman" w:hAnsi="Times New Roman"/>
          <w:sz w:val="15"/>
          <w:szCs w:val="15"/>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78" w:name="page79"/>
    <w:bookmarkEnd w:id="78"/>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146" w:lineRule="exact"/>
        <w:rPr>
          <w:sz w:val="20"/>
          <w:szCs w:val="20"/>
          <w:color w:val="auto"/>
        </w:rPr>
      </w:pPr>
    </w:p>
    <w:p>
      <w:pPr>
        <w:jc w:val="both"/>
        <w:ind w:firstLine="533"/>
        <w:spacing w:after="0" w:line="262" w:lineRule="auto"/>
        <w:tabs>
          <w:tab w:leader="none" w:pos="78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151" w:lineRule="exact"/>
        <w:rPr>
          <w:rFonts w:ascii="Times New Roman" w:cs="Times New Roman" w:eastAsia="Times New Roman" w:hAnsi="Times New Roman"/>
          <w:sz w:val="15"/>
          <w:szCs w:val="15"/>
          <w:color w:val="auto"/>
        </w:rPr>
      </w:pPr>
    </w:p>
    <w:p>
      <w:pPr>
        <w:ind w:right="20" w:firstLine="533"/>
        <w:spacing w:after="0" w:line="285" w:lineRule="auto"/>
        <w:tabs>
          <w:tab w:leader="none" w:pos="757"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33" w:lineRule="exact"/>
        <w:rPr>
          <w:rFonts w:ascii="Times New Roman" w:cs="Times New Roman" w:eastAsia="Times New Roman" w:hAnsi="Times New Roman"/>
          <w:sz w:val="15"/>
          <w:szCs w:val="15"/>
          <w:color w:val="auto"/>
        </w:rPr>
      </w:pPr>
    </w:p>
    <w:p>
      <w:pPr>
        <w:ind w:left="540" w:firstLine="536"/>
        <w:spacing w:after="0" w:line="285" w:lineRule="auto"/>
        <w:tabs>
          <w:tab w:leader="none" w:pos="1302"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33" w:lineRule="exact"/>
        <w:rPr>
          <w:rFonts w:ascii="Times New Roman" w:cs="Times New Roman" w:eastAsia="Times New Roman" w:hAnsi="Times New Roman"/>
          <w:sz w:val="15"/>
          <w:szCs w:val="15"/>
          <w:color w:val="auto"/>
        </w:rPr>
      </w:pPr>
    </w:p>
    <w:p>
      <w:pPr>
        <w:ind w:left="540" w:firstLine="536"/>
        <w:spacing w:after="0" w:line="285" w:lineRule="auto"/>
        <w:tabs>
          <w:tab w:leader="none" w:pos="1298"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33" w:lineRule="exact"/>
        <w:rPr>
          <w:rFonts w:ascii="Times New Roman" w:cs="Times New Roman" w:eastAsia="Times New Roman" w:hAnsi="Times New Roman"/>
          <w:sz w:val="15"/>
          <w:szCs w:val="15"/>
          <w:color w:val="auto"/>
        </w:rPr>
      </w:pPr>
    </w:p>
    <w:p>
      <w:pPr>
        <w:ind w:left="540" w:firstLine="536"/>
        <w:spacing w:after="0" w:line="285" w:lineRule="auto"/>
        <w:tabs>
          <w:tab w:leader="none" w:pos="1303"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33" w:lineRule="exact"/>
        <w:rPr>
          <w:rFonts w:ascii="Times New Roman" w:cs="Times New Roman" w:eastAsia="Times New Roman" w:hAnsi="Times New Roman"/>
          <w:sz w:val="15"/>
          <w:szCs w:val="15"/>
          <w:color w:val="auto"/>
        </w:rPr>
      </w:pPr>
    </w:p>
    <w:p>
      <w:pPr>
        <w:ind w:left="1300" w:hanging="224"/>
        <w:spacing w:after="0"/>
        <w:tabs>
          <w:tab w:leader="none" w:pos="13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it will perform all other duties of Paying Agent as set forth in this Indenture.</w:t>
      </w:r>
    </w:p>
    <w:p>
      <w:pPr>
        <w:spacing w:after="0" w:line="189" w:lineRule="exact"/>
        <w:rPr>
          <w:rFonts w:ascii="Times New Roman" w:cs="Times New Roman" w:eastAsia="Times New Roman" w:hAnsi="Times New Roman"/>
          <w:sz w:val="15"/>
          <w:szCs w:val="15"/>
          <w:color w:val="auto"/>
        </w:rPr>
      </w:pPr>
    </w:p>
    <w:p>
      <w:pPr>
        <w:jc w:val="both"/>
        <w:ind w:firstLine="533"/>
        <w:spacing w:after="0" w:line="257" w:lineRule="auto"/>
        <w:tabs>
          <w:tab w:leader="none" w:pos="763"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55" w:lineRule="exact"/>
        <w:rPr>
          <w:rFonts w:ascii="Times New Roman" w:cs="Times New Roman" w:eastAsia="Times New Roman" w:hAnsi="Times New Roman"/>
          <w:sz w:val="15"/>
          <w:szCs w:val="15"/>
          <w:color w:val="auto"/>
        </w:rPr>
      </w:pPr>
    </w:p>
    <w:p>
      <w:pPr>
        <w:jc w:val="both"/>
        <w:ind w:firstLine="533"/>
        <w:spacing w:after="0" w:line="262" w:lineRule="auto"/>
        <w:tabs>
          <w:tab w:leader="none" w:pos="74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79" w:name="page80"/>
    <w:bookmarkEnd w:id="79"/>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4.3</w:t>
      </w:r>
      <w:r>
        <w:rPr>
          <w:sz w:val="20"/>
          <w:szCs w:val="20"/>
          <w:color w:val="auto"/>
        </w:rPr>
        <w:tab/>
      </w:r>
      <w:r>
        <w:rPr>
          <w:rFonts w:ascii="Times New Roman" w:cs="Times New Roman" w:eastAsia="Times New Roman" w:hAnsi="Times New Roman"/>
          <w:sz w:val="15"/>
          <w:szCs w:val="15"/>
          <w:b w:val="1"/>
          <w:bCs w:val="1"/>
          <w:color w:val="auto"/>
        </w:rPr>
        <w:t>APPOINTMENT TO FILL VACANCY IN OFFICE OF TRUSTEE.</w:t>
      </w:r>
    </w:p>
    <w:p>
      <w:pPr>
        <w:spacing w:after="0" w:line="194" w:lineRule="exact"/>
        <w:rPr>
          <w:sz w:val="20"/>
          <w:szCs w:val="20"/>
          <w:color w:val="auto"/>
        </w:rPr>
      </w:pPr>
    </w:p>
    <w:p>
      <w:pPr>
        <w:ind w:left="10" w:right="20"/>
        <w:spacing w:after="0" w:line="285" w:lineRule="auto"/>
        <w:rPr>
          <w:sz w:val="20"/>
          <w:szCs w:val="20"/>
          <w:color w:val="auto"/>
        </w:rPr>
      </w:pPr>
      <w:r>
        <w:rPr>
          <w:rFonts w:ascii="Times New Roman" w:cs="Times New Roman" w:eastAsia="Times New Roman" w:hAnsi="Times New Roman"/>
          <w:sz w:val="15"/>
          <w:szCs w:val="15"/>
          <w:color w:val="auto"/>
        </w:rPr>
        <w:t>The Company, whenever necessary to avoid or fill a vacancy in the office of Trustee, will appoint, in the manner provided in Section 7.10, a Trustee, so that there shall at all times be a Trustee hereunder.</w:t>
      </w:r>
    </w:p>
    <w:p>
      <w:pPr>
        <w:spacing w:after="0" w:line="129"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4.4</w:t>
      </w:r>
      <w:r>
        <w:rPr>
          <w:sz w:val="20"/>
          <w:szCs w:val="20"/>
          <w:color w:val="auto"/>
        </w:rPr>
        <w:tab/>
      </w:r>
      <w:r>
        <w:rPr>
          <w:rFonts w:ascii="Times New Roman" w:cs="Times New Roman" w:eastAsia="Times New Roman" w:hAnsi="Times New Roman"/>
          <w:sz w:val="15"/>
          <w:szCs w:val="15"/>
          <w:b w:val="1"/>
          <w:bCs w:val="1"/>
          <w:color w:val="auto"/>
        </w:rPr>
        <w:t>COMPLIANCE WITH CONSOLIDATION PROVISIONS.</w:t>
      </w:r>
    </w:p>
    <w:p>
      <w:pPr>
        <w:spacing w:after="0" w:line="194" w:lineRule="exact"/>
        <w:rPr>
          <w:sz w:val="20"/>
          <w:szCs w:val="20"/>
          <w:color w:val="auto"/>
        </w:rPr>
      </w:pPr>
    </w:p>
    <w:p>
      <w:pPr>
        <w:ind w:left="10"/>
        <w:spacing w:after="0" w:line="285" w:lineRule="auto"/>
        <w:rPr>
          <w:sz w:val="20"/>
          <w:szCs w:val="20"/>
          <w:color w:val="auto"/>
        </w:rPr>
      </w:pPr>
      <w:r>
        <w:rPr>
          <w:rFonts w:ascii="Times New Roman" w:cs="Times New Roman" w:eastAsia="Times New Roman" w:hAnsi="Times New Roman"/>
          <w:sz w:val="15"/>
          <w:szCs w:val="15"/>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ectPr>
          <w:pgSz w:w="11900" w:h="16838" w:orient="portrait"/>
          <w:cols w:equalWidth="0" w:num="1">
            <w:col w:w="11270"/>
          </w:cols>
          <w:pgMar w:left="310" w:top="6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SECTION 5.1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5"/>
          <w:szCs w:val="15"/>
          <w:b w:val="1"/>
          <w:bCs w:val="1"/>
          <w:color w:val="auto"/>
        </w:rPr>
        <w:t>SECURITYHOLDERS’ LISTS AND REPORTS BY</w:t>
      </w:r>
    </w:p>
    <w:p>
      <w:pPr>
        <w:spacing w:after="0" w:line="19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b w:val="1"/>
          <w:bCs w:val="1"/>
          <w:color w:val="auto"/>
        </w:rPr>
        <w:t>THE COMPANY AND THE TRUSTEE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COMPANY TO FURNISH TRUSTEE NAMES AND ADDRESSES OF SECURITYHOLDERS.</w:t>
      </w:r>
    </w:p>
    <w:p>
      <w:pPr>
        <w:spacing w:after="0" w:line="194" w:lineRule="exact"/>
        <w:rPr>
          <w:sz w:val="20"/>
          <w:szCs w:val="20"/>
          <w:color w:val="auto"/>
        </w:rPr>
      </w:pPr>
    </w:p>
    <w:p>
      <w:pPr>
        <w:sectPr>
          <w:pgSz w:w="11900" w:h="16838" w:orient="portrait"/>
          <w:cols w:equalWidth="0" w:num="2">
            <w:col w:w="970" w:space="720"/>
            <w:col w:w="9580"/>
          </w:cols>
          <w:pgMar w:left="310" w:top="687" w:right="319" w:bottom="1440" w:gutter="0" w:footer="0" w:header="0"/>
          <w:type w:val="continuous"/>
        </w:sect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48"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5.2</w:t>
      </w:r>
      <w:r>
        <w:rPr>
          <w:sz w:val="20"/>
          <w:szCs w:val="20"/>
          <w:color w:val="auto"/>
        </w:rPr>
        <w:tab/>
      </w:r>
      <w:r>
        <w:rPr>
          <w:rFonts w:ascii="Times New Roman" w:cs="Times New Roman" w:eastAsia="Times New Roman" w:hAnsi="Times New Roman"/>
          <w:sz w:val="14"/>
          <w:szCs w:val="14"/>
          <w:b w:val="1"/>
          <w:bCs w:val="1"/>
          <w:color w:val="auto"/>
        </w:rPr>
        <w:t>PRESERVATION OF INFORMATION; COMMUNICATIONS WITH SECURITYHOLDERS.</w:t>
      </w:r>
    </w:p>
    <w:p>
      <w:pPr>
        <w:spacing w:after="0" w:line="194" w:lineRule="exact"/>
        <w:rPr>
          <w:sz w:val="20"/>
          <w:szCs w:val="20"/>
          <w:color w:val="auto"/>
        </w:rPr>
      </w:pPr>
    </w:p>
    <w:p>
      <w:pPr>
        <w:jc w:val="both"/>
        <w:ind w:left="10" w:firstLine="533"/>
        <w:spacing w:after="0" w:line="262" w:lineRule="auto"/>
        <w:tabs>
          <w:tab w:leader="none" w:pos="760"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w:t>
      </w:r>
    </w:p>
    <w:p>
      <w:pPr>
        <w:ind w:left="10" w:hanging="10"/>
        <w:spacing w:after="0" w:line="263" w:lineRule="auto"/>
        <w:tabs>
          <w:tab w:leader="none" w:pos="3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149" w:lineRule="exact"/>
        <w:rPr>
          <w:rFonts w:ascii="Times New Roman" w:cs="Times New Roman" w:eastAsia="Times New Roman" w:hAnsi="Times New Roman"/>
          <w:sz w:val="15"/>
          <w:szCs w:val="15"/>
          <w:color w:val="auto"/>
        </w:rPr>
      </w:pPr>
    </w:p>
    <w:p>
      <w:pPr>
        <w:ind w:left="10" w:firstLine="533"/>
        <w:spacing w:after="0" w:line="285" w:lineRule="auto"/>
        <w:tabs>
          <w:tab w:leader="none" w:pos="766"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133" w:lineRule="exact"/>
        <w:rPr>
          <w:rFonts w:ascii="Times New Roman" w:cs="Times New Roman" w:eastAsia="Times New Roman" w:hAnsi="Times New Roman"/>
          <w:sz w:val="15"/>
          <w:szCs w:val="15"/>
          <w:color w:val="auto"/>
        </w:rPr>
      </w:pPr>
    </w:p>
    <w:p>
      <w:pPr>
        <w:ind w:left="750" w:hanging="207"/>
        <w:spacing w:after="0"/>
        <w:tabs>
          <w:tab w:leader="none" w:pos="75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the Trustee, the Security Registrar and any other Person shall have the protection of Section 312(c) of the Trust Indenture Act.</w:t>
      </w:r>
    </w:p>
    <w:p>
      <w:pPr>
        <w:spacing w:after="0" w:line="272"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87" w:right="319" w:bottom="1440" w:gutter="0" w:footer="0" w:header="0"/>
          <w:type w:val="continuous"/>
        </w:sectPr>
      </w:pPr>
    </w:p>
    <w:bookmarkStart w:id="80" w:name="page81"/>
    <w:bookmarkEnd w:id="80"/>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5.3</w:t>
      </w:r>
      <w:r>
        <w:rPr>
          <w:sz w:val="20"/>
          <w:szCs w:val="20"/>
          <w:color w:val="auto"/>
        </w:rPr>
        <w:tab/>
      </w:r>
      <w:r>
        <w:rPr>
          <w:rFonts w:ascii="Times New Roman" w:cs="Times New Roman" w:eastAsia="Times New Roman" w:hAnsi="Times New Roman"/>
          <w:sz w:val="14"/>
          <w:szCs w:val="14"/>
          <w:b w:val="1"/>
          <w:bCs w:val="1"/>
          <w:color w:val="auto"/>
        </w:rPr>
        <w:t>REPORTS BY THE COMPANY.</w:t>
      </w:r>
    </w:p>
    <w:p>
      <w:pPr>
        <w:spacing w:after="0" w:line="194" w:lineRule="exact"/>
        <w:rPr>
          <w:sz w:val="20"/>
          <w:szCs w:val="20"/>
          <w:color w:val="auto"/>
        </w:rPr>
      </w:pPr>
    </w:p>
    <w:p>
      <w:pPr>
        <w:jc w:val="both"/>
        <w:ind w:firstLine="533"/>
        <w:spacing w:after="0" w:line="258" w:lineRule="auto"/>
        <w:tabs>
          <w:tab w:leader="none" w:pos="75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154" w:lineRule="exact"/>
        <w:rPr>
          <w:rFonts w:ascii="Times New Roman" w:cs="Times New Roman" w:eastAsia="Times New Roman" w:hAnsi="Times New Roman"/>
          <w:sz w:val="15"/>
          <w:szCs w:val="15"/>
          <w:color w:val="auto"/>
        </w:rPr>
      </w:pPr>
    </w:p>
    <w:p>
      <w:pPr>
        <w:jc w:val="both"/>
        <w:ind w:firstLine="533"/>
        <w:spacing w:after="0" w:line="268" w:lineRule="auto"/>
        <w:tabs>
          <w:tab w:leader="none" w:pos="75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5.4</w:t>
      </w:r>
      <w:r>
        <w:rPr>
          <w:sz w:val="20"/>
          <w:szCs w:val="20"/>
          <w:color w:val="auto"/>
        </w:rPr>
        <w:tab/>
      </w:r>
      <w:r>
        <w:rPr>
          <w:rFonts w:ascii="Times New Roman" w:cs="Times New Roman" w:eastAsia="Times New Roman" w:hAnsi="Times New Roman"/>
          <w:sz w:val="15"/>
          <w:szCs w:val="15"/>
          <w:b w:val="1"/>
          <w:bCs w:val="1"/>
          <w:color w:val="auto"/>
        </w:rPr>
        <w:t>REPORTS BY THE TRUSTEE.</w:t>
      </w:r>
    </w:p>
    <w:p>
      <w:pPr>
        <w:spacing w:after="0" w:line="194" w:lineRule="exact"/>
        <w:rPr>
          <w:sz w:val="20"/>
          <w:szCs w:val="20"/>
          <w:color w:val="auto"/>
        </w:rPr>
      </w:pPr>
    </w:p>
    <w:p>
      <w:pPr>
        <w:jc w:val="both"/>
        <w:ind w:firstLine="533"/>
        <w:spacing w:after="0" w:line="268" w:lineRule="auto"/>
        <w:tabs>
          <w:tab w:leader="none" w:pos="75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46"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comply with Section 313(b) and 313(c) of the Trust Indenture Act.</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748"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REMEDIES OF THE TRUSTEE AND SECURITYHOLDERS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ON EVENT OF DEFAULT</w:t>
      </w:r>
    </w:p>
    <w:p>
      <w:pPr>
        <w:spacing w:after="0" w:line="18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6.1</w:t>
      </w:r>
      <w:r>
        <w:rPr>
          <w:sz w:val="20"/>
          <w:szCs w:val="20"/>
          <w:color w:val="auto"/>
        </w:rPr>
        <w:tab/>
      </w:r>
      <w:r>
        <w:rPr>
          <w:rFonts w:ascii="Times New Roman" w:cs="Times New Roman" w:eastAsia="Times New Roman" w:hAnsi="Times New Roman"/>
          <w:sz w:val="14"/>
          <w:szCs w:val="14"/>
          <w:b w:val="1"/>
          <w:bCs w:val="1"/>
          <w:color w:val="auto"/>
        </w:rPr>
        <w:t>EVENTS OF DEFAULT.</w:t>
      </w:r>
    </w:p>
    <w:p>
      <w:pPr>
        <w:spacing w:after="0" w:line="190" w:lineRule="exact"/>
        <w:rPr>
          <w:sz w:val="20"/>
          <w:szCs w:val="20"/>
          <w:color w:val="auto"/>
        </w:rPr>
      </w:pPr>
    </w:p>
    <w:p>
      <w:pPr>
        <w:ind w:right="20" w:firstLine="533"/>
        <w:spacing w:after="0" w:line="290" w:lineRule="auto"/>
        <w:tabs>
          <w:tab w:leader="none" w:pos="75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used herein with respect to Securities of a particular series, unless otherwise specified in a Board Resolution or in an indenture supplemental hereto, “</w:t>
      </w:r>
      <w:r>
        <w:rPr>
          <w:rFonts w:ascii="Times New Roman" w:cs="Times New Roman" w:eastAsia="Times New Roman" w:hAnsi="Times New Roman"/>
          <w:sz w:val="15"/>
          <w:szCs w:val="15"/>
          <w:b w:val="1"/>
          <w:bCs w:val="1"/>
          <w:color w:val="auto"/>
        </w:rPr>
        <w:t>Event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means any one or more of the following events that has occurred and is continuing:</w:t>
      </w:r>
    </w:p>
    <w:p>
      <w:pPr>
        <w:spacing w:after="0" w:line="130"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05"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146" w:lineRule="exact"/>
        <w:rPr>
          <w:rFonts w:ascii="Times New Roman" w:cs="Times New Roman" w:eastAsia="Times New Roman" w:hAnsi="Times New Roman"/>
          <w:sz w:val="15"/>
          <w:szCs w:val="15"/>
          <w:color w:val="auto"/>
        </w:rPr>
      </w:pPr>
    </w:p>
    <w:p>
      <w:pPr>
        <w:jc w:val="both"/>
        <w:ind w:left="540" w:firstLine="536"/>
        <w:spacing w:after="0" w:line="262" w:lineRule="auto"/>
        <w:tabs>
          <w:tab w:leader="none" w:pos="1307"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81" w:name="page82"/>
    <w:bookmarkEnd w:id="81"/>
    <w:p>
      <w:pPr>
        <w:jc w:val="both"/>
        <w:ind w:left="540" w:firstLine="536"/>
        <w:spacing w:after="0" w:line="260" w:lineRule="auto"/>
        <w:tabs>
          <w:tab w:leader="none" w:pos="1307"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Times New Roman" w:cs="Times New Roman" w:eastAsia="Times New Roman" w:hAnsi="Times New Roman"/>
          <w:sz w:val="15"/>
          <w:szCs w:val="15"/>
          <w:b w:val="1"/>
          <w:bCs w:val="1"/>
          <w:color w:val="auto"/>
        </w:rPr>
        <w:t>Notice of Default</w:t>
      </w:r>
      <w:r>
        <w:rPr>
          <w:rFonts w:ascii="Times New Roman" w:cs="Times New Roman" w:eastAsia="Times New Roman" w:hAnsi="Times New Roman"/>
          <w:sz w:val="15"/>
          <w:szCs w:val="15"/>
          <w:color w:val="auto"/>
        </w:rPr>
        <w:t>” hereunder, shall have been given to the Company by the Trustee, by registered or certified mail, or to the Company and the Trustee by the holders of at least 25% in principal amount of the Securities of that series at the time Outstanding;</w:t>
      </w:r>
    </w:p>
    <w:p>
      <w:pPr>
        <w:spacing w:after="0" w:line="151"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46"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2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146" w:lineRule="exact"/>
        <w:rPr>
          <w:rFonts w:ascii="Times New Roman" w:cs="Times New Roman" w:eastAsia="Times New Roman" w:hAnsi="Times New Roman"/>
          <w:sz w:val="15"/>
          <w:szCs w:val="15"/>
          <w:color w:val="auto"/>
        </w:rPr>
      </w:pPr>
    </w:p>
    <w:p>
      <w:pPr>
        <w:ind w:left="1300" w:hanging="224"/>
        <w:spacing w:after="0"/>
        <w:tabs>
          <w:tab w:leader="none" w:pos="13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other specified events, as may be provided for in a Board Resolution or in a supplemental indenture.</w:t>
      </w:r>
    </w:p>
    <w:p>
      <w:pPr>
        <w:spacing w:after="0" w:line="189" w:lineRule="exact"/>
        <w:rPr>
          <w:rFonts w:ascii="Times New Roman" w:cs="Times New Roman" w:eastAsia="Times New Roman" w:hAnsi="Times New Roman"/>
          <w:sz w:val="15"/>
          <w:szCs w:val="15"/>
          <w:color w:val="auto"/>
        </w:rPr>
      </w:pPr>
    </w:p>
    <w:p>
      <w:pPr>
        <w:jc w:val="both"/>
        <w:ind w:firstLine="533"/>
        <w:spacing w:after="0" w:line="257" w:lineRule="auto"/>
        <w:tabs>
          <w:tab w:leader="none" w:pos="76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54" w:lineRule="exact"/>
        <w:rPr>
          <w:rFonts w:ascii="Times New Roman" w:cs="Times New Roman" w:eastAsia="Times New Roman" w:hAnsi="Times New Roman"/>
          <w:sz w:val="15"/>
          <w:szCs w:val="15"/>
          <w:color w:val="auto"/>
        </w:rPr>
      </w:pPr>
    </w:p>
    <w:p>
      <w:pPr>
        <w:jc w:val="both"/>
        <w:ind w:firstLine="533"/>
        <w:spacing w:after="0" w:line="255" w:lineRule="auto"/>
        <w:tabs>
          <w:tab w:leader="none" w:pos="753"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such rescission and annulment shall extend to or shall affect any subsequent default or impair any right consequent thereon.</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82" w:name="page83"/>
    <w:bookmarkEnd w:id="82"/>
    <w:p>
      <w:pPr>
        <w:jc w:val="both"/>
        <w:ind w:firstLine="533"/>
        <w:spacing w:after="0" w:line="262" w:lineRule="auto"/>
        <w:tabs>
          <w:tab w:leader="none" w:pos="76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6.2</w:t>
      </w:r>
      <w:r>
        <w:rPr>
          <w:sz w:val="20"/>
          <w:szCs w:val="20"/>
          <w:color w:val="auto"/>
        </w:rPr>
        <w:tab/>
      </w:r>
      <w:r>
        <w:rPr>
          <w:rFonts w:ascii="Times New Roman" w:cs="Times New Roman" w:eastAsia="Times New Roman" w:hAnsi="Times New Roman"/>
          <w:sz w:val="15"/>
          <w:szCs w:val="15"/>
          <w:b w:val="1"/>
          <w:bCs w:val="1"/>
          <w:color w:val="auto"/>
        </w:rPr>
        <w:t>COLLECTION OF INDEBTEDNESS AND SUITS FOR ENFORCEMENT BY TRUSTEE.</w:t>
      </w:r>
    </w:p>
    <w:p>
      <w:pPr>
        <w:spacing w:after="0" w:line="194" w:lineRule="exact"/>
        <w:rPr>
          <w:sz w:val="20"/>
          <w:szCs w:val="20"/>
          <w:color w:val="auto"/>
        </w:rPr>
      </w:pPr>
    </w:p>
    <w:p>
      <w:pPr>
        <w:jc w:val="both"/>
        <w:ind w:firstLine="533"/>
        <w:spacing w:after="0" w:line="256" w:lineRule="auto"/>
        <w:tabs>
          <w:tab w:leader="none" w:pos="75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157" w:lineRule="exact"/>
        <w:rPr>
          <w:rFonts w:ascii="Times New Roman" w:cs="Times New Roman" w:eastAsia="Times New Roman" w:hAnsi="Times New Roman"/>
          <w:sz w:val="15"/>
          <w:szCs w:val="15"/>
          <w:color w:val="auto"/>
        </w:rPr>
      </w:pPr>
    </w:p>
    <w:p>
      <w:pPr>
        <w:jc w:val="both"/>
        <w:ind w:firstLine="533"/>
        <w:spacing w:after="0" w:line="262" w:lineRule="auto"/>
        <w:tabs>
          <w:tab w:leader="none" w:pos="75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51" w:lineRule="exact"/>
        <w:rPr>
          <w:rFonts w:ascii="Times New Roman" w:cs="Times New Roman" w:eastAsia="Times New Roman" w:hAnsi="Times New Roman"/>
          <w:sz w:val="15"/>
          <w:szCs w:val="15"/>
          <w:color w:val="auto"/>
        </w:rPr>
      </w:pPr>
    </w:p>
    <w:p>
      <w:pPr>
        <w:jc w:val="both"/>
        <w:ind w:firstLine="533"/>
        <w:spacing w:after="0" w:line="256" w:lineRule="auto"/>
        <w:tabs>
          <w:tab w:leader="none" w:pos="75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157" w:lineRule="exact"/>
        <w:rPr>
          <w:rFonts w:ascii="Times New Roman" w:cs="Times New Roman" w:eastAsia="Times New Roman" w:hAnsi="Times New Roman"/>
          <w:sz w:val="15"/>
          <w:szCs w:val="15"/>
          <w:color w:val="auto"/>
        </w:rPr>
      </w:pPr>
    </w:p>
    <w:p>
      <w:pPr>
        <w:jc w:val="both"/>
        <w:ind w:firstLine="533"/>
        <w:spacing w:after="0" w:line="262" w:lineRule="auto"/>
        <w:tabs>
          <w:tab w:leader="none" w:pos="758"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83" w:name="page84"/>
    <w:bookmarkEnd w:id="83"/>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6.3</w:t>
      </w:r>
      <w:r>
        <w:rPr>
          <w:sz w:val="20"/>
          <w:szCs w:val="20"/>
          <w:color w:val="auto"/>
        </w:rPr>
        <w:tab/>
      </w:r>
      <w:r>
        <w:rPr>
          <w:rFonts w:ascii="Times New Roman" w:cs="Times New Roman" w:eastAsia="Times New Roman" w:hAnsi="Times New Roman"/>
          <w:sz w:val="15"/>
          <w:szCs w:val="15"/>
          <w:b w:val="1"/>
          <w:bCs w:val="1"/>
          <w:color w:val="auto"/>
        </w:rPr>
        <w:t>APPLICATION OF MONEYS COLLECTED.</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FIRST: To the payment of reasonable costs and expenses of collection and of all amounts payable to the Trustee under Section 7.6;</w:t>
      </w:r>
    </w:p>
    <w:p>
      <w:pPr>
        <w:spacing w:after="0" w:line="189" w:lineRule="exact"/>
        <w:rPr>
          <w:sz w:val="20"/>
          <w:szCs w:val="20"/>
          <w:color w:val="auto"/>
        </w:rPr>
      </w:pPr>
    </w:p>
    <w:p>
      <w:pPr>
        <w:jc w:val="both"/>
        <w:ind w:firstLine="543"/>
        <w:spacing w:after="0" w:line="268" w:lineRule="auto"/>
        <w:rPr>
          <w:sz w:val="20"/>
          <w:szCs w:val="20"/>
          <w:color w:val="auto"/>
        </w:rPr>
      </w:pPr>
      <w:r>
        <w:rPr>
          <w:rFonts w:ascii="Times New Roman" w:cs="Times New Roman" w:eastAsia="Times New Roman" w:hAnsi="Times New Roman"/>
          <w:sz w:val="15"/>
          <w:szCs w:val="15"/>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THIRD: To the payment of the remainder, if any, to the Company or any other Person lawfully entitled thereto.</w:t>
      </w:r>
    </w:p>
    <w:p>
      <w:pPr>
        <w:spacing w:after="0" w:line="19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6.4</w:t>
      </w:r>
      <w:r>
        <w:rPr>
          <w:sz w:val="20"/>
          <w:szCs w:val="20"/>
          <w:color w:val="auto"/>
        </w:rPr>
        <w:tab/>
      </w:r>
      <w:r>
        <w:rPr>
          <w:rFonts w:ascii="Times New Roman" w:cs="Times New Roman" w:eastAsia="Times New Roman" w:hAnsi="Times New Roman"/>
          <w:sz w:val="14"/>
          <w:szCs w:val="14"/>
          <w:b w:val="1"/>
          <w:bCs w:val="1"/>
          <w:color w:val="auto"/>
        </w:rPr>
        <w:t>LIMITATION ON SUITS.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 Securityholder and the Trustee shall be entitled to such relief as can be given either at law or in equity.</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84" w:name="page85"/>
    <w:bookmarkEnd w:id="84"/>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6.5</w:t>
      </w:r>
      <w:r>
        <w:rPr>
          <w:sz w:val="20"/>
          <w:szCs w:val="20"/>
          <w:color w:val="auto"/>
        </w:rPr>
        <w:tab/>
      </w:r>
      <w:r>
        <w:rPr>
          <w:rFonts w:ascii="Times New Roman" w:cs="Times New Roman" w:eastAsia="Times New Roman" w:hAnsi="Times New Roman"/>
          <w:sz w:val="14"/>
          <w:szCs w:val="14"/>
          <w:b w:val="1"/>
          <w:bCs w:val="1"/>
          <w:color w:val="auto"/>
        </w:rPr>
        <w:t>RIGHTS AND REMEDIES CUMULATIVE; DELAY OR OMISSION NOT WAIVER.</w:t>
      </w:r>
    </w:p>
    <w:p>
      <w:pPr>
        <w:spacing w:after="0" w:line="194" w:lineRule="exact"/>
        <w:rPr>
          <w:sz w:val="20"/>
          <w:szCs w:val="20"/>
          <w:color w:val="auto"/>
        </w:rPr>
      </w:pPr>
    </w:p>
    <w:p>
      <w:pPr>
        <w:jc w:val="both"/>
        <w:ind w:firstLine="533"/>
        <w:spacing w:after="0" w:line="268" w:lineRule="auto"/>
        <w:tabs>
          <w:tab w:leader="none" w:pos="75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46" w:lineRule="exact"/>
        <w:rPr>
          <w:rFonts w:ascii="Times New Roman" w:cs="Times New Roman" w:eastAsia="Times New Roman" w:hAnsi="Times New Roman"/>
          <w:sz w:val="15"/>
          <w:szCs w:val="15"/>
          <w:color w:val="auto"/>
        </w:rPr>
      </w:pPr>
    </w:p>
    <w:p>
      <w:pPr>
        <w:jc w:val="both"/>
        <w:ind w:firstLine="533"/>
        <w:spacing w:after="0" w:line="262" w:lineRule="auto"/>
        <w:tabs>
          <w:tab w:leader="none" w:pos="76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6.6</w:t>
      </w:r>
      <w:r>
        <w:rPr>
          <w:sz w:val="20"/>
          <w:szCs w:val="20"/>
          <w:color w:val="auto"/>
        </w:rPr>
        <w:tab/>
      </w:r>
      <w:r>
        <w:rPr>
          <w:rFonts w:ascii="Times New Roman" w:cs="Times New Roman" w:eastAsia="Times New Roman" w:hAnsi="Times New Roman"/>
          <w:sz w:val="15"/>
          <w:szCs w:val="15"/>
          <w:b w:val="1"/>
          <w:bCs w:val="1"/>
          <w:color w:val="auto"/>
        </w:rPr>
        <w:t>CONTROL BY SECURITYHOLDERS.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5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6.7</w:t>
      </w:r>
      <w:r>
        <w:rPr>
          <w:sz w:val="20"/>
          <w:szCs w:val="20"/>
          <w:color w:val="auto"/>
        </w:rPr>
        <w:tab/>
      </w:r>
      <w:r>
        <w:rPr>
          <w:rFonts w:ascii="Times New Roman" w:cs="Times New Roman" w:eastAsia="Times New Roman" w:hAnsi="Times New Roman"/>
          <w:sz w:val="14"/>
          <w:szCs w:val="14"/>
          <w:b w:val="1"/>
          <w:bCs w:val="1"/>
          <w:color w:val="auto"/>
        </w:rPr>
        <w:t>UNDERTAKING TO PAY COSTS.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b w:val="1"/>
          <w:bCs w:val="1"/>
          <w:color w:val="auto"/>
        </w:rPr>
        <w:t>CONCERNING THE TRUSTEE</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w:t>
      </w:r>
      <w:r>
        <w:rPr>
          <w:sz w:val="20"/>
          <w:szCs w:val="20"/>
          <w:color w:val="auto"/>
        </w:rPr>
        <w:tab/>
      </w:r>
      <w:r>
        <w:rPr>
          <w:rFonts w:ascii="Times New Roman" w:cs="Times New Roman" w:eastAsia="Times New Roman" w:hAnsi="Times New Roman"/>
          <w:sz w:val="15"/>
          <w:szCs w:val="15"/>
          <w:b w:val="1"/>
          <w:bCs w:val="1"/>
          <w:color w:val="auto"/>
        </w:rPr>
        <w:t>CERTAIN DUTIES AND RESPONSIBILITIES OF TRUSTEE.</w:t>
      </w:r>
    </w:p>
    <w:p>
      <w:pPr>
        <w:spacing w:after="0" w:line="194" w:lineRule="exact"/>
        <w:rPr>
          <w:sz w:val="20"/>
          <w:szCs w:val="20"/>
          <w:color w:val="auto"/>
        </w:rPr>
      </w:pPr>
    </w:p>
    <w:p>
      <w:pPr>
        <w:jc w:val="both"/>
        <w:ind w:firstLine="533"/>
        <w:spacing w:after="0" w:line="255" w:lineRule="auto"/>
        <w:tabs>
          <w:tab w:leader="none" w:pos="751"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 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60" w:lineRule="exact"/>
        <w:rPr>
          <w:rFonts w:ascii="Times New Roman" w:cs="Times New Roman" w:eastAsia="Times New Roman" w:hAnsi="Times New Roman"/>
          <w:sz w:val="15"/>
          <w:szCs w:val="15"/>
          <w:color w:val="auto"/>
        </w:rPr>
      </w:pPr>
    </w:p>
    <w:p>
      <w:pPr>
        <w:ind w:firstLine="533"/>
        <w:spacing w:after="0" w:line="285" w:lineRule="auto"/>
        <w:tabs>
          <w:tab w:leader="none" w:pos="7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be construed to relieve the Trustee from liability for its own negligent action, its own negligent failure to act, or its own willful misconduct, except that:</w:t>
      </w:r>
    </w:p>
    <w:p>
      <w:pPr>
        <w:spacing w:after="0" w:line="133" w:lineRule="exact"/>
        <w:rPr>
          <w:rFonts w:ascii="Times New Roman" w:cs="Times New Roman" w:eastAsia="Times New Roman" w:hAnsi="Times New Roman"/>
          <w:sz w:val="15"/>
          <w:szCs w:val="15"/>
          <w:color w:val="auto"/>
        </w:rPr>
      </w:pPr>
    </w:p>
    <w:p>
      <w:pPr>
        <w:ind w:left="1260" w:hanging="184"/>
        <w:spacing w:after="0"/>
        <w:tabs>
          <w:tab w:leader="none" w:pos="126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subsection (b) shall not be construed to limit the effect of subsection (a) of this Section;</w:t>
      </w:r>
    </w:p>
    <w:p>
      <w:pPr>
        <w:spacing w:after="0" w:line="189" w:lineRule="exact"/>
        <w:rPr>
          <w:rFonts w:ascii="Times New Roman" w:cs="Times New Roman" w:eastAsia="Times New Roman" w:hAnsi="Times New Roman"/>
          <w:sz w:val="15"/>
          <w:szCs w:val="15"/>
          <w:color w:val="auto"/>
        </w:rPr>
      </w:pPr>
    </w:p>
    <w:p>
      <w:pPr>
        <w:ind w:left="540" w:firstLine="536"/>
        <w:spacing w:after="0" w:line="285" w:lineRule="auto"/>
        <w:tabs>
          <w:tab w:leader="none" w:pos="1317"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error of judgment made in good faith by a Trust Officer or Trust Officers of the Trustee, unless it shall be proved that the Trustee was negligent in ascertaining the pertinent facts;</w:t>
      </w:r>
    </w:p>
    <w:p>
      <w:pPr>
        <w:spacing w:after="0" w:line="133"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53"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46"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52"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6" w:lineRule="exact"/>
        <w:rPr>
          <w:rFonts w:ascii="Times New Roman" w:cs="Times New Roman" w:eastAsia="Times New Roman" w:hAnsi="Times New Roman"/>
          <w:sz w:val="15"/>
          <w:szCs w:val="15"/>
          <w:color w:val="auto"/>
        </w:rPr>
      </w:pPr>
    </w:p>
    <w:p>
      <w:pPr>
        <w:ind w:firstLine="533"/>
        <w:spacing w:after="0" w:line="285" w:lineRule="auto"/>
        <w:tabs>
          <w:tab w:leader="none" w:pos="753"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86" w:name="page87"/>
    <w:bookmarkEnd w:id="86"/>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7.2</w:t>
      </w:r>
      <w:r>
        <w:rPr>
          <w:sz w:val="20"/>
          <w:szCs w:val="20"/>
          <w:color w:val="auto"/>
        </w:rPr>
        <w:tab/>
      </w:r>
      <w:r>
        <w:rPr>
          <w:rFonts w:ascii="Times New Roman" w:cs="Times New Roman" w:eastAsia="Times New Roman" w:hAnsi="Times New Roman"/>
          <w:sz w:val="15"/>
          <w:szCs w:val="15"/>
          <w:b w:val="1"/>
          <w:bCs w:val="1"/>
          <w:color w:val="auto"/>
        </w:rPr>
        <w:t>CERTAIN RIGHTS OF TRUSTEE.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Except as otherwise provided in Section 7.1:</w:t>
      </w:r>
    </w:p>
    <w:p>
      <w:pPr>
        <w:spacing w:after="0" w:line="190" w:lineRule="exact"/>
        <w:rPr>
          <w:sz w:val="20"/>
          <w:szCs w:val="20"/>
          <w:color w:val="auto"/>
        </w:rPr>
      </w:pPr>
    </w:p>
    <w:p>
      <w:pPr>
        <w:ind w:firstLine="533"/>
        <w:spacing w:after="0" w:line="285" w:lineRule="auto"/>
        <w:tabs>
          <w:tab w:leader="none" w:pos="76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6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33" w:lineRule="exact"/>
        <w:rPr>
          <w:rFonts w:ascii="Times New Roman" w:cs="Times New Roman" w:eastAsia="Times New Roman" w:hAnsi="Times New Roman"/>
          <w:sz w:val="15"/>
          <w:szCs w:val="15"/>
          <w:color w:val="auto"/>
        </w:rPr>
      </w:pPr>
    </w:p>
    <w:p>
      <w:pPr>
        <w:ind w:right="20" w:firstLine="533"/>
        <w:spacing w:after="0" w:line="285" w:lineRule="auto"/>
        <w:tabs>
          <w:tab w:leader="none" w:pos="75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33" w:lineRule="exact"/>
        <w:rPr>
          <w:rFonts w:ascii="Times New Roman" w:cs="Times New Roman" w:eastAsia="Times New Roman" w:hAnsi="Times New Roman"/>
          <w:sz w:val="15"/>
          <w:szCs w:val="15"/>
          <w:color w:val="auto"/>
        </w:rPr>
      </w:pPr>
    </w:p>
    <w:p>
      <w:pPr>
        <w:jc w:val="both"/>
        <w:ind w:firstLine="533"/>
        <w:spacing w:after="0" w:line="260" w:lineRule="auto"/>
        <w:tabs>
          <w:tab w:leader="none" w:pos="76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151" w:lineRule="exact"/>
        <w:rPr>
          <w:rFonts w:ascii="Times New Roman" w:cs="Times New Roman" w:eastAsia="Times New Roman" w:hAnsi="Times New Roman"/>
          <w:sz w:val="15"/>
          <w:szCs w:val="15"/>
          <w:color w:val="auto"/>
        </w:rPr>
      </w:pPr>
    </w:p>
    <w:p>
      <w:pPr>
        <w:ind w:firstLine="533"/>
        <w:spacing w:after="0" w:line="285" w:lineRule="auto"/>
        <w:tabs>
          <w:tab w:leader="none" w:pos="755"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action taken or omitted to be taken by it in good faith and believed by it to be authorized or within the discretion or rights or powers conferred upon it by this Indenture;</w:t>
      </w:r>
    </w:p>
    <w:p>
      <w:pPr>
        <w:spacing w:after="0" w:line="133" w:lineRule="exact"/>
        <w:rPr>
          <w:rFonts w:ascii="Times New Roman" w:cs="Times New Roman" w:eastAsia="Times New Roman" w:hAnsi="Times New Roman"/>
          <w:sz w:val="15"/>
          <w:szCs w:val="15"/>
          <w:color w:val="auto"/>
        </w:rPr>
      </w:pPr>
    </w:p>
    <w:p>
      <w:pPr>
        <w:jc w:val="both"/>
        <w:ind w:firstLine="533"/>
        <w:spacing w:after="0" w:line="255" w:lineRule="auto"/>
        <w:tabs>
          <w:tab w:leader="none" w:pos="73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 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58" w:lineRule="exact"/>
        <w:rPr>
          <w:rFonts w:ascii="Times New Roman" w:cs="Times New Roman" w:eastAsia="Times New Roman" w:hAnsi="Times New Roman"/>
          <w:sz w:val="15"/>
          <w:szCs w:val="15"/>
          <w:color w:val="auto"/>
        </w:rPr>
      </w:pPr>
    </w:p>
    <w:p>
      <w:pPr>
        <w:ind w:firstLine="533"/>
        <w:spacing w:after="0" w:line="285" w:lineRule="auto"/>
        <w:tabs>
          <w:tab w:leader="none" w:pos="76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5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3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87" w:name="page88"/>
    <w:bookmarkEnd w:id="87"/>
    <w:p>
      <w:pPr>
        <w:ind w:right="20" w:firstLine="533"/>
        <w:spacing w:after="0" w:line="285" w:lineRule="auto"/>
        <w:tabs>
          <w:tab w:leader="none" w:pos="74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required to give any bond or surety in respect of the performance of its powers and duties hereunder;</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72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the acts or omissions of any other agent of the Company, and may assume performance by any such agent of its duties, absent written notice or actual knowledge to the contrary; and</w:t>
      </w:r>
    </w:p>
    <w:p>
      <w:pPr>
        <w:spacing w:after="0" w:line="133" w:lineRule="exact"/>
        <w:rPr>
          <w:rFonts w:ascii="Times New Roman" w:cs="Times New Roman" w:eastAsia="Times New Roman" w:hAnsi="Times New Roman"/>
          <w:sz w:val="15"/>
          <w:szCs w:val="15"/>
          <w:color w:val="auto"/>
        </w:rPr>
      </w:pPr>
    </w:p>
    <w:p>
      <w:pPr>
        <w:ind w:left="780" w:hanging="247"/>
        <w:spacing w:after="0"/>
        <w:tabs>
          <w:tab w:leader="none" w:pos="7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permissive right of the Trustee to take the actions permitted by this Indenture shall not be construed as an obligation or duty to do so.</w:t>
      </w:r>
    </w:p>
    <w:p>
      <w:pPr>
        <w:spacing w:after="0" w:line="18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7.3</w:t>
      </w:r>
      <w:r>
        <w:rPr>
          <w:sz w:val="20"/>
          <w:szCs w:val="20"/>
          <w:color w:val="auto"/>
        </w:rPr>
        <w:tab/>
      </w:r>
      <w:r>
        <w:rPr>
          <w:rFonts w:ascii="Times New Roman" w:cs="Times New Roman" w:eastAsia="Times New Roman" w:hAnsi="Times New Roman"/>
          <w:sz w:val="15"/>
          <w:szCs w:val="15"/>
          <w:b w:val="1"/>
          <w:bCs w:val="1"/>
          <w:color w:val="auto"/>
        </w:rPr>
        <w:t>TRUSTEE NOT RESPONSIBLE FOR RECITALS OR ISSUANCE OR SECURITIES.</w:t>
      </w:r>
    </w:p>
    <w:p>
      <w:pPr>
        <w:spacing w:after="0" w:line="194" w:lineRule="exact"/>
        <w:rPr>
          <w:sz w:val="20"/>
          <w:szCs w:val="20"/>
          <w:color w:val="auto"/>
        </w:rPr>
      </w:pPr>
    </w:p>
    <w:p>
      <w:pPr>
        <w:ind w:left="740" w:hanging="207"/>
        <w:spacing w:after="0"/>
        <w:tabs>
          <w:tab w:leader="none" w:pos="7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recitals contained herein and in the Securities shall be taken as the statements of the Company, and the Trustee assumes no responsibility for the correctness of the same.</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makes no representations as to the validity or sufficiency of this Indenture or of the Securities.</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753"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7.4</w:t>
      </w:r>
      <w:r>
        <w:rPr>
          <w:sz w:val="20"/>
          <w:szCs w:val="20"/>
          <w:color w:val="auto"/>
        </w:rPr>
        <w:tab/>
      </w:r>
      <w:r>
        <w:rPr>
          <w:rFonts w:ascii="Times New Roman" w:cs="Times New Roman" w:eastAsia="Times New Roman" w:hAnsi="Times New Roman"/>
          <w:sz w:val="14"/>
          <w:szCs w:val="14"/>
          <w:b w:val="1"/>
          <w:bCs w:val="1"/>
          <w:color w:val="auto"/>
        </w:rPr>
        <w:t>MAY HOLD SECURITIES AND OTHERWISE DEAL WITH THE COMPANY.</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15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7.5</w:t>
      </w:r>
      <w:r>
        <w:rPr>
          <w:sz w:val="20"/>
          <w:szCs w:val="20"/>
          <w:color w:val="auto"/>
        </w:rPr>
        <w:tab/>
      </w:r>
      <w:r>
        <w:rPr>
          <w:rFonts w:ascii="Times New Roman" w:cs="Times New Roman" w:eastAsia="Times New Roman" w:hAnsi="Times New Roman"/>
          <w:sz w:val="14"/>
          <w:szCs w:val="14"/>
          <w:b w:val="1"/>
          <w:bCs w:val="1"/>
          <w:color w:val="auto"/>
        </w:rPr>
        <w:t>MONEYS HELD IN TRUST.</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88" w:name="page89"/>
    <w:bookmarkEnd w:id="88"/>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7.6</w:t>
      </w:r>
      <w:r>
        <w:rPr>
          <w:sz w:val="20"/>
          <w:szCs w:val="20"/>
          <w:color w:val="auto"/>
        </w:rPr>
        <w:tab/>
      </w:r>
      <w:r>
        <w:rPr>
          <w:rFonts w:ascii="Times New Roman" w:cs="Times New Roman" w:eastAsia="Times New Roman" w:hAnsi="Times New Roman"/>
          <w:sz w:val="15"/>
          <w:szCs w:val="15"/>
          <w:b w:val="1"/>
          <w:bCs w:val="1"/>
          <w:color w:val="auto"/>
        </w:rPr>
        <w:t>COMPENSATION AND REIMBURSEMENT.</w:t>
      </w:r>
    </w:p>
    <w:p>
      <w:pPr>
        <w:spacing w:after="0" w:line="194" w:lineRule="exact"/>
        <w:rPr>
          <w:sz w:val="20"/>
          <w:szCs w:val="20"/>
          <w:color w:val="auto"/>
        </w:rPr>
      </w:pPr>
    </w:p>
    <w:p>
      <w:pPr>
        <w:jc w:val="both"/>
        <w:ind w:firstLine="533"/>
        <w:spacing w:after="0" w:line="255" w:lineRule="auto"/>
        <w:tabs>
          <w:tab w:leader="none" w:pos="762"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160" w:lineRule="exact"/>
        <w:rPr>
          <w:rFonts w:ascii="Times New Roman" w:cs="Times New Roman" w:eastAsia="Times New Roman" w:hAnsi="Times New Roman"/>
          <w:sz w:val="15"/>
          <w:szCs w:val="15"/>
          <w:color w:val="auto"/>
        </w:rPr>
      </w:pPr>
    </w:p>
    <w:p>
      <w:pPr>
        <w:ind w:firstLine="533"/>
        <w:spacing w:after="0" w:line="285" w:lineRule="auto"/>
        <w:tabs>
          <w:tab w:leader="none" w:pos="7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1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provisions of this Section 7.6 shall survive the resignation or removal of the Trustee and the termination or satisfaction of this Indenture.</w:t>
      </w:r>
    </w:p>
    <w:p>
      <w:pPr>
        <w:spacing w:after="0" w:line="18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7.7</w:t>
      </w:r>
      <w:r>
        <w:rPr>
          <w:sz w:val="20"/>
          <w:szCs w:val="20"/>
          <w:color w:val="auto"/>
        </w:rPr>
        <w:tab/>
      </w:r>
      <w:r>
        <w:rPr>
          <w:rFonts w:ascii="Times New Roman" w:cs="Times New Roman" w:eastAsia="Times New Roman" w:hAnsi="Times New Roman"/>
          <w:sz w:val="15"/>
          <w:szCs w:val="15"/>
          <w:b w:val="1"/>
          <w:bCs w:val="1"/>
          <w:color w:val="auto"/>
        </w:rPr>
        <w:t>RELIANCE ON OFFICER’S CERTIFICATE.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7.8</w:t>
      </w:r>
      <w:r>
        <w:rPr>
          <w:sz w:val="20"/>
          <w:szCs w:val="20"/>
          <w:color w:val="auto"/>
        </w:rPr>
        <w:tab/>
      </w:r>
      <w:r>
        <w:rPr>
          <w:rFonts w:ascii="Times New Roman" w:cs="Times New Roman" w:eastAsia="Times New Roman" w:hAnsi="Times New Roman"/>
          <w:sz w:val="15"/>
          <w:szCs w:val="15"/>
          <w:b w:val="1"/>
          <w:bCs w:val="1"/>
          <w:color w:val="auto"/>
        </w:rPr>
        <w:t>DISQUALIFICATION; CONFLICTING INTERESTS.</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7.9</w:t>
      </w:r>
      <w:r>
        <w:rPr>
          <w:sz w:val="20"/>
          <w:szCs w:val="20"/>
          <w:color w:val="auto"/>
        </w:rPr>
        <w:tab/>
      </w:r>
      <w:r>
        <w:rPr>
          <w:rFonts w:ascii="Times New Roman" w:cs="Times New Roman" w:eastAsia="Times New Roman" w:hAnsi="Times New Roman"/>
          <w:sz w:val="14"/>
          <w:szCs w:val="14"/>
          <w:b w:val="1"/>
          <w:bCs w:val="1"/>
          <w:color w:val="auto"/>
        </w:rPr>
        <w:t>CORPORATE TRUSTEE REQUIRED; ELIGIBILITY.</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89" w:name="page90"/>
    <w:bookmarkEnd w:id="89"/>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7.10</w:t>
      </w:r>
      <w:r>
        <w:rPr>
          <w:sz w:val="20"/>
          <w:szCs w:val="20"/>
          <w:color w:val="auto"/>
        </w:rPr>
        <w:tab/>
      </w:r>
      <w:r>
        <w:rPr>
          <w:rFonts w:ascii="Times New Roman" w:cs="Times New Roman" w:eastAsia="Times New Roman" w:hAnsi="Times New Roman"/>
          <w:sz w:val="14"/>
          <w:szCs w:val="14"/>
          <w:b w:val="1"/>
          <w:bCs w:val="1"/>
          <w:color w:val="auto"/>
        </w:rPr>
        <w:t>RESIGNATION AND REMOVAL; APPOINTMENT OF SUCCESSOR.</w:t>
      </w:r>
    </w:p>
    <w:p>
      <w:pPr>
        <w:spacing w:after="0" w:line="194" w:lineRule="exact"/>
        <w:rPr>
          <w:sz w:val="20"/>
          <w:szCs w:val="20"/>
          <w:color w:val="auto"/>
        </w:rPr>
      </w:pPr>
    </w:p>
    <w:p>
      <w:pPr>
        <w:jc w:val="both"/>
        <w:ind w:firstLine="533"/>
        <w:spacing w:after="0" w:line="256" w:lineRule="auto"/>
        <w:tabs>
          <w:tab w:leader="none" w:pos="752"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157"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at any time any one of the following shall occur:</w:t>
      </w:r>
    </w:p>
    <w:p>
      <w:pPr>
        <w:spacing w:after="0" w:line="189" w:lineRule="exact"/>
        <w:rPr>
          <w:rFonts w:ascii="Times New Roman" w:cs="Times New Roman" w:eastAsia="Times New Roman" w:hAnsi="Times New Roman"/>
          <w:sz w:val="15"/>
          <w:szCs w:val="15"/>
          <w:color w:val="auto"/>
        </w:rPr>
      </w:pPr>
    </w:p>
    <w:p>
      <w:pPr>
        <w:ind w:left="540" w:firstLine="536"/>
        <w:spacing w:after="0" w:line="285" w:lineRule="auto"/>
        <w:tabs>
          <w:tab w:leader="none" w:pos="1268"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fail to comply with the provisions of Section 7.8 after written request therefor by the Company or by any Securityholder who has been a bona fide holder of a Security or Securities for at least six months; or</w:t>
      </w:r>
    </w:p>
    <w:p>
      <w:pPr>
        <w:spacing w:after="0" w:line="133" w:lineRule="exact"/>
        <w:rPr>
          <w:rFonts w:ascii="Times New Roman" w:cs="Times New Roman" w:eastAsia="Times New Roman" w:hAnsi="Times New Roman"/>
          <w:sz w:val="15"/>
          <w:szCs w:val="15"/>
          <w:color w:val="auto"/>
        </w:rPr>
      </w:pPr>
    </w:p>
    <w:p>
      <w:pPr>
        <w:ind w:left="540" w:firstLine="536"/>
        <w:spacing w:after="0" w:line="285" w:lineRule="auto"/>
        <w:tabs>
          <w:tab w:leader="none" w:pos="1306"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cease to be eligible in accordance with the provisions of Section 7.9 and shall fail to resign after written request therefor by the Company or by any such Securityholder; or</w:t>
      </w:r>
    </w:p>
    <w:p>
      <w:pPr>
        <w:spacing w:after="0" w:line="133" w:lineRule="exact"/>
        <w:rPr>
          <w:rFonts w:ascii="Times New Roman" w:cs="Times New Roman" w:eastAsia="Times New Roman" w:hAnsi="Times New Roman"/>
          <w:sz w:val="15"/>
          <w:szCs w:val="15"/>
          <w:color w:val="auto"/>
        </w:rPr>
      </w:pPr>
    </w:p>
    <w:p>
      <w:pPr>
        <w:jc w:val="both"/>
        <w:ind w:left="540" w:firstLine="536"/>
        <w:spacing w:after="0" w:line="268" w:lineRule="auto"/>
        <w:tabs>
          <w:tab w:leader="none" w:pos="1357"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2" w:lineRule="exact"/>
        <w:rPr>
          <w:sz w:val="20"/>
          <w:szCs w:val="20"/>
          <w:color w:val="auto"/>
        </w:rPr>
      </w:pPr>
    </w:p>
    <w:p>
      <w:pPr>
        <w:ind w:firstLine="533"/>
        <w:spacing w:after="0" w:line="285" w:lineRule="auto"/>
        <w:tabs>
          <w:tab w:leader="none" w:pos="751"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65"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33" w:lineRule="exact"/>
        <w:rPr>
          <w:rFonts w:ascii="Times New Roman" w:cs="Times New Roman" w:eastAsia="Times New Roman" w:hAnsi="Times New Roman"/>
          <w:sz w:val="15"/>
          <w:szCs w:val="15"/>
          <w:color w:val="auto"/>
        </w:rPr>
      </w:pPr>
    </w:p>
    <w:p>
      <w:pPr>
        <w:ind w:right="20" w:firstLine="533"/>
        <w:spacing w:after="0" w:line="285" w:lineRule="auto"/>
        <w:tabs>
          <w:tab w:leader="none" w:pos="74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90" w:name="page91"/>
    <w:bookmarkEnd w:id="90"/>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7.11</w:t>
      </w:r>
      <w:r>
        <w:rPr>
          <w:sz w:val="20"/>
          <w:szCs w:val="20"/>
          <w:color w:val="auto"/>
        </w:rPr>
        <w:tab/>
      </w:r>
      <w:r>
        <w:rPr>
          <w:rFonts w:ascii="Times New Roman" w:cs="Times New Roman" w:eastAsia="Times New Roman" w:hAnsi="Times New Roman"/>
          <w:sz w:val="15"/>
          <w:szCs w:val="15"/>
          <w:b w:val="1"/>
          <w:bCs w:val="1"/>
          <w:color w:val="auto"/>
        </w:rPr>
        <w:t>ACCEPTANCE OF APPOINTMENT BY SUCCESSOR.</w:t>
      </w:r>
    </w:p>
    <w:p>
      <w:pPr>
        <w:spacing w:after="0" w:line="194" w:lineRule="exact"/>
        <w:rPr>
          <w:sz w:val="20"/>
          <w:szCs w:val="20"/>
          <w:color w:val="auto"/>
        </w:rPr>
      </w:pPr>
    </w:p>
    <w:p>
      <w:pPr>
        <w:jc w:val="both"/>
        <w:ind w:firstLine="533"/>
        <w:spacing w:after="0" w:line="260" w:lineRule="auto"/>
        <w:tabs>
          <w:tab w:leader="none" w:pos="75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51" w:lineRule="exact"/>
        <w:rPr>
          <w:rFonts w:ascii="Times New Roman" w:cs="Times New Roman" w:eastAsia="Times New Roman" w:hAnsi="Times New Roman"/>
          <w:sz w:val="15"/>
          <w:szCs w:val="15"/>
          <w:color w:val="auto"/>
        </w:rPr>
      </w:pPr>
    </w:p>
    <w:p>
      <w:pPr>
        <w:jc w:val="both"/>
        <w:ind w:firstLine="533"/>
        <w:spacing w:after="0" w:line="254" w:lineRule="auto"/>
        <w:tabs>
          <w:tab w:leader="none" w:pos="77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57" w:lineRule="exact"/>
        <w:rPr>
          <w:rFonts w:ascii="Times New Roman" w:cs="Times New Roman" w:eastAsia="Times New Roman" w:hAnsi="Times New Roman"/>
          <w:sz w:val="15"/>
          <w:szCs w:val="15"/>
          <w:color w:val="auto"/>
        </w:rPr>
      </w:pPr>
    </w:p>
    <w:p>
      <w:pPr>
        <w:ind w:firstLine="533"/>
        <w:spacing w:after="0" w:line="285" w:lineRule="auto"/>
        <w:tabs>
          <w:tab w:leader="none" w:pos="763"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successor trustee shall accept its appointment unless at the time of such acceptance such successor trustee shall be qualified and eligible under this Article VII.</w:t>
      </w:r>
    </w:p>
    <w:p>
      <w:pPr>
        <w:spacing w:after="0" w:line="189" w:lineRule="exact"/>
        <w:rPr>
          <w:rFonts w:ascii="Times New Roman" w:cs="Times New Roman" w:eastAsia="Times New Roman" w:hAnsi="Times New Roman"/>
          <w:sz w:val="15"/>
          <w:szCs w:val="15"/>
          <w:color w:val="auto"/>
        </w:rPr>
      </w:pPr>
    </w:p>
    <w:p>
      <w:pPr>
        <w:jc w:val="both"/>
        <w:ind w:firstLine="533"/>
        <w:spacing w:after="0" w:line="268" w:lineRule="auto"/>
        <w:tabs>
          <w:tab w:leader="none" w:pos="75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91" w:name="page92"/>
    <w:bookmarkEnd w:id="91"/>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7.12</w:t>
      </w:r>
      <w:r>
        <w:rPr>
          <w:sz w:val="20"/>
          <w:szCs w:val="20"/>
          <w:color w:val="auto"/>
        </w:rPr>
        <w:tab/>
      </w:r>
      <w:r>
        <w:rPr>
          <w:rFonts w:ascii="Times New Roman" w:cs="Times New Roman" w:eastAsia="Times New Roman" w:hAnsi="Times New Roman"/>
          <w:sz w:val="15"/>
          <w:szCs w:val="15"/>
          <w:b w:val="1"/>
          <w:bCs w:val="1"/>
          <w:color w:val="auto"/>
        </w:rPr>
        <w:t>MERGER, CONVERSION, CONSOLIDATION OR SUCCESSION TO BUSINESS.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5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7.13</w:t>
      </w:r>
      <w:r>
        <w:rPr>
          <w:sz w:val="20"/>
          <w:szCs w:val="20"/>
          <w:color w:val="auto"/>
        </w:rPr>
        <w:tab/>
      </w:r>
      <w:r>
        <w:rPr>
          <w:rFonts w:ascii="Times New Roman" w:cs="Times New Roman" w:eastAsia="Times New Roman" w:hAnsi="Times New Roman"/>
          <w:sz w:val="15"/>
          <w:szCs w:val="15"/>
          <w:b w:val="1"/>
          <w:bCs w:val="1"/>
          <w:color w:val="auto"/>
        </w:rPr>
        <w:t>PREFERENTIAL COLLECTION OF CLAIMS AGAINST THE COMPANY.</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7.14</w:t>
      </w:r>
      <w:r>
        <w:rPr>
          <w:sz w:val="20"/>
          <w:szCs w:val="20"/>
          <w:color w:val="auto"/>
        </w:rPr>
        <w:tab/>
      </w:r>
      <w:r>
        <w:rPr>
          <w:rFonts w:ascii="Times New Roman" w:cs="Times New Roman" w:eastAsia="Times New Roman" w:hAnsi="Times New Roman"/>
          <w:sz w:val="14"/>
          <w:szCs w:val="14"/>
          <w:b w:val="1"/>
          <w:bCs w:val="1"/>
          <w:color w:val="auto"/>
        </w:rPr>
        <w:t>NOTICE OF DEFAULT.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7.15</w:t>
      </w:r>
      <w:r>
        <w:rPr>
          <w:sz w:val="20"/>
          <w:szCs w:val="20"/>
          <w:color w:val="auto"/>
        </w:rPr>
        <w:tab/>
      </w:r>
      <w:r>
        <w:rPr>
          <w:rFonts w:ascii="Times New Roman" w:cs="Times New Roman" w:eastAsia="Times New Roman" w:hAnsi="Times New Roman"/>
          <w:sz w:val="14"/>
          <w:szCs w:val="14"/>
          <w:b w:val="1"/>
          <w:bCs w:val="1"/>
          <w:color w:val="auto"/>
        </w:rPr>
        <w:t>LIMITATION OF LIABILITY</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1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CONCERNING THE SECURITYHOLDERS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8.1</w:t>
      </w:r>
      <w:r>
        <w:rPr>
          <w:sz w:val="20"/>
          <w:szCs w:val="20"/>
          <w:color w:val="auto"/>
        </w:rPr>
        <w:tab/>
      </w:r>
      <w:r>
        <w:rPr>
          <w:rFonts w:ascii="Times New Roman" w:cs="Times New Roman" w:eastAsia="Times New Roman" w:hAnsi="Times New Roman"/>
          <w:sz w:val="15"/>
          <w:szCs w:val="15"/>
          <w:b w:val="1"/>
          <w:bCs w:val="1"/>
          <w:color w:val="auto"/>
        </w:rPr>
        <w:t>EVIDENCE OF ACTION BY SECURITYHOLDERS.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5"/>
          <w:szCs w:val="15"/>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5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8.2</w:t>
      </w:r>
      <w:r>
        <w:rPr>
          <w:sz w:val="20"/>
          <w:szCs w:val="20"/>
          <w:color w:val="auto"/>
        </w:rPr>
        <w:tab/>
      </w:r>
      <w:r>
        <w:rPr>
          <w:rFonts w:ascii="Times New Roman" w:cs="Times New Roman" w:eastAsia="Times New Roman" w:hAnsi="Times New Roman"/>
          <w:sz w:val="15"/>
          <w:szCs w:val="15"/>
          <w:b w:val="1"/>
          <w:bCs w:val="1"/>
          <w:color w:val="auto"/>
        </w:rPr>
        <w:t>PROOF OF EXECUTION BY SECURITYHOLDERS.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5"/>
          <w:szCs w:val="15"/>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33" w:lineRule="exact"/>
        <w:rPr>
          <w:sz w:val="20"/>
          <w:szCs w:val="20"/>
          <w:color w:val="auto"/>
        </w:rPr>
      </w:pPr>
    </w:p>
    <w:p>
      <w:pPr>
        <w:ind w:left="740" w:hanging="207"/>
        <w:spacing w:after="0"/>
        <w:tabs>
          <w:tab w:leader="none" w:pos="7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and date of the execution by any such Person of any instrument may be proved in any reasonable manner acceptable to the Trustee.</w:t>
      </w:r>
    </w:p>
    <w:p>
      <w:pPr>
        <w:spacing w:after="0" w:line="189" w:lineRule="exact"/>
        <w:rPr>
          <w:rFonts w:ascii="Times New Roman" w:cs="Times New Roman" w:eastAsia="Times New Roman" w:hAnsi="Times New Roman"/>
          <w:sz w:val="15"/>
          <w:szCs w:val="15"/>
          <w:color w:val="auto"/>
        </w:rPr>
      </w:pPr>
    </w:p>
    <w:p>
      <w:pPr>
        <w:ind w:right="2140" w:firstLine="533"/>
        <w:spacing w:after="0" w:line="500" w:lineRule="auto"/>
        <w:tabs>
          <w:tab w:leader="none" w:pos="757"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8.3</w:t>
      </w:r>
      <w:r>
        <w:rPr>
          <w:sz w:val="20"/>
          <w:szCs w:val="20"/>
          <w:color w:val="auto"/>
        </w:rPr>
        <w:tab/>
      </w:r>
      <w:r>
        <w:rPr>
          <w:rFonts w:ascii="Times New Roman" w:cs="Times New Roman" w:eastAsia="Times New Roman" w:hAnsi="Times New Roman"/>
          <w:sz w:val="15"/>
          <w:szCs w:val="15"/>
          <w:b w:val="1"/>
          <w:bCs w:val="1"/>
          <w:color w:val="auto"/>
        </w:rPr>
        <w:t>WHO MAY BE DEEMED OWNERS.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8.4</w:t>
      </w:r>
      <w:r>
        <w:rPr>
          <w:sz w:val="20"/>
          <w:szCs w:val="20"/>
          <w:color w:val="auto"/>
        </w:rPr>
        <w:tab/>
      </w:r>
      <w:r>
        <w:rPr>
          <w:rFonts w:ascii="Times New Roman" w:cs="Times New Roman" w:eastAsia="Times New Roman" w:hAnsi="Times New Roman"/>
          <w:sz w:val="15"/>
          <w:szCs w:val="15"/>
          <w:b w:val="1"/>
          <w:bCs w:val="1"/>
          <w:color w:val="auto"/>
        </w:rPr>
        <w:t>CERTAIN SECURITIES OWNED BY COMPANY DISREGARDED.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5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8.5</w:t>
      </w:r>
      <w:r>
        <w:rPr>
          <w:sz w:val="20"/>
          <w:szCs w:val="20"/>
          <w:color w:val="auto"/>
        </w:rPr>
        <w:tab/>
      </w:r>
      <w:r>
        <w:rPr>
          <w:rFonts w:ascii="Times New Roman" w:cs="Times New Roman" w:eastAsia="Times New Roman" w:hAnsi="Times New Roman"/>
          <w:sz w:val="15"/>
          <w:szCs w:val="15"/>
          <w:b w:val="1"/>
          <w:bCs w:val="1"/>
          <w:color w:val="auto"/>
        </w:rPr>
        <w:t>ACTIONS BINDING ON FUTURE SECURITYHOLDERS.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SUPPLEMENTAL INDENTURES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9.1</w:t>
      </w:r>
      <w:r>
        <w:rPr>
          <w:sz w:val="20"/>
          <w:szCs w:val="20"/>
          <w:color w:val="auto"/>
        </w:rPr>
        <w:tab/>
      </w:r>
      <w:r>
        <w:rPr>
          <w:rFonts w:ascii="Times New Roman" w:cs="Times New Roman" w:eastAsia="Times New Roman" w:hAnsi="Times New Roman"/>
          <w:sz w:val="15"/>
          <w:szCs w:val="15"/>
          <w:b w:val="1"/>
          <w:bCs w:val="1"/>
          <w:color w:val="auto"/>
        </w:rPr>
        <w:t>SUPPLEMENTAL INDENTURES WITHOUT THE CONSENT OF SECURITYHOLDERS.</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146" w:lineRule="exact"/>
        <w:rPr>
          <w:sz w:val="20"/>
          <w:szCs w:val="20"/>
          <w:color w:val="auto"/>
        </w:rPr>
      </w:pPr>
    </w:p>
    <w:p>
      <w:pPr>
        <w:ind w:right="20" w:firstLine="533"/>
        <w:spacing w:after="0" w:line="285" w:lineRule="auto"/>
        <w:tabs>
          <w:tab w:leader="none" w:pos="753"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omission or inconsistency herein or in the Securities of any series (with such ambiguity, defect, omission or inconsistency being evidenced by an Officer’s Certificate);</w:t>
      </w:r>
    </w:p>
    <w:p>
      <w:pPr>
        <w:spacing w:after="0" w:line="133" w:lineRule="exact"/>
        <w:rPr>
          <w:rFonts w:ascii="Times New Roman" w:cs="Times New Roman" w:eastAsia="Times New Roman" w:hAnsi="Times New Roman"/>
          <w:sz w:val="15"/>
          <w:szCs w:val="15"/>
          <w:color w:val="auto"/>
        </w:rPr>
      </w:pPr>
    </w:p>
    <w:p>
      <w:pPr>
        <w:jc w:val="both"/>
        <w:ind w:firstLine="533"/>
        <w:spacing w:after="0" w:line="268" w:lineRule="auto"/>
        <w:tabs>
          <w:tab w:leader="none" w:pos="75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146" w:lineRule="exact"/>
        <w:rPr>
          <w:rFonts w:ascii="Times New Roman" w:cs="Times New Roman" w:eastAsia="Times New Roman" w:hAnsi="Times New Roman"/>
          <w:sz w:val="15"/>
          <w:szCs w:val="15"/>
          <w:color w:val="auto"/>
        </w:rPr>
      </w:pPr>
    </w:p>
    <w:p>
      <w:pPr>
        <w:ind w:firstLine="533"/>
        <w:spacing w:after="0" w:line="285" w:lineRule="auto"/>
        <w:tabs>
          <w:tab w:leader="none" w:pos="74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provide for uncertificated Securities in addition to or in place of certificated Securities;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uncertificated Securities are issued in registered form for purposes of Section 163(f) of the Code;</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6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of the Company or any guarantor for the benefit of the holders of the Securities of any series or to surrender any right or power conferred upon the Company or any guarantor;</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additional Securities of any series in accordance with the terms of this Indenture;</w:t>
      </w:r>
    </w:p>
    <w:p>
      <w:pPr>
        <w:spacing w:after="0" w:line="189" w:lineRule="exact"/>
        <w:rPr>
          <w:rFonts w:ascii="Times New Roman" w:cs="Times New Roman" w:eastAsia="Times New Roman" w:hAnsi="Times New Roman"/>
          <w:sz w:val="15"/>
          <w:szCs w:val="15"/>
          <w:color w:val="auto"/>
        </w:rPr>
      </w:pPr>
    </w:p>
    <w:p>
      <w:pPr>
        <w:ind w:left="720" w:hanging="187"/>
        <w:spacing w:after="0"/>
        <w:tabs>
          <w:tab w:leader="none" w:pos="72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any requirements of the Commission or any successor in connection with the qualification of this Indenture under the Trust Indenture Act;</w:t>
      </w:r>
    </w:p>
    <w:p>
      <w:pPr>
        <w:spacing w:after="0" w:line="189" w:lineRule="exact"/>
        <w:rPr>
          <w:rFonts w:ascii="Times New Roman" w:cs="Times New Roman" w:eastAsia="Times New Roman" w:hAnsi="Times New Roman"/>
          <w:sz w:val="15"/>
          <w:szCs w:val="15"/>
          <w:color w:val="auto"/>
        </w:rPr>
      </w:pPr>
    </w:p>
    <w:p>
      <w:pPr>
        <w:ind w:firstLine="533"/>
        <w:spacing w:after="0" w:line="285" w:lineRule="auto"/>
        <w:tabs>
          <w:tab w:leader="none" w:pos="77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133" w:lineRule="exact"/>
        <w:rPr>
          <w:rFonts w:ascii="Times New Roman" w:cs="Times New Roman" w:eastAsia="Times New Roman" w:hAnsi="Times New Roman"/>
          <w:sz w:val="15"/>
          <w:szCs w:val="15"/>
          <w:color w:val="auto"/>
        </w:rPr>
      </w:pPr>
    </w:p>
    <w:p>
      <w:pPr>
        <w:ind w:firstLine="533"/>
        <w:spacing w:after="0" w:line="285" w:lineRule="auto"/>
        <w:tabs>
          <w:tab w:leader="none" w:pos="723"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would provide any additional rights or benefits to the holders of the Securities of any series or that does not adversely affect the legal rights under this Indenture of any holder;</w:t>
      </w:r>
    </w:p>
    <w:p>
      <w:pPr>
        <w:spacing w:after="0" w:line="133" w:lineRule="exact"/>
        <w:rPr>
          <w:rFonts w:ascii="Times New Roman" w:cs="Times New Roman" w:eastAsia="Times New Roman" w:hAnsi="Times New Roman"/>
          <w:sz w:val="15"/>
          <w:szCs w:val="15"/>
          <w:color w:val="auto"/>
        </w:rPr>
      </w:pPr>
    </w:p>
    <w:p>
      <w:pPr>
        <w:jc w:val="both"/>
        <w:ind w:firstLine="533"/>
        <w:spacing w:after="0" w:line="268" w:lineRule="auto"/>
        <w:tabs>
          <w:tab w:leader="none" w:pos="73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94" w:name="page95"/>
    <w:bookmarkEnd w:id="94"/>
    <w:p>
      <w:pPr>
        <w:jc w:val="both"/>
        <w:ind w:firstLine="533"/>
        <w:spacing w:after="0" w:line="260" w:lineRule="auto"/>
        <w:tabs>
          <w:tab w:leader="none" w:pos="773"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conform the text of this Indenture, any guarantee of the Securities of any series or the notes to any provision of the “Description of Debt Securities and Guarantees” included in the prospectus forming a part of the registration statement filed by the Company with the Commission on Form S-3 on August 4, 2016 or any subsequent description of Securities contained in any prospectus supplement, to the extent that such provision in that “Description of Debt Securities and Guarantees”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9.2</w:t>
      </w:r>
      <w:r>
        <w:rPr>
          <w:sz w:val="20"/>
          <w:szCs w:val="20"/>
          <w:color w:val="auto"/>
        </w:rPr>
        <w:tab/>
      </w:r>
      <w:r>
        <w:rPr>
          <w:rFonts w:ascii="Times New Roman" w:cs="Times New Roman" w:eastAsia="Times New Roman" w:hAnsi="Times New Roman"/>
          <w:sz w:val="15"/>
          <w:szCs w:val="15"/>
          <w:b w:val="1"/>
          <w:bCs w:val="1"/>
          <w:color w:val="auto"/>
        </w:rPr>
        <w:t>SUPPLEMENTAL INDENTURES WITH THE CONSENT OF SECURITYHOLDERS.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154" w:lineRule="exact"/>
        <w:rPr>
          <w:sz w:val="20"/>
          <w:szCs w:val="20"/>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or aggregate principal amount of Securities, the holders of which are required to consent to any modification, amendment, supplement or waiver;</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or premium, if any, or rate of interest on, such Securities;</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 the fixed maturity of such Securities;</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 the time for payment of interest on such Securities;</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redemption or repurchase price of such Securities or change the time at which the Securities may or must be redeemed or repurchased;</w:t>
      </w:r>
    </w:p>
    <w:p>
      <w:pPr>
        <w:spacing w:after="0" w:line="189" w:lineRule="exact"/>
        <w:rPr>
          <w:rFonts w:ascii="Times New Roman" w:cs="Times New Roman" w:eastAsia="Times New Roman" w:hAnsi="Times New Roman"/>
          <w:sz w:val="15"/>
          <w:szCs w:val="15"/>
          <w:color w:val="auto"/>
        </w:rPr>
      </w:pPr>
    </w:p>
    <w:p>
      <w:pPr>
        <w:ind w:left="720" w:hanging="187"/>
        <w:spacing w:after="0"/>
        <w:tabs>
          <w:tab w:leader="none" w:pos="7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currency of payment of principal of, or premium, if any, or interest on, such Securities;</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in the payment of principal of, premium, if any, or interest on such Securities (except as provided in Section 6.1(c));</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voluntarily release a guarantor of such Securities other than in accordance with this Indenture;</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95" w:name="page96"/>
    <w:bookmarkEnd w:id="95"/>
    <w:p>
      <w:pPr>
        <w:ind w:firstLine="533"/>
        <w:spacing w:after="0" w:line="285" w:lineRule="auto"/>
        <w:tabs>
          <w:tab w:leader="none" w:pos="72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or aggregate principal amount of Outstanding Securities the consent of whose holders is necessary for waiver of compliance with certain provisions of this Indenture or for waiver of certain defaults; or</w:t>
      </w:r>
    </w:p>
    <w:p>
      <w:pPr>
        <w:spacing w:after="0" w:line="133" w:lineRule="exact"/>
        <w:rPr>
          <w:rFonts w:ascii="Times New Roman" w:cs="Times New Roman" w:eastAsia="Times New Roman" w:hAnsi="Times New Roman"/>
          <w:sz w:val="15"/>
          <w:szCs w:val="15"/>
          <w:color w:val="auto"/>
        </w:rPr>
      </w:pPr>
    </w:p>
    <w:p>
      <w:pPr>
        <w:ind w:left="720" w:hanging="187"/>
        <w:spacing w:after="0"/>
        <w:tabs>
          <w:tab w:leader="none" w:pos="72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to institute suit for the enforcement of any payment on or after the stated maturity (or, in the case of a redemption, on or after the redemption date) of such</w:t>
      </w:r>
    </w:p>
    <w:p>
      <w:pPr>
        <w:spacing w:after="0" w:line="2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w:t>
      </w:r>
    </w:p>
    <w:p>
      <w:pPr>
        <w:spacing w:after="0" w:line="17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9.3</w:t>
      </w:r>
      <w:r>
        <w:rPr>
          <w:sz w:val="20"/>
          <w:szCs w:val="20"/>
          <w:color w:val="auto"/>
        </w:rPr>
        <w:tab/>
      </w:r>
      <w:r>
        <w:rPr>
          <w:rFonts w:ascii="Times New Roman" w:cs="Times New Roman" w:eastAsia="Times New Roman" w:hAnsi="Times New Roman"/>
          <w:sz w:val="15"/>
          <w:szCs w:val="15"/>
          <w:b w:val="1"/>
          <w:bCs w:val="1"/>
          <w:color w:val="auto"/>
        </w:rPr>
        <w:t>EFFECT OF SUPPLEMENTAL INDENTURES.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9.4</w:t>
      </w:r>
      <w:r>
        <w:rPr>
          <w:sz w:val="20"/>
          <w:szCs w:val="20"/>
          <w:color w:val="auto"/>
        </w:rPr>
        <w:tab/>
      </w:r>
      <w:r>
        <w:rPr>
          <w:rFonts w:ascii="Times New Roman" w:cs="Times New Roman" w:eastAsia="Times New Roman" w:hAnsi="Times New Roman"/>
          <w:sz w:val="15"/>
          <w:szCs w:val="15"/>
          <w:b w:val="1"/>
          <w:bCs w:val="1"/>
          <w:color w:val="auto"/>
        </w:rPr>
        <w:t>SECURITIES AFFECTED BY SUPPLEMENTAL INDENTURES.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9.5</w:t>
      </w:r>
      <w:r>
        <w:rPr>
          <w:sz w:val="20"/>
          <w:szCs w:val="20"/>
          <w:color w:val="auto"/>
        </w:rPr>
        <w:tab/>
      </w:r>
      <w:r>
        <w:rPr>
          <w:rFonts w:ascii="Times New Roman" w:cs="Times New Roman" w:eastAsia="Times New Roman" w:hAnsi="Times New Roman"/>
          <w:sz w:val="15"/>
          <w:szCs w:val="15"/>
          <w:b w:val="1"/>
          <w:bCs w:val="1"/>
          <w:color w:val="auto"/>
        </w:rPr>
        <w:t>EXECUTION OF SUPPLEMENTAL INDENTURES.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 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SUCCESSOR ENTITY</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10.1</w:t>
      </w:r>
      <w:r>
        <w:rPr>
          <w:sz w:val="20"/>
          <w:szCs w:val="20"/>
          <w:color w:val="auto"/>
        </w:rPr>
        <w:tab/>
      </w:r>
      <w:r>
        <w:rPr>
          <w:rFonts w:ascii="Times New Roman" w:cs="Times New Roman" w:eastAsia="Times New Roman" w:hAnsi="Times New Roman"/>
          <w:sz w:val="14"/>
          <w:szCs w:val="14"/>
          <w:b w:val="1"/>
          <w:bCs w:val="1"/>
          <w:color w:val="auto"/>
        </w:rPr>
        <w:t>COMPANY MAY CONSOLIDATE, ETC.</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5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10.2</w:t>
      </w:r>
      <w:r>
        <w:rPr>
          <w:sz w:val="20"/>
          <w:szCs w:val="20"/>
          <w:color w:val="auto"/>
        </w:rPr>
        <w:tab/>
      </w:r>
      <w:r>
        <w:rPr>
          <w:rFonts w:ascii="Times New Roman" w:cs="Times New Roman" w:eastAsia="Times New Roman" w:hAnsi="Times New Roman"/>
          <w:sz w:val="15"/>
          <w:szCs w:val="15"/>
          <w:b w:val="1"/>
          <w:bCs w:val="1"/>
          <w:color w:val="auto"/>
        </w:rPr>
        <w:t>SUCCESSOR ENTITY SUBSTITUTED.</w:t>
      </w:r>
    </w:p>
    <w:p>
      <w:pPr>
        <w:spacing w:after="0" w:line="194" w:lineRule="exact"/>
        <w:rPr>
          <w:sz w:val="20"/>
          <w:szCs w:val="20"/>
          <w:color w:val="auto"/>
        </w:rPr>
      </w:pPr>
    </w:p>
    <w:p>
      <w:pPr>
        <w:jc w:val="both"/>
        <w:ind w:firstLine="533"/>
        <w:spacing w:after="0" w:line="262" w:lineRule="auto"/>
        <w:tabs>
          <w:tab w:leader="none" w:pos="77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51" w:lineRule="exact"/>
        <w:rPr>
          <w:rFonts w:ascii="Times New Roman" w:cs="Times New Roman" w:eastAsia="Times New Roman" w:hAnsi="Times New Roman"/>
          <w:sz w:val="15"/>
          <w:szCs w:val="15"/>
          <w:color w:val="auto"/>
        </w:rPr>
      </w:pPr>
    </w:p>
    <w:p>
      <w:pPr>
        <w:ind w:firstLine="533"/>
        <w:spacing w:after="0" w:line="285" w:lineRule="auto"/>
        <w:tabs>
          <w:tab w:leader="none" w:pos="764"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33" w:lineRule="exact"/>
        <w:rPr>
          <w:rFonts w:ascii="Times New Roman" w:cs="Times New Roman" w:eastAsia="Times New Roman" w:hAnsi="Times New Roman"/>
          <w:sz w:val="15"/>
          <w:szCs w:val="15"/>
          <w:color w:val="auto"/>
        </w:rPr>
      </w:pPr>
    </w:p>
    <w:p>
      <w:pPr>
        <w:jc w:val="both"/>
        <w:ind w:firstLine="533"/>
        <w:spacing w:after="0" w:line="268" w:lineRule="auto"/>
        <w:tabs>
          <w:tab w:leader="none" w:pos="752"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10.3</w:t>
      </w:r>
      <w:r>
        <w:rPr>
          <w:sz w:val="20"/>
          <w:szCs w:val="20"/>
          <w:color w:val="auto"/>
        </w:rPr>
        <w:tab/>
      </w:r>
      <w:r>
        <w:rPr>
          <w:rFonts w:ascii="Times New Roman" w:cs="Times New Roman" w:eastAsia="Times New Roman" w:hAnsi="Times New Roman"/>
          <w:sz w:val="15"/>
          <w:szCs w:val="15"/>
          <w:b w:val="1"/>
          <w:bCs w:val="1"/>
          <w:color w:val="auto"/>
        </w:rPr>
        <w:t>EVIDENCE OF CONSOLIDATION, ETC. TO TRUSTEE.</w:t>
      </w:r>
    </w:p>
    <w:p>
      <w:pPr>
        <w:spacing w:after="0" w:line="19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5"/>
          <w:szCs w:val="15"/>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SATISFACTION AND DISCHARGE</w:t>
      </w:r>
    </w:p>
    <w:p>
      <w:pPr>
        <w:spacing w:after="0" w:line="190"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5"/>
          <w:szCs w:val="15"/>
          <w:b w:val="1"/>
          <w:bCs w:val="1"/>
          <w:color w:val="auto"/>
        </w:rPr>
        <w:t>SECTION 11.1</w:t>
      </w:r>
      <w:r>
        <w:rPr>
          <w:sz w:val="20"/>
          <w:szCs w:val="20"/>
          <w:color w:val="auto"/>
        </w:rPr>
        <w:tab/>
      </w:r>
      <w:r>
        <w:rPr>
          <w:rFonts w:ascii="Times New Roman" w:cs="Times New Roman" w:eastAsia="Times New Roman" w:hAnsi="Times New Roman"/>
          <w:sz w:val="14"/>
          <w:szCs w:val="14"/>
          <w:b w:val="1"/>
          <w:bCs w:val="1"/>
          <w:color w:val="auto"/>
        </w:rPr>
        <w:t>SATISFACTION AND DISCHARGE OF INDENTURE.</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146" w:lineRule="exact"/>
        <w:rPr>
          <w:sz w:val="20"/>
          <w:szCs w:val="20"/>
          <w:color w:val="auto"/>
        </w:rPr>
      </w:pPr>
    </w:p>
    <w:p>
      <w:pPr>
        <w:ind w:left="740" w:hanging="207"/>
        <w:spacing w:after="0"/>
        <w:tabs>
          <w:tab w:leader="none" w:pos="7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189" w:lineRule="exact"/>
        <w:rPr>
          <w:rFonts w:ascii="Times New Roman" w:cs="Times New Roman" w:eastAsia="Times New Roman" w:hAnsi="Times New Roman"/>
          <w:sz w:val="15"/>
          <w:szCs w:val="15"/>
          <w:color w:val="auto"/>
        </w:rPr>
      </w:pPr>
    </w:p>
    <w:p>
      <w:pPr>
        <w:jc w:val="both"/>
        <w:ind w:left="540" w:firstLine="536"/>
        <w:spacing w:after="0" w:line="262" w:lineRule="auto"/>
        <w:tabs>
          <w:tab w:leader="none" w:pos="1266"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151" w:lineRule="exact"/>
        <w:rPr>
          <w:rFonts w:ascii="Times New Roman" w:cs="Times New Roman" w:eastAsia="Times New Roman" w:hAnsi="Times New Roman"/>
          <w:sz w:val="15"/>
          <w:szCs w:val="15"/>
          <w:color w:val="auto"/>
        </w:rPr>
      </w:pPr>
    </w:p>
    <w:p>
      <w:pPr>
        <w:ind w:left="1300" w:hanging="224"/>
        <w:spacing w:after="0"/>
        <w:tabs>
          <w:tab w:leader="none" w:pos="1300"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of such series not theretofore delivered to the Trustee for cancellation, or</w:t>
      </w:r>
    </w:p>
    <w:p>
      <w:pPr>
        <w:spacing w:after="0" w:line="190" w:lineRule="exact"/>
        <w:rPr>
          <w:sz w:val="20"/>
          <w:szCs w:val="20"/>
          <w:color w:val="auto"/>
        </w:rPr>
      </w:pPr>
    </w:p>
    <w:p>
      <w:pPr>
        <w:ind w:left="1320" w:hanging="244"/>
        <w:spacing w:after="0"/>
        <w:tabs>
          <w:tab w:leader="none" w:pos="13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become due and payable by reason of the mailing of a notice of redemption or otherwise, or</w:t>
      </w:r>
    </w:p>
    <w:p>
      <w:pPr>
        <w:spacing w:after="0" w:line="189" w:lineRule="exact"/>
        <w:rPr>
          <w:rFonts w:ascii="Times New Roman" w:cs="Times New Roman" w:eastAsia="Times New Roman" w:hAnsi="Times New Roman"/>
          <w:sz w:val="15"/>
          <w:szCs w:val="15"/>
          <w:color w:val="auto"/>
        </w:rPr>
      </w:pPr>
    </w:p>
    <w:p>
      <w:pPr>
        <w:ind w:left="1320" w:hanging="244"/>
        <w:spacing w:after="0"/>
        <w:tabs>
          <w:tab w:leader="none" w:pos="13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 become due and payable within one year,</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152" w:lineRule="exact"/>
        <w:rPr>
          <w:sz w:val="20"/>
          <w:szCs w:val="20"/>
          <w:color w:val="auto"/>
        </w:rPr>
      </w:pPr>
    </w:p>
    <w:p>
      <w:pPr>
        <w:ind w:firstLine="533"/>
        <w:spacing w:after="0" w:line="285" w:lineRule="auto"/>
        <w:tabs>
          <w:tab w:leader="none" w:pos="759"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or any guarantor has paid or caused to be paid all other sums payable hereunder by the Company with respect to such series; and</w:t>
      </w:r>
    </w:p>
    <w:p>
      <w:pPr>
        <w:spacing w:after="0" w:line="189" w:lineRule="exact"/>
        <w:rPr>
          <w:rFonts w:ascii="Times New Roman" w:cs="Times New Roman" w:eastAsia="Times New Roman" w:hAnsi="Times New Roman"/>
          <w:sz w:val="15"/>
          <w:szCs w:val="15"/>
          <w:color w:val="auto"/>
        </w:rPr>
      </w:pPr>
    </w:p>
    <w:p>
      <w:pPr>
        <w:ind w:right="20" w:firstLine="533"/>
        <w:spacing w:after="0" w:line="285" w:lineRule="auto"/>
        <w:tabs>
          <w:tab w:leader="none" w:pos="763"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irrevocable instructions to the Trustee under this Indenture to apply the deposited money towards the payment of the notes at maturity or on the redemption date, as the case may be.</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11.2</w:t>
      </w:r>
      <w:r>
        <w:rPr>
          <w:sz w:val="20"/>
          <w:szCs w:val="20"/>
          <w:color w:val="auto"/>
        </w:rPr>
        <w:tab/>
      </w:r>
      <w:r>
        <w:rPr>
          <w:rFonts w:ascii="Times New Roman" w:cs="Times New Roman" w:eastAsia="Times New Roman" w:hAnsi="Times New Roman"/>
          <w:sz w:val="14"/>
          <w:szCs w:val="14"/>
          <w:b w:val="1"/>
          <w:bCs w:val="1"/>
          <w:color w:val="auto"/>
        </w:rPr>
        <w:t>APPLICATION OF TRUST MONEY.</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15"/>
          <w:szCs w:val="15"/>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XII</w:t>
      </w:r>
    </w:p>
    <w:p>
      <w:pPr>
        <w:spacing w:after="0" w:line="18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5"/>
          <w:szCs w:val="15"/>
          <w:b w:val="1"/>
          <w:bCs w:val="1"/>
          <w:color w:val="auto"/>
        </w:rPr>
        <w:t>LEGAL DEFEASANCE AND COVENANT DEFEASANCE</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12.1</w:t>
      </w:r>
      <w:r>
        <w:rPr>
          <w:sz w:val="20"/>
          <w:szCs w:val="20"/>
          <w:color w:val="auto"/>
        </w:rPr>
        <w:tab/>
      </w:r>
      <w:r>
        <w:rPr>
          <w:rFonts w:ascii="Times New Roman" w:cs="Times New Roman" w:eastAsia="Times New Roman" w:hAnsi="Times New Roman"/>
          <w:sz w:val="15"/>
          <w:szCs w:val="15"/>
          <w:b w:val="1"/>
          <w:bCs w:val="1"/>
          <w:color w:val="auto"/>
        </w:rPr>
        <w:t>OPTION TO EFFECT LEGAL DEFEASANCE OR COVENANT DEFEASANCE</w:t>
      </w:r>
      <w:r>
        <w:rPr>
          <w:rFonts w:ascii="Times New Roman" w:cs="Times New Roman" w:eastAsia="Times New Roman" w:hAnsi="Times New Roman"/>
          <w:sz w:val="15"/>
          <w:szCs w:val="15"/>
          <w:b w:val="1"/>
          <w:bCs w:val="1"/>
          <w:i w:val="1"/>
          <w:iCs w:val="1"/>
          <w:color w:val="auto"/>
        </w:rPr>
        <w:t>.</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12.2</w:t>
      </w:r>
      <w:r>
        <w:rPr>
          <w:sz w:val="20"/>
          <w:szCs w:val="20"/>
          <w:color w:val="auto"/>
        </w:rPr>
        <w:tab/>
      </w:r>
      <w:r>
        <w:rPr>
          <w:rFonts w:ascii="Times New Roman" w:cs="Times New Roman" w:eastAsia="Times New Roman" w:hAnsi="Times New Roman"/>
          <w:sz w:val="15"/>
          <w:szCs w:val="15"/>
          <w:b w:val="1"/>
          <w:bCs w:val="1"/>
          <w:color w:val="auto"/>
        </w:rPr>
        <w:t>LEGAL DEFEASANCE AND DISCHARGE</w:t>
      </w:r>
      <w:r>
        <w:rPr>
          <w:rFonts w:ascii="Times New Roman" w:cs="Times New Roman" w:eastAsia="Times New Roman" w:hAnsi="Times New Roman"/>
          <w:sz w:val="15"/>
          <w:szCs w:val="15"/>
          <w:b w:val="1"/>
          <w:bCs w:val="1"/>
          <w:i w:val="1"/>
          <w:iCs w:val="1"/>
          <w:color w:val="auto"/>
        </w:rPr>
        <w:t>.</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Times New Roman" w:cs="Times New Roman" w:eastAsia="Times New Roman" w:hAnsi="Times New Roman"/>
          <w:sz w:val="15"/>
          <w:szCs w:val="15"/>
          <w:b w:val="1"/>
          <w:bCs w:val="1"/>
          <w:color w:val="auto"/>
        </w:rPr>
        <w:t>Legal Defeasance</w:t>
      </w:r>
      <w:r>
        <w:rPr>
          <w:rFonts w:ascii="Times New Roman" w:cs="Times New Roman" w:eastAsia="Times New Roman" w:hAnsi="Times New Roman"/>
          <w:sz w:val="15"/>
          <w:szCs w:val="15"/>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55" w:lineRule="exact"/>
        <w:rPr>
          <w:sz w:val="20"/>
          <w:szCs w:val="20"/>
          <w:color w:val="auto"/>
        </w:rPr>
      </w:pPr>
    </w:p>
    <w:p>
      <w:pPr>
        <w:ind w:firstLine="533"/>
        <w:spacing w:after="0" w:line="285" w:lineRule="auto"/>
        <w:tabs>
          <w:tab w:leader="none" w:pos="762"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Outstanding Securities of such series to receive payments in respect of the principal of, premium on, if any, or interest on such Securities when such payments are due from the trust referred to in Section 12.4 hereof;</w:t>
      </w:r>
    </w:p>
    <w:p>
      <w:pPr>
        <w:spacing w:after="0" w:line="133"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Issuers’ obligations with respect to such Securities under Article 2 and Section 4.2 hereof;</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trusts, duties and immunities of the Trustee hereunder and the Company’s obligations in connection therewith; and</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Article XII.</w:t>
      </w:r>
    </w:p>
    <w:p>
      <w:pPr>
        <w:spacing w:after="0" w:line="19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99" w:name="page100"/>
    <w:bookmarkEnd w:id="99"/>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12.3</w:t>
      </w:r>
      <w:r>
        <w:rPr>
          <w:sz w:val="20"/>
          <w:szCs w:val="20"/>
          <w:color w:val="auto"/>
        </w:rPr>
        <w:tab/>
      </w:r>
      <w:r>
        <w:rPr>
          <w:rFonts w:ascii="Times New Roman" w:cs="Times New Roman" w:eastAsia="Times New Roman" w:hAnsi="Times New Roman"/>
          <w:sz w:val="15"/>
          <w:szCs w:val="15"/>
          <w:b w:val="1"/>
          <w:bCs w:val="1"/>
          <w:color w:val="auto"/>
        </w:rPr>
        <w:t>COVENANT DEFEASANCE</w:t>
      </w:r>
      <w:r>
        <w:rPr>
          <w:rFonts w:ascii="Times New Roman" w:cs="Times New Roman" w:eastAsia="Times New Roman" w:hAnsi="Times New Roman"/>
          <w:sz w:val="15"/>
          <w:szCs w:val="15"/>
          <w:b w:val="1"/>
          <w:bCs w:val="1"/>
          <w:i w:val="1"/>
          <w:iCs w:val="1"/>
          <w:color w:val="auto"/>
        </w:rPr>
        <w: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Times New Roman" w:cs="Times New Roman" w:eastAsia="Times New Roman" w:hAnsi="Times New Roman"/>
          <w:sz w:val="15"/>
          <w:szCs w:val="15"/>
          <w:b w:val="1"/>
          <w:bCs w:val="1"/>
          <w:color w:val="auto"/>
        </w:rPr>
        <w:t>Covenant Defeasance</w:t>
      </w:r>
      <w:r>
        <w:rPr>
          <w:rFonts w:ascii="Times New Roman" w:cs="Times New Roman" w:eastAsia="Times New Roman" w:hAnsi="Times New Roman"/>
          <w:sz w:val="15"/>
          <w:szCs w:val="15"/>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15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12.4</w:t>
      </w:r>
      <w:r>
        <w:rPr>
          <w:sz w:val="20"/>
          <w:szCs w:val="20"/>
          <w:color w:val="auto"/>
        </w:rPr>
        <w:tab/>
      </w:r>
      <w:r>
        <w:rPr>
          <w:rFonts w:ascii="Times New Roman" w:cs="Times New Roman" w:eastAsia="Times New Roman" w:hAnsi="Times New Roman"/>
          <w:sz w:val="15"/>
          <w:szCs w:val="15"/>
          <w:b w:val="1"/>
          <w:bCs w:val="1"/>
          <w:color w:val="auto"/>
        </w:rPr>
        <w:t>CONDITIONS TO LEGAL OR COVENANT DEFEASANCE</w:t>
      </w:r>
      <w:r>
        <w:rPr>
          <w:rFonts w:ascii="Times New Roman" w:cs="Times New Roman" w:eastAsia="Times New Roman" w:hAnsi="Times New Roman"/>
          <w:sz w:val="15"/>
          <w:szCs w:val="15"/>
          <w:b w:val="1"/>
          <w:bCs w:val="1"/>
          <w:i w:val="1"/>
          <w:i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order to exercise either Legal Defeasance or Covenant Defeasance under either Section 12.2 or 12.3 hereof with respect to the Outstanding Securities of a particular series:</w:t>
      </w:r>
    </w:p>
    <w:p>
      <w:pPr>
        <w:spacing w:after="0" w:line="190" w:lineRule="exact"/>
        <w:rPr>
          <w:sz w:val="20"/>
          <w:szCs w:val="20"/>
          <w:color w:val="auto"/>
        </w:rPr>
      </w:pPr>
    </w:p>
    <w:p>
      <w:pPr>
        <w:jc w:val="both"/>
        <w:ind w:firstLine="533"/>
        <w:spacing w:after="0" w:line="262" w:lineRule="auto"/>
        <w:tabs>
          <w:tab w:leader="none" w:pos="769"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151"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under Section 12.2 hereof, the Company must deliver to the Trustee an Opinion of Counsel reasonably acceptable to the Trustee confirming that:</w:t>
      </w:r>
    </w:p>
    <w:p>
      <w:pPr>
        <w:spacing w:after="0" w:line="189" w:lineRule="exact"/>
        <w:rPr>
          <w:rFonts w:ascii="Times New Roman" w:cs="Times New Roman" w:eastAsia="Times New Roman" w:hAnsi="Times New Roman"/>
          <w:sz w:val="15"/>
          <w:szCs w:val="15"/>
          <w:color w:val="auto"/>
        </w:rPr>
      </w:pPr>
    </w:p>
    <w:p>
      <w:pPr>
        <w:ind w:left="1320" w:hanging="244"/>
        <w:spacing w:after="0"/>
        <w:tabs>
          <w:tab w:leader="none" w:pos="132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received from, or there has been published by, the Internal Revenue Service a ruling; or</w:t>
      </w:r>
    </w:p>
    <w:p>
      <w:pPr>
        <w:spacing w:after="0" w:line="189" w:lineRule="exact"/>
        <w:rPr>
          <w:rFonts w:ascii="Times New Roman" w:cs="Times New Roman" w:eastAsia="Times New Roman" w:hAnsi="Times New Roman"/>
          <w:sz w:val="15"/>
          <w:szCs w:val="15"/>
          <w:color w:val="auto"/>
        </w:rPr>
      </w:pPr>
    </w:p>
    <w:p>
      <w:pPr>
        <w:ind w:left="1320" w:hanging="244"/>
        <w:spacing w:after="0"/>
        <w:tabs>
          <w:tab w:leader="none" w:pos="132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date of this Indenture, there has been a change in the applicable federal income tax law,</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6" w:lineRule="exact"/>
        <w:rPr>
          <w:sz w:val="20"/>
          <w:szCs w:val="20"/>
          <w:color w:val="auto"/>
        </w:rPr>
      </w:pPr>
    </w:p>
    <w:p>
      <w:pPr>
        <w:jc w:val="both"/>
        <w:ind w:firstLine="533"/>
        <w:spacing w:after="0" w:line="268" w:lineRule="auto"/>
        <w:tabs>
          <w:tab w:leader="none" w:pos="759"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46" w:lineRule="exact"/>
        <w:rPr>
          <w:rFonts w:ascii="Times New Roman" w:cs="Times New Roman" w:eastAsia="Times New Roman" w:hAnsi="Times New Roman"/>
          <w:sz w:val="15"/>
          <w:szCs w:val="15"/>
          <w:color w:val="auto"/>
        </w:rPr>
      </w:pPr>
    </w:p>
    <w:p>
      <w:pPr>
        <w:jc w:val="both"/>
        <w:ind w:firstLine="533"/>
        <w:spacing w:after="0" w:line="268" w:lineRule="auto"/>
        <w:tabs>
          <w:tab w:leader="none" w:pos="75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100" w:name="page101"/>
    <w:bookmarkEnd w:id="100"/>
    <w:p>
      <w:pPr>
        <w:ind w:right="20" w:firstLine="533"/>
        <w:spacing w:after="0" w:line="285" w:lineRule="auto"/>
        <w:tabs>
          <w:tab w:leader="none" w:pos="759"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133" w:lineRule="exact"/>
        <w:rPr>
          <w:rFonts w:ascii="Times New Roman" w:cs="Times New Roman" w:eastAsia="Times New Roman" w:hAnsi="Times New Roman"/>
          <w:sz w:val="15"/>
          <w:szCs w:val="15"/>
          <w:color w:val="auto"/>
        </w:rPr>
      </w:pPr>
    </w:p>
    <w:p>
      <w:pPr>
        <w:ind w:right="20" w:firstLine="533"/>
        <w:spacing w:after="0" w:line="285" w:lineRule="auto"/>
        <w:tabs>
          <w:tab w:leader="none" w:pos="758"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12.5</w:t>
      </w:r>
      <w:r>
        <w:rPr>
          <w:sz w:val="20"/>
          <w:szCs w:val="20"/>
          <w:color w:val="auto"/>
        </w:rPr>
        <w:tab/>
      </w:r>
      <w:r>
        <w:rPr>
          <w:rFonts w:ascii="Times New Roman" w:cs="Times New Roman" w:eastAsia="Times New Roman" w:hAnsi="Times New Roman"/>
          <w:sz w:val="15"/>
          <w:szCs w:val="15"/>
          <w:b w:val="1"/>
          <w:bCs w:val="1"/>
          <w:color w:val="auto"/>
        </w:rPr>
        <w:t>DEPOSITED MONEY AND GOVERNMENT SECURITIES TO BE HELD IN TRUST; OTHER MISCELLANEOUS PROVISIONS</w:t>
      </w:r>
      <w:r>
        <w:rPr>
          <w:rFonts w:ascii="Times New Roman" w:cs="Times New Roman" w:eastAsia="Times New Roman" w:hAnsi="Times New Roman"/>
          <w:sz w:val="15"/>
          <w:szCs w:val="15"/>
          <w:b w:val="1"/>
          <w:bCs w:val="1"/>
          <w:i w:val="1"/>
          <w:iCs w:val="1"/>
          <w:color w:val="auto"/>
        </w:rPr>
        <w: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12.6</w:t>
      </w:r>
      <w:r>
        <w:rPr>
          <w:sz w:val="20"/>
          <w:szCs w:val="20"/>
          <w:color w:val="auto"/>
        </w:rPr>
        <w:tab/>
      </w:r>
      <w:r>
        <w:rPr>
          <w:rFonts w:ascii="Times New Roman" w:cs="Times New Roman" w:eastAsia="Times New Roman" w:hAnsi="Times New Roman"/>
          <w:sz w:val="14"/>
          <w:szCs w:val="14"/>
          <w:b w:val="1"/>
          <w:bCs w:val="1"/>
          <w:color w:val="auto"/>
        </w:rPr>
        <w:t>REPAYMENT TO COMPANY</w:t>
      </w:r>
      <w:r>
        <w:rPr>
          <w:rFonts w:ascii="Times New Roman" w:cs="Times New Roman" w:eastAsia="Times New Roman" w:hAnsi="Times New Roman"/>
          <w:sz w:val="14"/>
          <w:szCs w:val="14"/>
          <w:b w:val="1"/>
          <w:bCs w:val="1"/>
          <w:i w:val="1"/>
          <w:iCs w:val="1"/>
          <w:color w:val="auto"/>
        </w:rPr>
        <w: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101" w:name="page102"/>
    <w:bookmarkEnd w:id="101"/>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12.7</w:t>
      </w:r>
      <w:r>
        <w:rPr>
          <w:sz w:val="20"/>
          <w:szCs w:val="20"/>
          <w:color w:val="auto"/>
        </w:rPr>
        <w:tab/>
      </w:r>
      <w:r>
        <w:rPr>
          <w:rFonts w:ascii="Times New Roman" w:cs="Times New Roman" w:eastAsia="Times New Roman" w:hAnsi="Times New Roman"/>
          <w:sz w:val="14"/>
          <w:szCs w:val="14"/>
          <w:b w:val="1"/>
          <w:bCs w:val="1"/>
          <w:color w:val="auto"/>
        </w:rPr>
        <w:t>REINSTATEMENT.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IMMUNITY OF INCORPORATORS, STOCKHOLDERS,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OFFICERS AND DIRECTORS</w:t>
      </w:r>
    </w:p>
    <w:p>
      <w:pPr>
        <w:spacing w:after="0" w:line="19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13.1</w:t>
      </w:r>
      <w:r>
        <w:rPr>
          <w:sz w:val="20"/>
          <w:szCs w:val="20"/>
          <w:color w:val="auto"/>
        </w:rPr>
        <w:tab/>
      </w:r>
      <w:r>
        <w:rPr>
          <w:rFonts w:ascii="Times New Roman" w:cs="Times New Roman" w:eastAsia="Times New Roman" w:hAnsi="Times New Roman"/>
          <w:sz w:val="15"/>
          <w:szCs w:val="15"/>
          <w:b w:val="1"/>
          <w:bCs w:val="1"/>
          <w:color w:val="auto"/>
        </w:rPr>
        <w:t>NO RECOURSE.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XIV</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MISCELLANEOUS PROVISIONS</w:t>
      </w:r>
    </w:p>
    <w:p>
      <w:pPr>
        <w:spacing w:after="0" w:line="18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w:t>
      </w:r>
      <w:r>
        <w:rPr>
          <w:sz w:val="20"/>
          <w:szCs w:val="20"/>
          <w:color w:val="auto"/>
        </w:rPr>
        <w:tab/>
      </w:r>
      <w:r>
        <w:rPr>
          <w:rFonts w:ascii="Times New Roman" w:cs="Times New Roman" w:eastAsia="Times New Roman" w:hAnsi="Times New Roman"/>
          <w:sz w:val="15"/>
          <w:szCs w:val="15"/>
          <w:b w:val="1"/>
          <w:bCs w:val="1"/>
          <w:color w:val="auto"/>
        </w:rPr>
        <w:t>EFFECT ON SUCCESSORS AND ASSIGNS.</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1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14.2</w:t>
      </w:r>
      <w:r>
        <w:rPr>
          <w:sz w:val="20"/>
          <w:szCs w:val="20"/>
          <w:color w:val="auto"/>
        </w:rPr>
        <w:tab/>
      </w:r>
      <w:r>
        <w:rPr>
          <w:rFonts w:ascii="Times New Roman" w:cs="Times New Roman" w:eastAsia="Times New Roman" w:hAnsi="Times New Roman"/>
          <w:sz w:val="15"/>
          <w:szCs w:val="15"/>
          <w:b w:val="1"/>
          <w:bCs w:val="1"/>
          <w:color w:val="auto"/>
        </w:rPr>
        <w:t>ACTIONS BY SUCCESSOR.</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5"/>
          <w:szCs w:val="15"/>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102" w:name="page103"/>
    <w:bookmarkEnd w:id="102"/>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14.3</w:t>
      </w:r>
      <w:r>
        <w:rPr>
          <w:sz w:val="20"/>
          <w:szCs w:val="20"/>
          <w:color w:val="auto"/>
        </w:rPr>
        <w:tab/>
      </w:r>
      <w:r>
        <w:rPr>
          <w:rFonts w:ascii="Times New Roman" w:cs="Times New Roman" w:eastAsia="Times New Roman" w:hAnsi="Times New Roman"/>
          <w:sz w:val="15"/>
          <w:szCs w:val="15"/>
          <w:b w:val="1"/>
          <w:bCs w:val="1"/>
          <w:color w:val="auto"/>
        </w:rPr>
        <w:t>SURRENDER OF COMPANY POWERS.</w:t>
      </w:r>
    </w:p>
    <w:p>
      <w:pPr>
        <w:spacing w:after="0" w:line="193" w:lineRule="exact"/>
        <w:rPr>
          <w:sz w:val="20"/>
          <w:szCs w:val="20"/>
          <w:color w:val="auto"/>
        </w:rPr>
      </w:pPr>
    </w:p>
    <w:p>
      <w:pPr>
        <w:jc w:val="both"/>
        <w:ind w:left="10"/>
        <w:spacing w:after="0" w:line="285" w:lineRule="auto"/>
        <w:rPr>
          <w:sz w:val="20"/>
          <w:szCs w:val="20"/>
          <w:color w:val="auto"/>
        </w:rPr>
      </w:pPr>
      <w:r>
        <w:rPr>
          <w:rFonts w:ascii="Times New Roman" w:cs="Times New Roman" w:eastAsia="Times New Roman" w:hAnsi="Times New Roman"/>
          <w:sz w:val="15"/>
          <w:szCs w:val="15"/>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9"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14.4</w:t>
      </w:r>
      <w:r>
        <w:rPr>
          <w:sz w:val="20"/>
          <w:szCs w:val="20"/>
          <w:color w:val="auto"/>
        </w:rPr>
        <w:tab/>
      </w:r>
      <w:r>
        <w:rPr>
          <w:rFonts w:ascii="Times New Roman" w:cs="Times New Roman" w:eastAsia="Times New Roman" w:hAnsi="Times New Roman"/>
          <w:sz w:val="15"/>
          <w:szCs w:val="15"/>
          <w:b w:val="1"/>
          <w:bCs w:val="1"/>
          <w:color w:val="auto"/>
        </w:rPr>
        <w:t>NOTICES.</w:t>
      </w:r>
    </w:p>
    <w:p>
      <w:pPr>
        <w:spacing w:after="0" w:line="19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Arcturus Therapeutics Holdings Inc., 10285 Science Center Drive, San Diego, California 92121,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48"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14.5</w:t>
      </w:r>
      <w:r>
        <w:rPr>
          <w:sz w:val="20"/>
          <w:szCs w:val="20"/>
          <w:color w:val="auto"/>
        </w:rPr>
        <w:tab/>
      </w:r>
      <w:r>
        <w:rPr>
          <w:rFonts w:ascii="Times New Roman" w:cs="Times New Roman" w:eastAsia="Times New Roman" w:hAnsi="Times New Roman"/>
          <w:sz w:val="14"/>
          <w:szCs w:val="14"/>
          <w:b w:val="1"/>
          <w:bCs w:val="1"/>
          <w:color w:val="auto"/>
        </w:rPr>
        <w:t>GOVERNING LAW/WAIVER OF JURY TRIAL.</w:t>
      </w:r>
    </w:p>
    <w:p>
      <w:pPr>
        <w:spacing w:after="0" w:line="194"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5"/>
          <w:szCs w:val="15"/>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148"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14.6</w:t>
      </w:r>
      <w:r>
        <w:rPr>
          <w:sz w:val="20"/>
          <w:szCs w:val="20"/>
          <w:color w:val="auto"/>
        </w:rPr>
        <w:tab/>
      </w:r>
      <w:r>
        <w:rPr>
          <w:rFonts w:ascii="Times New Roman" w:cs="Times New Roman" w:eastAsia="Times New Roman" w:hAnsi="Times New Roman"/>
          <w:sz w:val="15"/>
          <w:szCs w:val="15"/>
          <w:b w:val="1"/>
          <w:bCs w:val="1"/>
          <w:color w:val="auto"/>
        </w:rPr>
        <w:t>TREATMENT OF SECURITIES AS DEBT.</w:t>
      </w:r>
    </w:p>
    <w:p>
      <w:pPr>
        <w:spacing w:after="0" w:line="194" w:lineRule="exact"/>
        <w:rPr>
          <w:sz w:val="20"/>
          <w:szCs w:val="20"/>
          <w:color w:val="auto"/>
        </w:rPr>
      </w:pPr>
    </w:p>
    <w:p>
      <w:pPr>
        <w:jc w:val="both"/>
        <w:ind w:left="10"/>
        <w:spacing w:after="0" w:line="285" w:lineRule="auto"/>
        <w:rPr>
          <w:sz w:val="20"/>
          <w:szCs w:val="20"/>
          <w:color w:val="auto"/>
        </w:rPr>
      </w:pPr>
      <w:r>
        <w:rPr>
          <w:rFonts w:ascii="Times New Roman" w:cs="Times New Roman" w:eastAsia="Times New Roman" w:hAnsi="Times New Roman"/>
          <w:sz w:val="15"/>
          <w:szCs w:val="15"/>
          <w:color w:val="auto"/>
        </w:rPr>
        <w:t>It is intended that the Securities will be treated as indebtedness and not as equity for federal income tax purposes. The provisions of this Indenture shall be interpreted to further this intention.</w:t>
      </w:r>
    </w:p>
    <w:p>
      <w:pPr>
        <w:spacing w:after="0" w:line="129"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14.7</w:t>
      </w:r>
      <w:r>
        <w:rPr>
          <w:sz w:val="20"/>
          <w:szCs w:val="20"/>
          <w:color w:val="auto"/>
        </w:rPr>
        <w:tab/>
      </w:r>
      <w:r>
        <w:rPr>
          <w:rFonts w:ascii="Times New Roman" w:cs="Times New Roman" w:eastAsia="Times New Roman" w:hAnsi="Times New Roman"/>
          <w:sz w:val="15"/>
          <w:szCs w:val="15"/>
          <w:b w:val="1"/>
          <w:bCs w:val="1"/>
          <w:color w:val="auto"/>
        </w:rPr>
        <w:t>COMPLIANCE CERTIFICATES AND OPINIONS.</w:t>
      </w:r>
    </w:p>
    <w:p>
      <w:pPr>
        <w:spacing w:after="0" w:line="194" w:lineRule="exact"/>
        <w:rPr>
          <w:sz w:val="20"/>
          <w:szCs w:val="20"/>
          <w:color w:val="auto"/>
        </w:rPr>
      </w:pPr>
    </w:p>
    <w:p>
      <w:pPr>
        <w:jc w:val="both"/>
        <w:ind w:left="10" w:firstLine="533"/>
        <w:spacing w:after="0" w:line="262" w:lineRule="auto"/>
        <w:tabs>
          <w:tab w:leader="none" w:pos="761"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1" w:lineRule="exact"/>
        <w:rPr>
          <w:rFonts w:ascii="Times New Roman" w:cs="Times New Roman" w:eastAsia="Times New Roman" w:hAnsi="Times New Roman"/>
          <w:sz w:val="15"/>
          <w:szCs w:val="15"/>
          <w:color w:val="auto"/>
        </w:rPr>
      </w:pPr>
    </w:p>
    <w:p>
      <w:pPr>
        <w:ind w:left="770" w:hanging="227"/>
        <w:spacing w:after="0"/>
        <w:tabs>
          <w:tab w:leader="none" w:pos="77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certificate or opinion provided for in this Indenture and delivered to the Trustee with respect to compliance with a condition or covenant in this Indenture shall include</w:t>
      </w:r>
    </w:p>
    <w:p>
      <w:pPr>
        <w:spacing w:after="0" w:line="23" w:lineRule="exact"/>
        <w:rPr>
          <w:rFonts w:ascii="Times New Roman" w:cs="Times New Roman" w:eastAsia="Times New Roman" w:hAnsi="Times New Roman"/>
          <w:sz w:val="15"/>
          <w:szCs w:val="15"/>
          <w:color w:val="auto"/>
        </w:rPr>
      </w:pPr>
    </w:p>
    <w:p>
      <w:pPr>
        <w:jc w:val="both"/>
        <w:ind w:left="10" w:hanging="10"/>
        <w:spacing w:after="0" w:line="255" w:lineRule="auto"/>
        <w:tabs>
          <w:tab w:leader="none" w:pos="19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53" w:lineRule="exact"/>
        <w:rPr>
          <w:sz w:val="20"/>
          <w:szCs w:val="20"/>
          <w:color w:val="auto"/>
        </w:rPr>
      </w:pPr>
    </w:p>
    <w:p>
      <w:pPr>
        <w:ind w:left="10"/>
        <w:spacing w:after="0"/>
        <w:tabs>
          <w:tab w:leader="none" w:pos="1669" w:val="left"/>
        </w:tabs>
        <w:rPr>
          <w:sz w:val="20"/>
          <w:szCs w:val="20"/>
          <w:color w:val="auto"/>
        </w:rPr>
      </w:pPr>
      <w:r>
        <w:rPr>
          <w:rFonts w:ascii="Times New Roman" w:cs="Times New Roman" w:eastAsia="Times New Roman" w:hAnsi="Times New Roman"/>
          <w:sz w:val="15"/>
          <w:szCs w:val="15"/>
          <w:b w:val="1"/>
          <w:bCs w:val="1"/>
          <w:color w:val="auto"/>
        </w:rPr>
        <w:t>SECTION 14.8</w:t>
      </w:r>
      <w:r>
        <w:rPr>
          <w:sz w:val="20"/>
          <w:szCs w:val="20"/>
          <w:color w:val="auto"/>
        </w:rPr>
        <w:tab/>
      </w:r>
      <w:r>
        <w:rPr>
          <w:rFonts w:ascii="Times New Roman" w:cs="Times New Roman" w:eastAsia="Times New Roman" w:hAnsi="Times New Roman"/>
          <w:sz w:val="14"/>
          <w:szCs w:val="14"/>
          <w:b w:val="1"/>
          <w:bCs w:val="1"/>
          <w:color w:val="auto"/>
        </w:rPr>
        <w:t>PAYMENTS ON BUSINESS DAYS.</w:t>
      </w:r>
    </w:p>
    <w:p>
      <w:pPr>
        <w:spacing w:after="0" w:line="194"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5"/>
          <w:szCs w:val="15"/>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3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454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70"/>
          </w:cols>
          <w:pgMar w:left="310" w:top="686" w:right="319" w:bottom="1440" w:gutter="0" w:footer="0" w:header="0"/>
        </w:sectPr>
      </w:pPr>
    </w:p>
    <w:bookmarkStart w:id="103" w:name="page104"/>
    <w:bookmarkEnd w:id="103"/>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14.9</w:t>
      </w:r>
      <w:r>
        <w:rPr>
          <w:sz w:val="20"/>
          <w:szCs w:val="20"/>
          <w:color w:val="auto"/>
        </w:rPr>
        <w:tab/>
      </w:r>
      <w:r>
        <w:rPr>
          <w:rFonts w:ascii="Times New Roman" w:cs="Times New Roman" w:eastAsia="Times New Roman" w:hAnsi="Times New Roman"/>
          <w:sz w:val="15"/>
          <w:szCs w:val="15"/>
          <w:b w:val="1"/>
          <w:bCs w:val="1"/>
          <w:color w:val="auto"/>
        </w:rPr>
        <w:t>CONFLICT WITH TRUST INDENTURE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and to the extent that any provision of this Indenture limits, qualifies or conflicts with any provision of the Trust Indenture Act, such Trust Indenture Act provision shall control.</w:t>
      </w:r>
    </w:p>
    <w:p>
      <w:pPr>
        <w:spacing w:after="0" w:line="18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14.10</w:t>
      </w:r>
      <w:r>
        <w:rPr>
          <w:sz w:val="20"/>
          <w:szCs w:val="20"/>
          <w:color w:val="auto"/>
        </w:rPr>
        <w:tab/>
      </w:r>
      <w:r>
        <w:rPr>
          <w:rFonts w:ascii="Times New Roman" w:cs="Times New Roman" w:eastAsia="Times New Roman" w:hAnsi="Times New Roman"/>
          <w:sz w:val="15"/>
          <w:szCs w:val="15"/>
          <w:b w:val="1"/>
          <w:bCs w:val="1"/>
          <w:color w:val="auto"/>
        </w:rPr>
        <w:t>COUNTERPARTS.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each of which shall be deemed an original, but such counterparts shall together constitute but one and the same instrument.</w:t>
      </w:r>
    </w:p>
    <w:p>
      <w:pPr>
        <w:spacing w:after="0" w:line="35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14.11</w:t>
      </w:r>
      <w:r>
        <w:rPr>
          <w:sz w:val="20"/>
          <w:szCs w:val="20"/>
          <w:color w:val="auto"/>
        </w:rPr>
        <w:tab/>
      </w:r>
      <w:r>
        <w:rPr>
          <w:rFonts w:ascii="Times New Roman" w:cs="Times New Roman" w:eastAsia="Times New Roman" w:hAnsi="Times New Roman"/>
          <w:sz w:val="15"/>
          <w:szCs w:val="15"/>
          <w:b w:val="1"/>
          <w:bCs w:val="1"/>
          <w:color w:val="auto"/>
        </w:rPr>
        <w:t>SEVERABILITY.</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14.12</w:t>
      </w:r>
      <w:r>
        <w:rPr>
          <w:sz w:val="20"/>
          <w:szCs w:val="20"/>
          <w:color w:val="auto"/>
        </w:rPr>
        <w:tab/>
      </w:r>
      <w:r>
        <w:rPr>
          <w:rFonts w:ascii="Times New Roman" w:cs="Times New Roman" w:eastAsia="Times New Roman" w:hAnsi="Times New Roman"/>
          <w:sz w:val="14"/>
          <w:szCs w:val="14"/>
          <w:b w:val="1"/>
          <w:bCs w:val="1"/>
          <w:color w:val="auto"/>
        </w:rPr>
        <w:t>COMPLIANCE CERTIFICATES.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15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14.13</w:t>
      </w:r>
      <w:r>
        <w:rPr>
          <w:sz w:val="20"/>
          <w:szCs w:val="20"/>
          <w:color w:val="auto"/>
        </w:rPr>
        <w:tab/>
      </w:r>
      <w:r>
        <w:rPr>
          <w:rFonts w:ascii="Times New Roman" w:cs="Times New Roman" w:eastAsia="Times New Roman" w:hAnsi="Times New Roman"/>
          <w:sz w:val="14"/>
          <w:szCs w:val="14"/>
          <w:b w:val="1"/>
          <w:bCs w:val="1"/>
          <w:color w:val="auto"/>
        </w:rPr>
        <w:t>USA PATRIOT ACT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parties hereto acknowledge that, in accordance with Section 326 of the USA Patriot Act (Title III of Pub. L. 107-56 (signed into law October 26, 2001)) (as amended, modified or supplemented from time to time, the “</w:t>
      </w:r>
      <w:r>
        <w:rPr>
          <w:rFonts w:ascii="Times New Roman" w:cs="Times New Roman" w:eastAsia="Times New Roman" w:hAnsi="Times New Roman"/>
          <w:sz w:val="15"/>
          <w:szCs w:val="15"/>
          <w:b w:val="1"/>
          <w:bCs w:val="1"/>
          <w:color w:val="auto"/>
        </w:rPr>
        <w:t>USA Patriot Act</w:t>
      </w:r>
      <w:r>
        <w:rPr>
          <w:rFonts w:ascii="Times New Roman" w:cs="Times New Roman" w:eastAsia="Times New Roman" w:hAnsi="Times New Roman"/>
          <w:sz w:val="15"/>
          <w:szCs w:val="15"/>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1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14.14</w:t>
      </w:r>
      <w:r>
        <w:rPr>
          <w:sz w:val="20"/>
          <w:szCs w:val="20"/>
          <w:color w:val="auto"/>
        </w:rPr>
        <w:tab/>
      </w:r>
      <w:r>
        <w:rPr>
          <w:rFonts w:ascii="Times New Roman" w:cs="Times New Roman" w:eastAsia="Times New Roman" w:hAnsi="Times New Roman"/>
          <w:sz w:val="15"/>
          <w:szCs w:val="15"/>
          <w:b w:val="1"/>
          <w:bCs w:val="1"/>
          <w:color w:val="auto"/>
        </w:rPr>
        <w:t>CONSENT TO JURISDICTION AND SERVICE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104" w:name="page105"/>
    <w:bookmarkEnd w:id="104"/>
    <w:p>
      <w:pPr>
        <w:spacing w:after="0"/>
        <w:tabs>
          <w:tab w:leader="none" w:pos="1660" w:val="left"/>
        </w:tabs>
        <w:rPr>
          <w:sz w:val="20"/>
          <w:szCs w:val="20"/>
          <w:color w:val="auto"/>
        </w:rPr>
      </w:pPr>
      <w:r>
        <w:rPr>
          <w:rFonts w:ascii="Times New Roman" w:cs="Times New Roman" w:eastAsia="Times New Roman" w:hAnsi="Times New Roman"/>
          <w:sz w:val="15"/>
          <w:szCs w:val="15"/>
          <w:b w:val="1"/>
          <w:bCs w:val="1"/>
          <w:color w:val="auto"/>
        </w:rPr>
        <w:t>SECTION 14.15</w:t>
      </w:r>
      <w:r>
        <w:rPr>
          <w:sz w:val="20"/>
          <w:szCs w:val="20"/>
          <w:color w:val="auto"/>
        </w:rPr>
        <w:tab/>
      </w:r>
      <w:r>
        <w:rPr>
          <w:rFonts w:ascii="Times New Roman" w:cs="Times New Roman" w:eastAsia="Times New Roman" w:hAnsi="Times New Roman"/>
          <w:sz w:val="15"/>
          <w:szCs w:val="15"/>
          <w:b w:val="1"/>
          <w:bCs w:val="1"/>
          <w:color w:val="auto"/>
        </w:rPr>
        <w:t>FORCE MAJEURE</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Signature page follows</w:t>
      </w:r>
      <w:r>
        <w:rPr>
          <w:rFonts w:ascii="Times New Roman" w:cs="Times New Roman" w:eastAsia="Times New Roman" w:hAnsi="Times New Roman"/>
          <w:sz w:val="15"/>
          <w:szCs w:val="15"/>
          <w:color w:val="auto"/>
        </w:rPr>
        <w:t>]</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Indenture to be duly executed all as of the day and year first above written.</w:t>
      </w:r>
    </w:p>
    <w:p>
      <w:pPr>
        <w:spacing w:after="0" w:line="19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19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14605</wp:posOffset>
            </wp:positionV>
            <wp:extent cx="24999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2499995" cy="6985"/>
                    </a:xfrm>
                    <a:prstGeom prst="rect">
                      <a:avLst/>
                    </a:prstGeom>
                    <a:noFill/>
                  </pic:spPr>
                </pic:pic>
              </a:graphicData>
            </a:graphic>
          </wp:anchor>
        </w:drawing>
      </w:r>
    </w:p>
    <w:p>
      <w:pPr>
        <w:spacing w:after="0" w:line="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Title:</w:t>
      </w:r>
    </w:p>
    <w:p>
      <w:pPr>
        <w:spacing w:after="0" w:line="17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 as Trustee</w:t>
      </w:r>
    </w:p>
    <w:p>
      <w:pPr>
        <w:spacing w:after="0" w:line="19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14605</wp:posOffset>
            </wp:positionV>
            <wp:extent cx="24999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499995" cy="6985"/>
                    </a:xfrm>
                    <a:prstGeom prst="rect">
                      <a:avLst/>
                    </a:prstGeom>
                    <a:noFill/>
                  </pic:spPr>
                </pic:pic>
              </a:graphicData>
            </a:graphic>
          </wp:anchor>
        </w:drawing>
      </w:r>
    </w:p>
    <w:p>
      <w:pPr>
        <w:spacing w:after="0" w:line="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Title:</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715454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9599"/>
          </w:cols>
          <w:pgMar w:left="860" w:top="691"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5"/>
          <w:szCs w:val="15"/>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-99695</wp:posOffset>
            </wp:positionV>
            <wp:extent cx="1149350" cy="244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1149350" cy="244475"/>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United States</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dentons.com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10285 Science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California 92121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 </w:t>
      </w:r>
      <w:r>
        <w:rPr>
          <w:rFonts w:ascii="Times New Roman" w:cs="Times New Roman" w:eastAsia="Times New Roman" w:hAnsi="Times New Roman"/>
          <w:sz w:val="15"/>
          <w:szCs w:val="15"/>
          <w:u w:val="single" w:color="auto"/>
          <w:color w:val="auto"/>
        </w:rPr>
        <w:t>Registration Statement on Form S-3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0" w:lineRule="exact"/>
        <w:rPr>
          <w:sz w:val="20"/>
          <w:szCs w:val="20"/>
          <w:color w:val="auto"/>
        </w:rPr>
      </w:pPr>
    </w:p>
    <w:p>
      <w:pPr>
        <w:ind w:right="20" w:firstLine="543"/>
        <w:spacing w:after="0" w:line="262" w:lineRule="auto"/>
        <w:rPr>
          <w:sz w:val="20"/>
          <w:szCs w:val="20"/>
          <w:color w:val="auto"/>
        </w:rPr>
      </w:pPr>
      <w:r>
        <w:rPr>
          <w:rFonts w:ascii="Times New Roman" w:cs="Times New Roman" w:eastAsia="Times New Roman" w:hAnsi="Times New Roman"/>
          <w:sz w:val="15"/>
          <w:szCs w:val="15"/>
          <w:color w:val="auto"/>
        </w:rPr>
        <w:t>We have acted as counsel to Arcturus Therapeutics Holdings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preparation and filing of a Registration Statement on Form S-3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relating to the registration under the Securities Act and the proposed issuance and sale from time to time by the Company of up to an aggregate offering amount of $500,000,000 of the following securities (each a “</w:t>
      </w:r>
      <w:r>
        <w:rPr>
          <w:rFonts w:ascii="Times New Roman" w:cs="Times New Roman" w:eastAsia="Times New Roman" w:hAnsi="Times New Roman"/>
          <w:sz w:val="15"/>
          <w:szCs w:val="15"/>
          <w:u w:val="single" w:color="auto"/>
          <w:color w:val="auto"/>
        </w:rPr>
        <w:t>Company Security</w:t>
      </w:r>
      <w:r>
        <w:rPr>
          <w:rFonts w:ascii="Times New Roman" w:cs="Times New Roman" w:eastAsia="Times New Roman" w:hAnsi="Times New Roman"/>
          <w:sz w:val="15"/>
          <w:szCs w:val="15"/>
          <w:color w:val="auto"/>
        </w:rPr>
        <w:t>” and collectively, or in any combination, the “</w:t>
      </w:r>
      <w:r>
        <w:rPr>
          <w:rFonts w:ascii="Times New Roman" w:cs="Times New Roman" w:eastAsia="Times New Roman" w:hAnsi="Times New Roman"/>
          <w:sz w:val="15"/>
          <w:szCs w:val="15"/>
          <w:u w:val="single" w:color="auto"/>
          <w:color w:val="auto"/>
        </w:rPr>
        <w:t>Company Securities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720" w:hanging="187"/>
        <w:spacing w:after="0"/>
        <w:tabs>
          <w:tab w:leader="none" w:pos="72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the Company’s common stock, par value $0.001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760" w:hanging="227"/>
        <w:spacing w:after="0"/>
        <w:tabs>
          <w:tab w:leader="none" w:pos="7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classes or series of shares of the Company’s preferred stock, par value $0.001 per share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800" w:hanging="267"/>
        <w:spacing w:after="0"/>
        <w:tabs>
          <w:tab w:leader="none" w:pos="80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series of debt securities, which may be senior or subordinated debt or senior or subordinated convertible debt (the “</w:t>
      </w:r>
      <w:r>
        <w:rPr>
          <w:rFonts w:ascii="Times New Roman" w:cs="Times New Roman" w:eastAsia="Times New Roman" w:hAnsi="Times New Roman"/>
          <w:sz w:val="15"/>
          <w:szCs w:val="15"/>
          <w:u w:val="single" w:color="auto"/>
          <w:color w:val="auto"/>
        </w:rPr>
        <w:t>Debt Securities</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780" w:hanging="247"/>
        <w:spacing w:after="0"/>
        <w:tabs>
          <w:tab w:leader="none" w:pos="78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representing the rights to purchase shares of Common Stock, Preferred Stock, or Debt Securities (the “</w:t>
      </w:r>
      <w:r>
        <w:rPr>
          <w:rFonts w:ascii="Times New Roman" w:cs="Times New Roman" w:eastAsia="Times New Roman" w:hAnsi="Times New Roman"/>
          <w:sz w:val="15"/>
          <w:szCs w:val="15"/>
          <w:u w:val="single" w:color="auto"/>
          <w:color w:val="auto"/>
        </w:rPr>
        <w:t>Warrants</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subscription rights to purchase shares of Common Stock, Preferred Stock or Debt Securities (the “</w:t>
      </w:r>
      <w:r>
        <w:rPr>
          <w:rFonts w:ascii="Times New Roman" w:cs="Times New Roman" w:eastAsia="Times New Roman" w:hAnsi="Times New Roman"/>
          <w:sz w:val="15"/>
          <w:szCs w:val="15"/>
          <w:u w:val="single" w:color="auto"/>
          <w:color w:val="auto"/>
        </w:rPr>
        <w:t>Subscription Rights</w:t>
      </w:r>
      <w:r>
        <w:rPr>
          <w:rFonts w:ascii="Times New Roman" w:cs="Times New Roman" w:eastAsia="Times New Roman" w:hAnsi="Times New Roman"/>
          <w:sz w:val="15"/>
          <w:szCs w:val="15"/>
          <w:color w:val="auto"/>
        </w:rPr>
        <w:t>”); and</w:t>
      </w:r>
    </w:p>
    <w:p>
      <w:pPr>
        <w:spacing w:after="0" w:line="189" w:lineRule="exact"/>
        <w:rPr>
          <w:rFonts w:ascii="Times New Roman" w:cs="Times New Roman" w:eastAsia="Times New Roman" w:hAnsi="Times New Roman"/>
          <w:sz w:val="15"/>
          <w:szCs w:val="15"/>
          <w:color w:val="auto"/>
        </w:rPr>
      </w:pPr>
    </w:p>
    <w:p>
      <w:pPr>
        <w:ind w:left="780" w:hanging="247"/>
        <w:spacing w:after="0"/>
        <w:tabs>
          <w:tab w:leader="none" w:pos="78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units comprised of one or more of the Company Securities in one or more series and in any combination (the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ind w:right="160" w:firstLine="543"/>
        <w:spacing w:after="0" w:line="268" w:lineRule="auto"/>
        <w:rPr>
          <w:sz w:val="20"/>
          <w:szCs w:val="20"/>
          <w:color w:val="auto"/>
        </w:rPr>
      </w:pPr>
      <w:r>
        <w:rPr>
          <w:rFonts w:ascii="Times New Roman" w:cs="Times New Roman" w:eastAsia="Times New Roman" w:hAnsi="Times New Roman"/>
          <w:sz w:val="15"/>
          <w:szCs w:val="15"/>
          <w:color w:val="auto"/>
        </w:rPr>
        <w:t>For the purposes of this opinion letter, the Company Securities shall be deemed to include any additional Common Stock, Preferred Stock, Debt Securities, Warrants, Subscription Rights and Units that may be registered pursuant to any registration statement that the Company may hereafter file with the Commission pursuant to Rule 462(b) under the Securities Act.</w:t>
      </w:r>
    </w:p>
    <w:p>
      <w:pPr>
        <w:spacing w:after="0" w:line="146" w:lineRule="exact"/>
        <w:rPr>
          <w:sz w:val="20"/>
          <w:szCs w:val="20"/>
          <w:color w:val="auto"/>
        </w:rPr>
      </w:pPr>
    </w:p>
    <w:p>
      <w:pPr>
        <w:ind w:right="200" w:firstLine="543"/>
        <w:spacing w:after="0" w:line="185" w:lineRule="exact"/>
        <w:rPr>
          <w:sz w:val="20"/>
          <w:szCs w:val="20"/>
          <w:color w:val="auto"/>
        </w:rPr>
      </w:pPr>
      <w:r>
        <w:rPr>
          <w:rFonts w:ascii="Times New Roman" w:cs="Times New Roman" w:eastAsia="Times New Roman" w:hAnsi="Times New Roman"/>
          <w:sz w:val="15"/>
          <w:szCs w:val="15"/>
          <w:color w:val="auto"/>
        </w:rPr>
        <w:t>We advise you that we have also examined the prospectus supplement to the Registration Statement in connection with the registration under the Securities Act of up to $187,765,319 of Common Stock (the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to be issued and sold by the Company. We understand that the Company has agreed to issue and sell the Shares, from time to time, through Cantor Fitzgerald &amp; Co., Wells Fargo Securities, LLC, and William Blair &amp; Company, L.L.C., as sales agents (the “</w:t>
      </w:r>
      <w:r>
        <w:rPr>
          <w:rFonts w:ascii="Times New Roman" w:cs="Times New Roman" w:eastAsia="Times New Roman" w:hAnsi="Times New Roman"/>
          <w:sz w:val="15"/>
          <w:szCs w:val="15"/>
          <w:u w:val="single" w:color="auto"/>
          <w:color w:val="auto"/>
        </w:rPr>
        <w:t>Agents</w:t>
      </w:r>
      <w:r>
        <w:rPr>
          <w:rFonts w:ascii="Times New Roman" w:cs="Times New Roman" w:eastAsia="Times New Roman" w:hAnsi="Times New Roman"/>
          <w:sz w:val="15"/>
          <w:szCs w:val="15"/>
          <w:color w:val="auto"/>
        </w:rPr>
        <w:t>”), pursuant to a Controlled Equity Offering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Sales Agreement by and between the Company and the Agents, as amended (the “</w:t>
      </w:r>
      <w:r>
        <w:rPr>
          <w:rFonts w:ascii="Times New Roman" w:cs="Times New Roman" w:eastAsia="Times New Roman" w:hAnsi="Times New Roman"/>
          <w:sz w:val="15"/>
          <w:szCs w:val="15"/>
          <w:u w:val="single" w:color="auto"/>
          <w:color w:val="auto"/>
        </w:rPr>
        <w:t>Sales Agreement</w:t>
      </w:r>
      <w:r>
        <w:rPr>
          <w:rFonts w:ascii="Times New Roman" w:cs="Times New Roman" w:eastAsia="Times New Roman" w:hAnsi="Times New Roman"/>
          <w:sz w:val="15"/>
          <w:szCs w:val="15"/>
          <w:color w:val="auto"/>
        </w:rPr>
        <w: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07" w:name="page108"/>
    <w:bookmarkEnd w:id="107"/>
    <w:p>
      <w:pPr>
        <w:ind w:left="4240"/>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1149350" cy="244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1149350" cy="244475"/>
                    </a:xfrm>
                    <a:prstGeom prst="rect">
                      <a:avLst/>
                    </a:prstGeom>
                    <a:noFill/>
                  </pic:spPr>
                </pic:pic>
              </a:graphicData>
            </a:graphic>
          </wp:anchor>
        </w:drawing>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December 30, 2025</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dentons.com</w:t>
      </w:r>
    </w:p>
    <w:p>
      <w:pPr>
        <w:spacing w:after="0" w:line="562" w:lineRule="exact"/>
        <w:rPr>
          <w:sz w:val="20"/>
          <w:szCs w:val="20"/>
          <w:color w:val="auto"/>
        </w:rPr>
      </w:pPr>
    </w:p>
    <w:p>
      <w:pPr>
        <w:sectPr>
          <w:pgSz w:w="11900" w:h="16838" w:orient="portrait"/>
          <w:cols w:equalWidth="0" w:num="2">
            <w:col w:w="9780" w:space="720"/>
            <w:col w:w="760"/>
          </w:cols>
          <w:pgMar w:left="320" w:top="690" w:right="319" w:bottom="1440" w:gutter="0" w:footer="0" w:header="0"/>
        </w:sectPr>
      </w:pPr>
    </w:p>
    <w:p>
      <w:pPr>
        <w:ind w:firstLine="543"/>
        <w:spacing w:after="0" w:line="285" w:lineRule="auto"/>
        <w:rPr>
          <w:sz w:val="20"/>
          <w:szCs w:val="20"/>
          <w:color w:val="auto"/>
        </w:rPr>
      </w:pPr>
      <w:r>
        <w:rPr>
          <w:rFonts w:ascii="Times New Roman" w:cs="Times New Roman" w:eastAsia="Times New Roman" w:hAnsi="Times New Roman"/>
          <w:sz w:val="15"/>
          <w:szCs w:val="15"/>
          <w:color w:val="auto"/>
        </w:rPr>
        <w:t>This opinion letter is being furnished to the Company in accordance with the requirements of Item 601(b)(5) of Regulation S-K. The opinions set forth herein are limited to applicable laws as in effect on the date hereof.</w:t>
      </w:r>
    </w:p>
    <w:p>
      <w:pPr>
        <w:spacing w:after="0" w:line="133" w:lineRule="exact"/>
        <w:rPr>
          <w:sz w:val="20"/>
          <w:szCs w:val="20"/>
          <w:color w:val="auto"/>
        </w:rPr>
      </w:pPr>
    </w:p>
    <w:p>
      <w:pPr>
        <w:ind w:right="60" w:firstLine="543"/>
        <w:spacing w:after="0" w:line="256" w:lineRule="auto"/>
        <w:rPr>
          <w:sz w:val="20"/>
          <w:szCs w:val="20"/>
          <w:color w:val="auto"/>
        </w:rPr>
      </w:pPr>
      <w:r>
        <w:rPr>
          <w:rFonts w:ascii="Times New Roman" w:cs="Times New Roman" w:eastAsia="Times New Roman" w:hAnsi="Times New Roman"/>
          <w:sz w:val="15"/>
          <w:szCs w:val="15"/>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w:t>
      </w:r>
      <w:r>
        <w:rPr>
          <w:rFonts w:ascii="Times New Roman" w:cs="Times New Roman" w:eastAsia="Times New Roman" w:hAnsi="Times New Roman"/>
          <w:sz w:val="15"/>
          <w:szCs w:val="15"/>
          <w:u w:val="single" w:color="auto"/>
          <w:color w:val="auto"/>
        </w:rPr>
        <w:t>Base Prospectus</w:t>
      </w:r>
      <w:r>
        <w:rPr>
          <w:rFonts w:ascii="Times New Roman" w:cs="Times New Roman" w:eastAsia="Times New Roman" w:hAnsi="Times New Roman"/>
          <w:sz w:val="15"/>
          <w:szCs w:val="15"/>
          <w:color w:val="auto"/>
        </w:rPr>
        <w:t>”) and any supplements to the Prospectus (each, together with the Base Prospectus, a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We are basing this opinion letter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connection with rendering this opinion, we have examined originals, certified copies or copies otherwise identified as being true copies of the following:</w:t>
      </w:r>
    </w:p>
    <w:p>
      <w:pPr>
        <w:spacing w:after="0" w:line="190" w:lineRule="exact"/>
        <w:rPr>
          <w:sz w:val="20"/>
          <w:szCs w:val="20"/>
          <w:color w:val="auto"/>
        </w:rPr>
      </w:pPr>
    </w:p>
    <w:p>
      <w:pPr>
        <w:ind w:left="740" w:hanging="207"/>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Incorporation of the Company, as amended (the “</w:t>
      </w:r>
      <w:r>
        <w:rPr>
          <w:rFonts w:ascii="Times New Roman" w:cs="Times New Roman" w:eastAsia="Times New Roman" w:hAnsi="Times New Roman"/>
          <w:sz w:val="15"/>
          <w:szCs w:val="15"/>
          <w:u w:val="single" w:color="auto"/>
          <w:color w:val="auto"/>
        </w:rPr>
        <w:t>Certificate of Incorporation</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Bylaws of the Company (the “</w:t>
      </w:r>
      <w:r>
        <w:rPr>
          <w:rFonts w:ascii="Times New Roman" w:cs="Times New Roman" w:eastAsia="Times New Roman" w:hAnsi="Times New Roman"/>
          <w:sz w:val="15"/>
          <w:szCs w:val="15"/>
          <w:u w:val="single" w:color="auto"/>
          <w:color w:val="auto"/>
        </w:rPr>
        <w:t>Bylaws</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proceedings of the Company relating to its proposed issuance of the Company Securities; and</w:t>
      </w:r>
    </w:p>
    <w:p>
      <w:pPr>
        <w:spacing w:after="0" w:line="189" w:lineRule="exact"/>
        <w:rPr>
          <w:rFonts w:ascii="Times New Roman" w:cs="Times New Roman" w:eastAsia="Times New Roman" w:hAnsi="Times New Roman"/>
          <w:sz w:val="15"/>
          <w:szCs w:val="15"/>
          <w:color w:val="auto"/>
        </w:rPr>
      </w:pPr>
    </w:p>
    <w:p>
      <w:pPr>
        <w:ind w:left="740" w:hanging="207"/>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instruments and documents as we have deemed relevant or necessary in connection with our opinions set forth herein.</w:t>
      </w:r>
    </w:p>
    <w:p>
      <w:pPr>
        <w:spacing w:after="0" w:line="190" w:lineRule="exact"/>
        <w:rPr>
          <w:sz w:val="20"/>
          <w:szCs w:val="20"/>
          <w:color w:val="auto"/>
        </w:rPr>
      </w:pPr>
    </w:p>
    <w:p>
      <w:pPr>
        <w:ind w:right="80" w:firstLine="543"/>
        <w:spacing w:after="0" w:line="260" w:lineRule="auto"/>
        <w:rPr>
          <w:sz w:val="20"/>
          <w:szCs w:val="20"/>
          <w:color w:val="auto"/>
        </w:rPr>
      </w:pPr>
      <w:r>
        <w:rPr>
          <w:rFonts w:ascii="Times New Roman" w:cs="Times New Roman" w:eastAsia="Times New Roman" w:hAnsi="Times New Roman"/>
          <w:sz w:val="15"/>
          <w:szCs w:val="15"/>
          <w:color w:val="auto"/>
        </w:rPr>
        <w:t>Unless otherwise provided in any Prospectus relating to a particular series of Debt Securities, the Debt Securities will be issued pursuant to an indenture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between the Company and a trustee to be named in the applicable supplement to the Prospectus (the “</w:t>
      </w:r>
      <w:r>
        <w:rPr>
          <w:rFonts w:ascii="Times New Roman" w:cs="Times New Roman" w:eastAsia="Times New Roman" w:hAnsi="Times New Roman"/>
          <w:sz w:val="15"/>
          <w:szCs w:val="15"/>
          <w:u w:val="single" w:color="auto"/>
          <w:color w:val="auto"/>
        </w:rPr>
        <w:t>Trustee</w:t>
      </w:r>
      <w:r>
        <w:rPr>
          <w:rFonts w:ascii="Times New Roman" w:cs="Times New Roman" w:eastAsia="Times New Roman" w:hAnsi="Times New Roman"/>
          <w:sz w:val="15"/>
          <w:szCs w:val="15"/>
          <w:color w:val="auto"/>
        </w:rPr>
        <w:t>”).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t>
      </w:r>
      <w:r>
        <w:rPr>
          <w:rFonts w:ascii="Times New Roman" w:cs="Times New Roman" w:eastAsia="Times New Roman" w:hAnsi="Times New Roman"/>
          <w:sz w:val="15"/>
          <w:szCs w:val="15"/>
          <w:u w:val="single" w:color="auto"/>
          <w:color w:val="auto"/>
        </w:rPr>
        <w:t>Warrant Agreement</w:t>
      </w:r>
      <w:r>
        <w:rPr>
          <w:rFonts w:ascii="Times New Roman" w:cs="Times New Roman" w:eastAsia="Times New Roman" w:hAnsi="Times New Roman"/>
          <w:sz w:val="15"/>
          <w:szCs w:val="15"/>
          <w:color w:val="auto"/>
        </w:rPr>
        <w:t>”). The Subscription Rights will be issued under one or more subscription rights agreements (each a “</w:t>
      </w:r>
      <w:r>
        <w:rPr>
          <w:rFonts w:ascii="Times New Roman" w:cs="Times New Roman" w:eastAsia="Times New Roman" w:hAnsi="Times New Roman"/>
          <w:sz w:val="15"/>
          <w:szCs w:val="15"/>
          <w:u w:val="single" w:color="auto"/>
          <w:color w:val="auto"/>
        </w:rPr>
        <w:t>Subscription Rights Agreement</w:t>
      </w:r>
      <w:r>
        <w:rPr>
          <w:rFonts w:ascii="Times New Roman" w:cs="Times New Roman" w:eastAsia="Times New Roman" w:hAnsi="Times New Roman"/>
          <w:sz w:val="15"/>
          <w:szCs w:val="15"/>
          <w:color w:val="auto"/>
        </w:rPr>
        <w:t>”). The Units will be issued under one or more unit purchase agreements (each a “</w:t>
      </w:r>
      <w:r>
        <w:rPr>
          <w:rFonts w:ascii="Times New Roman" w:cs="Times New Roman" w:eastAsia="Times New Roman" w:hAnsi="Times New Roman"/>
          <w:sz w:val="15"/>
          <w:szCs w:val="15"/>
          <w:u w:val="single" w:color="auto"/>
          <w:color w:val="auto"/>
        </w:rPr>
        <w:t>Unit Purchase Agreement</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right="100" w:firstLine="543"/>
        <w:spacing w:after="0" w:line="268" w:lineRule="auto"/>
        <w:rPr>
          <w:sz w:val="20"/>
          <w:szCs w:val="20"/>
          <w:color w:val="auto"/>
        </w:rPr>
      </w:pPr>
      <w:r>
        <w:rPr>
          <w:rFonts w:ascii="Times New Roman" w:cs="Times New Roman" w:eastAsia="Times New Roman" w:hAnsi="Times New Roman"/>
          <w:sz w:val="15"/>
          <w:szCs w:val="15"/>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Based on and subject to the assumptions, qualifications and limitations set forth herein, we are of the opinion that:</w:t>
      </w:r>
    </w:p>
    <w:p>
      <w:pPr>
        <w:spacing w:after="0" w:line="190" w:lineRule="exact"/>
        <w:rPr>
          <w:sz w:val="20"/>
          <w:szCs w:val="20"/>
          <w:color w:val="auto"/>
        </w:rPr>
      </w:pPr>
    </w:p>
    <w:p>
      <w:pPr>
        <w:ind w:firstLine="533"/>
        <w:spacing w:after="0" w:line="256" w:lineRule="auto"/>
        <w:tabs>
          <w:tab w:leader="none" w:pos="757"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w:t>
      </w:r>
      <w:r>
        <w:rPr>
          <w:rFonts w:ascii="Times New Roman" w:cs="Times New Roman" w:eastAsia="Times New Roman" w:hAnsi="Times New Roman"/>
          <w:sz w:val="15"/>
          <w:szCs w:val="15"/>
          <w:u w:val="single" w:color="auto"/>
          <w:color w:val="auto"/>
        </w:rPr>
        <w:t>Board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Directors</w:t>
      </w:r>
      <w:r>
        <w:rPr>
          <w:rFonts w:ascii="Times New Roman" w:cs="Times New Roman" w:eastAsia="Times New Roman" w:hAnsi="Times New Roman"/>
          <w:sz w:val="15"/>
          <w:szCs w:val="15"/>
          <w:color w:val="auto"/>
        </w:rPr>
        <w:t>”),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type w:val="continuous"/>
        </w:sectPr>
      </w:pPr>
    </w:p>
    <w:bookmarkStart w:id="108" w:name="page109"/>
    <w:bookmarkEnd w:id="108"/>
    <w:p>
      <w:pPr>
        <w:ind w:left="4240"/>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1149350" cy="2444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1149350" cy="244475"/>
                    </a:xfrm>
                    <a:prstGeom prst="rect">
                      <a:avLst/>
                    </a:prstGeom>
                    <a:noFill/>
                  </pic:spPr>
                </pic:pic>
              </a:graphicData>
            </a:graphic>
          </wp:anchor>
        </w:drawing>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December 30, 2025</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dentons.com</w:t>
      </w:r>
    </w:p>
    <w:p>
      <w:pPr>
        <w:spacing w:after="0" w:line="562" w:lineRule="exact"/>
        <w:rPr>
          <w:sz w:val="20"/>
          <w:szCs w:val="20"/>
          <w:color w:val="auto"/>
        </w:rPr>
      </w:pPr>
    </w:p>
    <w:p>
      <w:pPr>
        <w:sectPr>
          <w:pgSz w:w="11900" w:h="16838" w:orient="portrait"/>
          <w:cols w:equalWidth="0" w:num="2">
            <w:col w:w="9780" w:space="720"/>
            <w:col w:w="760"/>
          </w:cols>
          <w:pgMar w:left="320" w:top="690" w:right="319" w:bottom="1440" w:gutter="0" w:footer="0" w:header="0"/>
        </w:sectPr>
      </w:pPr>
    </w:p>
    <w:p>
      <w:pPr>
        <w:ind w:firstLine="533"/>
        <w:spacing w:after="0" w:line="255" w:lineRule="auto"/>
        <w:tabs>
          <w:tab w:leader="none" w:pos="75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Articles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158" w:lineRule="exact"/>
        <w:rPr>
          <w:rFonts w:ascii="Times New Roman" w:cs="Times New Roman" w:eastAsia="Times New Roman" w:hAnsi="Times New Roman"/>
          <w:sz w:val="15"/>
          <w:szCs w:val="15"/>
          <w:color w:val="auto"/>
        </w:rPr>
      </w:pPr>
    </w:p>
    <w:p>
      <w:pPr>
        <w:ind w:firstLine="533"/>
        <w:spacing w:after="0" w:line="257" w:lineRule="auto"/>
        <w:tabs>
          <w:tab w:leader="none" w:pos="75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w:t>
      </w:r>
      <w:r>
        <w:rPr>
          <w:rFonts w:ascii="Times New Roman" w:cs="Times New Roman" w:eastAsia="Times New Roman" w:hAnsi="Times New Roman"/>
          <w:sz w:val="15"/>
          <w:szCs w:val="15"/>
          <w:u w:val="single" w:color="auto"/>
          <w:color w:val="auto"/>
        </w:rPr>
        <w:t>TIA</w:t>
      </w:r>
      <w:r>
        <w:rPr>
          <w:rFonts w:ascii="Times New Roman" w:cs="Times New Roman" w:eastAsia="Times New Roman" w:hAnsi="Times New Roman"/>
          <w:sz w:val="15"/>
          <w:szCs w:val="15"/>
          <w:color w:val="auto"/>
        </w:rPr>
        <w:t>”),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155" w:lineRule="exact"/>
        <w:rPr>
          <w:rFonts w:ascii="Times New Roman" w:cs="Times New Roman" w:eastAsia="Times New Roman" w:hAnsi="Times New Roman"/>
          <w:sz w:val="15"/>
          <w:szCs w:val="15"/>
          <w:color w:val="auto"/>
        </w:rPr>
      </w:pPr>
    </w:p>
    <w:p>
      <w:pPr>
        <w:ind w:firstLine="533"/>
        <w:spacing w:after="0" w:line="260" w:lineRule="auto"/>
        <w:tabs>
          <w:tab w:leader="none" w:pos="75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151" w:lineRule="exact"/>
        <w:rPr>
          <w:rFonts w:ascii="Times New Roman" w:cs="Times New Roman" w:eastAsia="Times New Roman" w:hAnsi="Times New Roman"/>
          <w:sz w:val="15"/>
          <w:szCs w:val="15"/>
          <w:color w:val="auto"/>
        </w:rPr>
      </w:pPr>
    </w:p>
    <w:p>
      <w:pPr>
        <w:ind w:right="140" w:firstLine="533"/>
        <w:spacing w:after="0" w:line="258" w:lineRule="auto"/>
        <w:tabs>
          <w:tab w:leader="none" w:pos="75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Subscription Rights to be issued under a Subscription Rights Agreement, when all necessary corporate action of the Company has been taken to approve the issuance and terms of such Subscription Rights, the terms of the offering thereof and related matters, the Subscription Rights Agreement has been duly executed and delivered by the Company, and such Subscription Rights have been duly executed, issued and delivered in accordance with the terms of the Subscription Rights Agreement and the applicable definitive purchase, underwriting or similar agreement approved by the Board of Directors of the Company, upon payment (or delivery) of the consideration therefor provided for therein, such Subscription Rights, including the Subscription Rights that form a part of any Units, will constitute valid and binding obligations of the Company, enforceable against the Company in accordance with their terms.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5454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type w:val="continuous"/>
        </w:sectPr>
      </w:pPr>
    </w:p>
    <w:bookmarkStart w:id="109" w:name="page110"/>
    <w:bookmarkEnd w:id="109"/>
    <w:p>
      <w:pPr>
        <w:ind w:left="4240"/>
        <w:spacing w:after="0"/>
        <w:rPr>
          <w:sz w:val="20"/>
          <w:szCs w:val="20"/>
          <w:color w:val="auto"/>
        </w:rPr>
      </w:pPr>
      <w:r>
        <w:rPr>
          <w:rFonts w:ascii="Times New Roman" w:cs="Times New Roman" w:eastAsia="Times New Roman" w:hAnsi="Times New Roman"/>
          <w:sz w:val="15"/>
          <w:szCs w:val="15"/>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1149350" cy="2444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149350" cy="244475"/>
                    </a:xfrm>
                    <a:prstGeom prst="rect">
                      <a:avLst/>
                    </a:prstGeom>
                    <a:noFill/>
                  </pic:spPr>
                </pic:pic>
              </a:graphicData>
            </a:graphic>
          </wp:anchor>
        </w:drawing>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December 30, 2025</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dentons.com</w:t>
      </w:r>
    </w:p>
    <w:p>
      <w:pPr>
        <w:spacing w:after="0" w:line="562" w:lineRule="exact"/>
        <w:rPr>
          <w:sz w:val="20"/>
          <w:szCs w:val="20"/>
          <w:color w:val="auto"/>
        </w:rPr>
      </w:pPr>
    </w:p>
    <w:p>
      <w:pPr>
        <w:sectPr>
          <w:pgSz w:w="11900" w:h="16838" w:orient="portrait"/>
          <w:cols w:equalWidth="0" w:num="2">
            <w:col w:w="9780" w:space="720"/>
            <w:col w:w="760"/>
          </w:cols>
          <w:pgMar w:left="320" w:top="690" w:right="319" w:bottom="1440" w:gutter="0" w:footer="0" w:header="0"/>
        </w:sectPr>
      </w:pPr>
    </w:p>
    <w:p>
      <w:pPr>
        <w:ind w:firstLine="533"/>
        <w:spacing w:after="0" w:line="258" w:lineRule="auto"/>
        <w:tabs>
          <w:tab w:leader="none" w:pos="75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54" w:lineRule="exact"/>
        <w:rPr>
          <w:rFonts w:ascii="Times New Roman" w:cs="Times New Roman" w:eastAsia="Times New Roman" w:hAnsi="Times New Roman"/>
          <w:sz w:val="15"/>
          <w:szCs w:val="15"/>
          <w:color w:val="auto"/>
        </w:rPr>
      </w:pPr>
    </w:p>
    <w:p>
      <w:pPr>
        <w:ind w:right="280" w:firstLine="533"/>
        <w:spacing w:after="0" w:line="285" w:lineRule="auto"/>
        <w:tabs>
          <w:tab w:leader="none" w:pos="75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to be issued and sold by the Company under the Sales Agreement have been duly authorized and, when such Shares are issued and delivered by the Company against payment therefore in accordance with the terms of the Sales Agreement, will be validly issued, fully paid and nonassessable.</w:t>
      </w:r>
    </w:p>
    <w:p>
      <w:pPr>
        <w:spacing w:after="0" w:line="133" w:lineRule="exact"/>
        <w:rPr>
          <w:sz w:val="20"/>
          <w:szCs w:val="20"/>
          <w:color w:val="auto"/>
        </w:rPr>
      </w:pPr>
    </w:p>
    <w:p>
      <w:pPr>
        <w:ind w:right="140" w:firstLine="543"/>
        <w:spacing w:after="0" w:line="285" w:lineRule="auto"/>
        <w:rPr>
          <w:sz w:val="20"/>
          <w:szCs w:val="20"/>
          <w:color w:val="auto"/>
        </w:rPr>
      </w:pPr>
      <w:r>
        <w:rPr>
          <w:rFonts w:ascii="Times New Roman" w:cs="Times New Roman" w:eastAsia="Times New Roman" w:hAnsi="Times New Roman"/>
          <w:sz w:val="15"/>
          <w:szCs w:val="15"/>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33" w:lineRule="exact"/>
        <w:rPr>
          <w:sz w:val="20"/>
          <w:szCs w:val="20"/>
          <w:color w:val="auto"/>
        </w:rPr>
      </w:pPr>
    </w:p>
    <w:p>
      <w:pPr>
        <w:ind w:right="40" w:firstLine="543"/>
        <w:spacing w:after="0" w:line="268" w:lineRule="auto"/>
        <w:rPr>
          <w:sz w:val="20"/>
          <w:szCs w:val="20"/>
          <w:color w:val="auto"/>
        </w:rPr>
      </w:pPr>
      <w:r>
        <w:rPr>
          <w:rFonts w:ascii="Times New Roman" w:cs="Times New Roman" w:eastAsia="Times New Roman" w:hAnsi="Times New Roman"/>
          <w:sz w:val="15"/>
          <w:szCs w:val="15"/>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46" w:lineRule="exact"/>
        <w:rPr>
          <w:sz w:val="20"/>
          <w:szCs w:val="20"/>
          <w:color w:val="auto"/>
        </w:rPr>
      </w:pPr>
    </w:p>
    <w:p>
      <w:pPr>
        <w:ind w:right="60" w:firstLine="543"/>
        <w:spacing w:after="0" w:line="262" w:lineRule="auto"/>
        <w:rPr>
          <w:sz w:val="20"/>
          <w:szCs w:val="20"/>
          <w:color w:val="auto"/>
        </w:rPr>
      </w:pPr>
      <w:r>
        <w:rPr>
          <w:rFonts w:ascii="Times New Roman" w:cs="Times New Roman" w:eastAsia="Times New Roman" w:hAnsi="Times New Roman"/>
          <w:sz w:val="15"/>
          <w:szCs w:val="15"/>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 We express no opinion to the extent that any other laws are applicable to the subject matter hereof and express no opinion and provide no assurance as to compliance with any federal or state securities law, rule or regulation.</w:t>
      </w:r>
    </w:p>
    <w:p>
      <w:pPr>
        <w:spacing w:after="0" w:line="152" w:lineRule="exact"/>
        <w:rPr>
          <w:sz w:val="20"/>
          <w:szCs w:val="20"/>
          <w:color w:val="auto"/>
        </w:rPr>
      </w:pPr>
    </w:p>
    <w:p>
      <w:pPr>
        <w:ind w:firstLine="543"/>
        <w:spacing w:after="0" w:line="262" w:lineRule="auto"/>
        <w:rPr>
          <w:sz w:val="20"/>
          <w:szCs w:val="20"/>
          <w:color w:val="auto"/>
        </w:rPr>
      </w:pPr>
      <w:r>
        <w:rPr>
          <w:rFonts w:ascii="Times New Roman" w:cs="Times New Roman" w:eastAsia="Times New Roman" w:hAnsi="Times New Roman"/>
          <w:sz w:val="15"/>
          <w:szCs w:val="15"/>
          <w:color w:val="auto"/>
        </w:rPr>
        <w:t>We hereby consent to the use of our opinion as herein set forth as an exhibit to the Registration Statement and to the use of our name under the caption “Legal Matters” in the prospectus forming a part of the Registration Statement. We further consent to the incorporation by reference of this opinion into any registration statement filed pursuant to Rule 462(b) under the Securities Act with respect to additional Company Securities. We do not, by giving any such consent, admit that we are within the category of persons whose consent is required under Section 7 of the Securities Act.</w:t>
      </w:r>
    </w:p>
    <w:p>
      <w:pPr>
        <w:spacing w:after="0" w:line="15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/s/ Dentons US LLP</w:t>
      </w:r>
    </w:p>
    <w:p>
      <w:pPr>
        <w:spacing w:after="0" w:line="19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Dentons US LLP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454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on Form S-3 of our report dated March 6, 2025, relating to the financial statements of Arcturus Therapeutics Holdings, Inc. and the effectiveness of Arcturus Therapeutics Holdings Inc.’s internal control over financial reporting, appearing in the Annual Report on Form 10-K of Arcturus Therapeutics Holdings, Inc. for the year ended December 31, 2024. We also consent to the reference to us under the heading "Experts" in such Registration Statement.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30, 2025</w:t>
      </w:r>
    </w:p>
    <w:p>
      <w:pPr>
        <w:sectPr>
          <w:pgSz w:w="11900" w:h="16838" w:orient="portrait"/>
          <w:cols w:equalWidth="0" w:num="1">
            <w:col w:w="11100"/>
          </w:cols>
          <w:pgMar w:left="320" w:top="324" w:right="47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We consent to the reference to our firm under the caption "Experts" in this Registration Statement (Form S-3) and related Prospectus of Arcturus Therapeutics Holdings, Inc. for the registration of common stock, preferred stock, debt securities, warrants, rights and units and to the incorporation by reference therein of our report dated March 14, 2024 (except Note 12, as to which the date is March 6, 2025), with respect to the consolidated financial statements of Arcturus Therapeutics Holdings, Inc. and its Subsidiaries included in its Annual Report (Form 10-K) for the year ended December 31, 2024, filed with the Securities and Exchange Commission.</w:t>
      </w:r>
    </w:p>
    <w:p>
      <w:pPr>
        <w:spacing w:after="0" w:line="1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30, 2025</w:t>
      </w:r>
    </w:p>
    <w:p>
      <w:pPr>
        <w:sectPr>
          <w:pgSz w:w="11900" w:h="16838" w:orient="portrait"/>
          <w:cols w:equalWidth="0" w:num="1">
            <w:col w:w="11220"/>
          </w:cols>
          <w:pgMar w:left="320" w:top="324" w:right="359" w:bottom="1440" w:gutter="0" w:footer="0" w:header="0"/>
        </w:sectPr>
      </w:pPr>
    </w:p>
    <w:bookmarkStart w:id="112" w:name="page113"/>
    <w:bookmarkEnd w:id="112"/>
    <w:p>
      <w:pPr>
        <w:ind w:left="10140"/>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454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5454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151130</wp:posOffset>
            </wp:positionV>
            <wp:extent cx="715454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pacing w:after="0" w:line="2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Fee</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Previously</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Paid in</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Connection</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Proposed</w:t>
            </w: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with</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740" w:type="dxa"/>
            <w:vAlign w:val="bottom"/>
            <w:gridSpan w:val="2"/>
            <w:vMerge w:val="continue"/>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Unsold</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20"/>
              <w:spacing w:after="0" w:line="125" w:lineRule="exact"/>
              <w:rPr>
                <w:sz w:val="20"/>
                <w:szCs w:val="20"/>
                <w:color w:val="auto"/>
              </w:rPr>
            </w:pPr>
            <w:r>
              <w:rPr>
                <w:rFonts w:ascii="Times New Roman" w:cs="Times New Roman" w:eastAsia="Times New Roman" w:hAnsi="Times New Roman"/>
                <w:sz w:val="12"/>
                <w:szCs w:val="12"/>
                <w:b w:val="1"/>
                <w:bCs w:val="1"/>
                <w:color w:val="auto"/>
              </w:rPr>
              <w:t>Maximum</w:t>
            </w:r>
          </w:p>
        </w:tc>
        <w:tc>
          <w:tcPr>
            <w:tcW w:w="4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4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Forward</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Security Class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Forward Forward</w:t>
            </w:r>
          </w:p>
        </w:tc>
        <w:tc>
          <w:tcPr>
            <w:tcW w:w="74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2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40" w:type="dxa"/>
            <w:vAlign w:val="bottom"/>
            <w:vMerge w:val="restart"/>
          </w:tcPr>
          <w:p>
            <w:pPr>
              <w:spacing w:after="0"/>
              <w:rPr>
                <w:sz w:val="10"/>
                <w:szCs w:val="10"/>
                <w:color w:val="auto"/>
              </w:rPr>
            </w:pPr>
          </w:p>
        </w:tc>
        <w:tc>
          <w:tcPr>
            <w:tcW w:w="182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40" w:type="dxa"/>
            <w:vAlign w:val="bottom"/>
            <w:vMerge w:val="restart"/>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Notes</w:t>
            </w:r>
          </w:p>
        </w:tc>
        <w:tc>
          <w:tcPr>
            <w:tcW w:w="40" w:type="dxa"/>
            <w:vAlign w:val="bottom"/>
            <w:vMerge w:val="restart"/>
          </w:tcPr>
          <w:p>
            <w:pPr>
              <w:spacing w:after="0"/>
              <w:rPr>
                <w:sz w:val="10"/>
                <w:szCs w:val="10"/>
                <w:color w:val="auto"/>
              </w:rPr>
            </w:pPr>
          </w:p>
        </w:tc>
        <w:tc>
          <w:tcPr>
            <w:tcW w:w="64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w w:val="96"/>
              </w:rPr>
              <w:t>Forward</w:t>
            </w:r>
          </w:p>
        </w:tc>
        <w:tc>
          <w:tcPr>
            <w:tcW w:w="600" w:type="dxa"/>
            <w:vAlign w:val="bottom"/>
            <w:gridSpan w:val="2"/>
            <w:vMerge w:val="continue"/>
          </w:tcPr>
          <w:p>
            <w:pPr>
              <w:spacing w:after="0"/>
              <w:rPr>
                <w:sz w:val="10"/>
                <w:szCs w:val="10"/>
                <w:color w:val="auto"/>
              </w:rPr>
            </w:pPr>
          </w:p>
        </w:tc>
        <w:tc>
          <w:tcPr>
            <w:tcW w:w="5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4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Aggregate Offering</w:t>
            </w:r>
          </w:p>
        </w:tc>
        <w:tc>
          <w:tcPr>
            <w:tcW w:w="40" w:type="dxa"/>
            <w:vAlign w:val="bottom"/>
          </w:tcPr>
          <w:p>
            <w:pPr>
              <w:spacing w:after="0"/>
              <w:rPr>
                <w:sz w:val="10"/>
                <w:szCs w:val="10"/>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40" w:type="dxa"/>
            <w:vAlign w:val="bottom"/>
          </w:tcPr>
          <w:p>
            <w:pPr>
              <w:spacing w:after="0"/>
              <w:rPr>
                <w:sz w:val="10"/>
                <w:szCs w:val="10"/>
                <w:color w:val="auto"/>
              </w:rPr>
            </w:pPr>
          </w:p>
        </w:tc>
        <w:tc>
          <w:tcPr>
            <w:tcW w:w="5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Form</w:t>
            </w:r>
          </w:p>
        </w:tc>
        <w:tc>
          <w:tcPr>
            <w:tcW w:w="50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File</w:t>
            </w:r>
          </w:p>
        </w:tc>
        <w:tc>
          <w:tcPr>
            <w:tcW w:w="74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46"/>
        </w:trPr>
        <w:tc>
          <w:tcPr>
            <w:tcW w:w="15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8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4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gridSpan w:val="8"/>
          </w:tcPr>
          <w:p>
            <w:pPr>
              <w:ind w:left="280"/>
              <w:spacing w:after="0"/>
              <w:rPr>
                <w:sz w:val="20"/>
                <w:szCs w:val="20"/>
                <w:color w:val="auto"/>
              </w:rPr>
            </w:pPr>
            <w:r>
              <w:rPr>
                <w:rFonts w:ascii="Times New Roman" w:cs="Times New Roman" w:eastAsia="Times New Roman" w:hAnsi="Times New Roman"/>
                <w:sz w:val="15"/>
                <w:szCs w:val="15"/>
                <w:i w:val="1"/>
                <w:iCs w:val="1"/>
                <w:color w:val="auto"/>
              </w:rPr>
              <w:t>Newly Registered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38"/>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$0.001 par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value per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 (1)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$0.001 par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value per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 (1)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Unallocated (Universal) Shelf</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12,234,681.00 0.0001381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1,670.00</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Previously Paid</w:t>
            </w: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gridSpan w:val="8"/>
          </w:tcPr>
          <w:p>
            <w:pPr>
              <w:ind w:left="340"/>
              <w:spacing w:after="0"/>
              <w:rPr>
                <w:sz w:val="20"/>
                <w:szCs w:val="20"/>
                <w:color w:val="auto"/>
              </w:rPr>
            </w:pPr>
            <w:r>
              <w:rPr>
                <w:rFonts w:ascii="Times New Roman" w:cs="Times New Roman" w:eastAsia="Times New Roman" w:hAnsi="Times New Roman"/>
                <w:sz w:val="15"/>
                <w:szCs w:val="15"/>
                <w:i w:val="1"/>
                <w:iCs w:val="1"/>
                <w:color w:val="auto"/>
              </w:rPr>
              <w:t>Carry Forward Securities</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Carry Forward Securities Unallocated (Universal) Shelf Unallocated</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w w:val="98"/>
              </w:rPr>
              <w:t>$487,765,319.00</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5"/>
              </w:rPr>
              <w:t>S-3</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12/30/2022 $53,752.00</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(Universal)</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269003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Shelf</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60" w:type="dxa"/>
            <w:vAlign w:val="bottom"/>
            <w:gridSpan w:val="8"/>
          </w:tcPr>
          <w:p>
            <w:pPr>
              <w:ind w:left="300"/>
              <w:spacing w:after="0"/>
              <w:rPr>
                <w:sz w:val="20"/>
                <w:szCs w:val="20"/>
                <w:color w:val="auto"/>
              </w:rPr>
            </w:pPr>
            <w:r>
              <w:rPr>
                <w:rFonts w:ascii="Times New Roman" w:cs="Times New Roman" w:eastAsia="Times New Roman" w:hAnsi="Times New Roman"/>
                <w:sz w:val="15"/>
                <w:szCs w:val="15"/>
                <w:color w:val="auto"/>
                <w:w w:val="99"/>
              </w:rPr>
              <w:t>Total Offering Amounts: $500,000,000.00</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55,422.00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53,752.00</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Total Fee Offsets:</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Net Fee Due:</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1,670.00</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68" w:lineRule="exact"/>
        <w:rPr>
          <w:sz w:val="20"/>
          <w:szCs w:val="20"/>
          <w:color w:val="auto"/>
        </w:rPr>
      </w:pPr>
    </w:p>
    <w:p>
      <w:pPr>
        <w:jc w:val="both"/>
        <w:ind w:left="280" w:right="80" w:hanging="239"/>
        <w:spacing w:after="0" w:line="268" w:lineRule="auto"/>
        <w:tabs>
          <w:tab w:leader="none" w:pos="2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146" w:lineRule="exact"/>
        <w:rPr>
          <w:rFonts w:ascii="Times New Roman" w:cs="Times New Roman" w:eastAsia="Times New Roman" w:hAnsi="Times New Roman"/>
          <w:sz w:val="15"/>
          <w:szCs w:val="15"/>
          <w:color w:val="auto"/>
        </w:rPr>
      </w:pPr>
    </w:p>
    <w:p>
      <w:pPr>
        <w:ind w:left="500" w:hanging="215"/>
        <w:spacing w:after="0"/>
        <w:tabs>
          <w:tab w:leader="none" w:pos="50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rights to acquire common stock or preferred stock of the Company under any shareholder rights plan then in effect, if applicable under the terms of any such plan.</w:t>
      </w:r>
    </w:p>
    <w:p>
      <w:pPr>
        <w:spacing w:after="0" w:line="189" w:lineRule="exact"/>
        <w:rPr>
          <w:rFonts w:ascii="Times New Roman" w:cs="Times New Roman" w:eastAsia="Times New Roman" w:hAnsi="Times New Roman"/>
          <w:sz w:val="15"/>
          <w:szCs w:val="15"/>
          <w:color w:val="auto"/>
        </w:rPr>
      </w:pPr>
    </w:p>
    <w:p>
      <w:pPr>
        <w:jc w:val="both"/>
        <w:ind w:left="280" w:right="80" w:firstLine="5"/>
        <w:spacing w:after="0" w:line="268" w:lineRule="auto"/>
        <w:tabs>
          <w:tab w:leader="none" w:pos="554"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$500,000,000.</w:t>
      </w:r>
    </w:p>
    <w:p>
      <w:pPr>
        <w:spacing w:after="0" w:line="146" w:lineRule="exact"/>
        <w:rPr>
          <w:rFonts w:ascii="Times New Roman" w:cs="Times New Roman" w:eastAsia="Times New Roman" w:hAnsi="Times New Roman"/>
          <w:sz w:val="15"/>
          <w:szCs w:val="15"/>
          <w:color w:val="auto"/>
        </w:rPr>
      </w:pPr>
    </w:p>
    <w:p>
      <w:pPr>
        <w:ind w:left="540" w:hanging="255"/>
        <w:spacing w:after="0"/>
        <w:tabs>
          <w:tab w:leader="none" w:pos="54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has been calculated pursuant to Rule 457(o) under the Securities Act of 1933, as amended.</w:t>
      </w:r>
    </w:p>
    <w:p>
      <w:pPr>
        <w:spacing w:after="0" w:line="99" w:lineRule="exact"/>
        <w:rPr>
          <w:rFonts w:ascii="Times New Roman" w:cs="Times New Roman" w:eastAsia="Times New Roman" w:hAnsi="Times New Roman"/>
          <w:sz w:val="15"/>
          <w:szCs w:val="15"/>
          <w:color w:val="auto"/>
        </w:rPr>
      </w:pPr>
    </w:p>
    <w:p>
      <w:pPr>
        <w:jc w:val="both"/>
        <w:ind w:left="280" w:right="80" w:hanging="239"/>
        <w:spacing w:after="0" w:line="255" w:lineRule="auto"/>
        <w:tabs>
          <w:tab w:leader="none" w:pos="2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Pursuant to Rule 415(a)(6), the securities being registered hereunder include $487,765,319 of unsold securities which remain unsold as of the date hereof (the “Unsold Securities”) previously registered by the registrant’s registration on Form S-3 (File No. 333-269003) which was initially filed with the Securities and Exchange Commission on December 23, 2022 and declared effective on December 30, 2022 (the “Prior Registration Statement”). The aggregate filing fee paid in connection with such Unsold Securities was $53,752 (based on the filing fee rate in effect at the time of the filing of the Prior Registration Statement) and will continue to be applied to the Unsold Securities that are being carried forward to this registration statement. No additional filing fee is due with respect to the Unsold Securities carried forward in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if any. Pursuant to Rule 415(a)(6), the offering of securities under the Prior Registration Statement will be deemed terminated as of the date of effectiveness of this registration statement.</w:t>
      </w:r>
    </w:p>
    <w:sectPr>
      <w:pgSz w:w="11900" w:h="16838" w:orient="portrait"/>
      <w:cols w:equalWidth="0" w:num="1">
        <w:col w:w="11340"/>
      </w:cols>
      <w:pgMar w:left="32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45"/>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15B5AF5C"/>
    <w:multiLevelType w:val="hybridMultilevel"/>
    <w:lvl w:ilvl="0">
      <w:lvlJc w:val="left"/>
      <w:lvlText w:val="(%1)"/>
      <w:numFmt w:val="lowerRoman"/>
      <w:start w:val="3"/>
    </w:lvl>
  </w:abstractNum>
  <w:abstractNum w:abstractNumId="30">
    <w:nsid w:val="741226BB"/>
    <w:multiLevelType w:val="hybridMultilevel"/>
    <w:lvl w:ilvl="0">
      <w:lvlJc w:val="left"/>
      <w:lvlText w:val="(%1)"/>
      <w:numFmt w:val="decimal"/>
      <w:start w:val="2"/>
    </w:lvl>
    <w:lvl w:ilvl="1">
      <w:lvlJc w:val="left"/>
      <w:lvlText w:val="(%2)"/>
      <w:numFmt w:val="lowerRoman"/>
      <w:start w:val="1"/>
    </w:lvl>
  </w:abstractNum>
  <w:abstractNum w:abstractNumId="31">
    <w:nsid w:val="D34B6A8"/>
    <w:multiLevelType w:val="hybridMultilevel"/>
    <w:lvl w:ilvl="0">
      <w:lvlJc w:val="left"/>
      <w:lvlText w:val="(%1)"/>
      <w:numFmt w:val="lowerRoman"/>
      <w:start w:val="2"/>
    </w:lvl>
  </w:abstractNum>
  <w:abstractNum w:abstractNumId="32">
    <w:nsid w:val="10233C99"/>
    <w:multiLevelType w:val="hybridMultilevel"/>
    <w:lvl w:ilvl="0">
      <w:lvlJc w:val="left"/>
      <w:lvlText w:val="(%1)"/>
      <w:numFmt w:val="lowerLetter"/>
      <w:start w:val="2"/>
    </w:lvl>
  </w:abstractNum>
  <w:abstractNum w:abstractNumId="33">
    <w:nsid w:val="3F6AB60F"/>
    <w:multiLevelType w:val="hybridMultilevel"/>
    <w:lvl w:ilvl="0">
      <w:lvlJc w:val="left"/>
      <w:lvlText w:val="(%1)"/>
      <w:numFmt w:val="lowerLetter"/>
      <w:start w:val="8"/>
    </w:lvl>
  </w:abstractNum>
  <w:abstractNum w:abstractNumId="34">
    <w:nsid w:val="61574095"/>
    <w:multiLevelType w:val="hybridMultilevel"/>
    <w:lvl w:ilvl="0">
      <w:lvlJc w:val="left"/>
      <w:lvlText w:val="(%1)"/>
      <w:numFmt w:val="lowerLetter"/>
      <w:start w:val="10"/>
    </w:lvl>
  </w:abstractNum>
  <w:abstractNum w:abstractNumId="35">
    <w:nsid w:val="7E0C57B1"/>
    <w:multiLevelType w:val="hybridMultilevel"/>
    <w:lvl w:ilvl="0">
      <w:lvlJc w:val="left"/>
      <w:lvlText w:val="%1"/>
      <w:numFmt w:val="decimal"/>
      <w:start w:val="107"/>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3"/>
    </w:lvl>
  </w:abstractNum>
  <w:abstractNum w:abstractNumId="39">
    <w:nsid w:val="5FF87E05"/>
    <w:multiLevelType w:val="hybridMultilevel"/>
    <w:lvl w:ilvl="0">
      <w:lvlJc w:val="left"/>
      <w:lvlText w:val="(%1)"/>
      <w:numFmt w:val="decimal"/>
      <w:start w:val="16"/>
    </w:lvl>
  </w:abstractNum>
  <w:abstractNum w:abstractNumId="40">
    <w:nsid w:val="2F305DEF"/>
    <w:multiLevelType w:val="hybridMultilevel"/>
    <w:lvl w:ilvl="0">
      <w:lvlJc w:val="left"/>
      <w:lvlText w:val="(%1)"/>
      <w:numFmt w:val="decimal"/>
      <w:start w:val="22"/>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3"/>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2"/>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2"/>
    </w:lvl>
    <w:lvl w:ilvl="1">
      <w:lvlJc w:val="left"/>
      <w:lvlText w:val="(%2)"/>
      <w:numFmt w:val="decimal"/>
      <w:start w:val="1"/>
    </w:lvl>
  </w:abstractNum>
  <w:abstractNum w:abstractNumId="50">
    <w:nsid w:val="5F5E7FD0"/>
    <w:multiLevelType w:val="hybridMultilevel"/>
    <w:lvl w:ilvl="0">
      <w:lvlJc w:val="left"/>
      <w:lvlText w:val="%1"/>
      <w:numFmt w:val="decimal"/>
      <w:start w:val="1"/>
    </w:lvl>
    <w:lvl w:ilvl="1">
      <w:lvlJc w:val="left"/>
      <w:lvlText w:val="(%2)"/>
      <w:numFmt w:val="lowerLetter"/>
      <w:start w:val="1"/>
    </w:lvl>
  </w:abstractNum>
  <w:abstractNum w:abstractNumId="51">
    <w:nsid w:val="98A3148"/>
    <w:multiLevelType w:val="hybridMultilevel"/>
    <w:lvl w:ilvl="0">
      <w:lvlJc w:val="left"/>
      <w:lvlText w:val="(%1)"/>
      <w:numFmt w:val="decimal"/>
      <w:start w:val="10"/>
    </w:lvl>
    <w:lvl w:ilvl="1">
      <w:lvlJc w:val="left"/>
      <w:lvlText w:val="(%2)"/>
      <w:numFmt w:val="lowerLetter"/>
      <w:start w:val="2"/>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1"/>
    </w:lvl>
    <w:lvl w:ilvl="1">
      <w:lvlJc w:val="left"/>
      <w:lvlText w:val="(%2)"/>
      <w:numFmt w:val="decimal"/>
      <w:start w:val="1"/>
    </w:lvl>
  </w:abstractNum>
  <w:abstractNum w:abstractNumId="55">
    <w:nsid w:val="168E121F"/>
    <w:multiLevelType w:val="hybridMultilevel"/>
    <w:lvl w:ilvl="0">
      <w:lvlJc w:val="left"/>
      <w:lvlText w:val="%1"/>
      <w:numFmt w:val="lowerLetter"/>
      <w:start w:val="1"/>
    </w:lvl>
    <w:lvl w:ilvl="1">
      <w:lvlJc w:val="left"/>
      <w:lvlText w:val="(%2)"/>
      <w:numFmt w:val="decimal"/>
      <w:start w:val="3"/>
    </w:lvl>
  </w:abstractNum>
  <w:abstractNum w:abstractNumId="56">
    <w:nsid w:val="1EBA5D23"/>
    <w:multiLevelType w:val="hybridMultilevel"/>
    <w:lvl w:ilvl="0">
      <w:lvlJc w:val="left"/>
      <w:lvlText w:val="(%1)"/>
      <w:numFmt w:val="lowerLetter"/>
      <w:start w:val="2"/>
    </w:lvl>
    <w:lvl w:ilvl="1">
      <w:lvlJc w:val="left"/>
      <w:lvlText w:val="%2"/>
      <w:numFmt w:val="decimal"/>
      <w:start w:val="1"/>
    </w:lvl>
  </w:abstractNum>
  <w:abstractNum w:abstractNumId="57">
    <w:nsid w:val="661E3F1E"/>
    <w:multiLevelType w:val="hybridMultilevel"/>
    <w:lvl w:ilvl="0">
      <w:lvlJc w:val="left"/>
      <w:lvlText w:val="(%1)"/>
      <w:numFmt w:val="lowerLetter"/>
      <w:start w:val="4"/>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1"/>
    </w:lvl>
    <w:lvl w:ilvl="1">
      <w:lvlJc w:val="left"/>
      <w:lvlText w:val="(%2)"/>
      <w:numFmt w:val="lowerRoman"/>
      <w:start w:val="1"/>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10"/>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lvl w:ilvl="1">
      <w:lvlJc w:val="left"/>
      <w:lvlText w:val="(%2)"/>
      <w:numFmt w:val="lowerRoman"/>
      <w:start w:val="1"/>
    </w:lvl>
  </w:abstractNum>
  <w:abstractNum w:abstractNumId="66">
    <w:nsid w:val="A0382C5"/>
    <w:multiLevelType w:val="hybridMultilevel"/>
    <w:lvl w:ilvl="0">
      <w:lvlJc w:val="left"/>
      <w:lvlText w:val="(%1)"/>
      <w:numFmt w:val="lowerLetter"/>
      <w:start w:val="3"/>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9"/>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1"/>
    </w:lvl>
    <w:lvl w:ilvl="1">
      <w:lvlJc w:val="left"/>
      <w:lvlText w:val="(%2)"/>
      <w:numFmt w:val="lowerRoman"/>
      <w:start w:val="1"/>
    </w:lvl>
  </w:abstractNum>
  <w:abstractNum w:abstractNumId="75">
    <w:nsid w:val="7FFFCA11"/>
    <w:multiLevelType w:val="hybridMultilevel"/>
    <w:lvl w:ilvl="0">
      <w:lvlJc w:val="left"/>
      <w:lvlText w:val="(%1)"/>
      <w:numFmt w:val="upp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lvl w:ilvl="1">
      <w:lvlJc w:val="left"/>
      <w:lvlText w:val="(%2)"/>
      <w:numFmt w:val="upperLetter"/>
      <w:start w:val="1"/>
    </w:lvl>
  </w:abstractNum>
  <w:abstractNum w:abstractNumId="79">
    <w:nsid w:val="7FB7E0AA"/>
    <w:multiLevelType w:val="hybridMultilevel"/>
    <w:lvl w:ilvl="0">
      <w:lvlJc w:val="left"/>
      <w:lvlText w:val="(%1)"/>
      <w:numFmt w:val="decimal"/>
      <w:start w:val="3"/>
    </w:lvl>
  </w:abstractNum>
  <w:abstractNum w:abstractNumId="80">
    <w:nsid w:val="6EB5BD4"/>
    <w:multiLevelType w:val="hybridMultilevel"/>
    <w:lvl w:ilvl="0">
      <w:lvlJc w:val="left"/>
      <w:lvlText w:val="(%1)"/>
      <w:numFmt w:val="decimal"/>
      <w:start w:val="5"/>
    </w:lvl>
  </w:abstractNum>
  <w:abstractNum w:abstractNumId="81">
    <w:nsid w:val="6F6DD9AC"/>
    <w:multiLevelType w:val="hybridMultilevel"/>
    <w:lvl w:ilvl="0">
      <w:lvlJc w:val="left"/>
      <w:lvlText w:val="%1"/>
      <w:numFmt w:val="lowerLetter"/>
      <w:start w:val="1"/>
    </w:lvl>
    <w:lvl w:ilvl="1">
      <w:lvlJc w:val="left"/>
      <w:lvlText w:val="(%2)"/>
      <w:numFmt w:val="lowerLetter"/>
      <w:start w:val="1"/>
    </w:lvl>
  </w:abstractNum>
  <w:abstractNum w:abstractNumId="82">
    <w:nsid w:val="94211F2"/>
    <w:multiLevelType w:val="hybridMultilevel"/>
    <w:lvl w:ilvl="0">
      <w:lvlJc w:val="left"/>
      <w:lvlText w:val="(%1)"/>
      <w:numFmt w:val="lowerLetter"/>
      <w:start w:val="9"/>
    </w:lvl>
    <w:lvl w:ilvl="1">
      <w:lvlJc w:val="left"/>
      <w:lvlText w:val="%2"/>
      <w:numFmt w:val="lowerLetter"/>
      <w:start w:val="1"/>
    </w:lvl>
  </w:abstractNum>
  <w:abstractNum w:abstractNumId="83">
    <w:nsid w:val="885E1B"/>
    <w:multiLevelType w:val="hybridMultilevel"/>
    <w:lvl w:ilvl="0">
      <w:lvlJc w:val="left"/>
      <w:lvlText w:val="(%1)"/>
      <w:numFmt w:val="lowerRoman"/>
      <w:start w:val="1"/>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2"/>
    </w:lvl>
  </w:abstractNum>
  <w:abstractNum w:abstractNumId="87">
    <w:nsid w:val="14E17E33"/>
    <w:multiLevelType w:val="hybridMultilevel"/>
    <w:lvl w:ilvl="0">
      <w:lvlJc w:val="left"/>
      <w:lvlText w:val="(%1)"/>
      <w:numFmt w:val="decimal"/>
      <w:start w:val="6"/>
    </w:lvl>
  </w:abstractNum>
  <w:abstractNum w:abstractNumId="88">
    <w:nsid w:val="3222E7CD"/>
    <w:multiLevelType w:val="hybridMultilevel"/>
    <w:lvl w:ilvl="0">
      <w:lvlJc w:val="left"/>
      <w:lvlText w:val="(%1)"/>
      <w:numFmt w:val="decimal"/>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jpe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jpe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jpeg"/><Relationship Id="rId140" Type="http://schemas.openxmlformats.org/officeDocument/2006/relationships/image" Target="media/image119.png"/><Relationship Id="rId141" Type="http://schemas.openxmlformats.org/officeDocument/2006/relationships/image" Target="media/image120.jpeg"/><Relationship Id="rId142" Type="http://schemas.openxmlformats.org/officeDocument/2006/relationships/image" Target="media/image121.png"/><Relationship Id="rId143" Type="http://schemas.openxmlformats.org/officeDocument/2006/relationships/image" Target="media/image122.jpeg"/><Relationship Id="rId144" Type="http://schemas.openxmlformats.org/officeDocument/2006/relationships/image" Target="media/image123.png"/><Relationship Id="rId145" Type="http://schemas.openxmlformats.org/officeDocument/2006/relationships/image" Target="media/image124.jpe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40" Type="http://schemas.openxmlformats.org/officeDocument/2006/relationships/hyperlink" Target="https://www.sec.gov/Archives/edgar/data/1768224/000095017025034787/arct-20241231.htm" TargetMode="External"/><Relationship Id="rId41" Type="http://schemas.openxmlformats.org/officeDocument/2006/relationships/hyperlink" Target="https://www.sec.gov/Archives/edgar/data/1768224/000095017025069210/arct-20250331.htm" TargetMode="External"/><Relationship Id="rId42" Type="http://schemas.openxmlformats.org/officeDocument/2006/relationships/hyperlink" Target="https://www.sec.gov/Archives/edgar/data/1768224/000095017025106560/arct-20250630.htm" TargetMode="External"/><Relationship Id="rId43" Type="http://schemas.openxmlformats.org/officeDocument/2006/relationships/hyperlink" Target="https://www.sec.gov/Archives/edgar/data/1768224/000119312525275758/arct-20250930.htm" TargetMode="External"/><Relationship Id="rId44" Type="http://schemas.openxmlformats.org/officeDocument/2006/relationships/hyperlink" Target="https://www.sec.gov/Archives/edgar/data/1768224/000119380525000561/e664405_def14a-arct.htm" TargetMode="External"/><Relationship Id="rId45" Type="http://schemas.openxmlformats.org/officeDocument/2006/relationships/hyperlink" Target="https://www.sec.gov/Archives/edgar/data/1768224/000119380525000820/e664613_8k-arct.htm" TargetMode="External"/><Relationship Id="rId46" Type="http://schemas.openxmlformats.org/officeDocument/2006/relationships/hyperlink" Target="https://www.sec.gov/Archives/edgar/data/1768224/000119380525001499/e664913_8k-arct.htm" TargetMode="External"/><Relationship Id="rId47" Type="http://schemas.openxmlformats.org/officeDocument/2006/relationships/hyperlink" Target="https://www.sec.gov/ix?doc=/Archives/edgar/data/1768224/000119380525001734/e665044_8k-arct.htm" TargetMode="External"/><Relationship Id="rId48" Type="http://schemas.openxmlformats.org/officeDocument/2006/relationships/hyperlink" Target="https://www.sec.gov/Archives/edgar/data/1768224/000119312519173808/d826633d8k12b.htm" TargetMode="External"/><Relationship Id="rId73" Type="http://schemas.openxmlformats.org/officeDocument/2006/relationships/hyperlink" Target="https://www.sec.gov/Archives/edgar/data/1768224/000119380522001786/e618047_ex1-2.htm" TargetMode="External"/><Relationship Id="rId74" Type="http://schemas.openxmlformats.org/officeDocument/2006/relationships/hyperlink" Target="https://www.sec.gov/Archives/edgar/data/1768224/000119380523001112/e618839_ex1-1.htm" TargetMode="External"/><Relationship Id="rId75" Type="http://schemas.openxmlformats.org/officeDocument/2006/relationships/hyperlink" Target="https://www.sec.gov/Archives/edgar/data/1566049/000119312519077140/d721306ds4.htm#annexb" TargetMode="External"/><Relationship Id="rId76" Type="http://schemas.openxmlformats.org/officeDocument/2006/relationships/hyperlink" Target="https://www.sec.gov/Archives/edgar/data/1768224/000119380520001470/e620104_ex3-1.htm" TargetMode="External"/><Relationship Id="rId77" Type="http://schemas.openxmlformats.org/officeDocument/2006/relationships/hyperlink" Target="https://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2025-12-30T15:34:14Z</dcterms:created>
  <dcterms:modified xsi:type="dcterms:W3CDTF">2025-12-30T15:34:14Z</dcterms:modified>
</cp:coreProperties>
</file>