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May 2014 (Report Number 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May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spacing w:after="0" w:line="264" w:lineRule="auto"/>
        <w:rPr>
          <w:sz w:val="20"/>
          <w:szCs w:val="20"/>
          <w:color w:val="auto"/>
        </w:rPr>
      </w:pPr>
      <w:r>
        <w:rPr>
          <w:rFonts w:ascii="Arial" w:cs="Arial" w:eastAsia="Arial" w:hAnsi="Arial"/>
          <w:sz w:val="18"/>
          <w:szCs w:val="18"/>
          <w:i w:val="1"/>
          <w:iCs w:val="1"/>
          <w:color w:val="auto"/>
        </w:rPr>
        <w:t>The GAAP financial statements in this Form 6-K of ALCOBRA LTD. are incorporated by reference into the Registration Statement on Form S-8 (registration number 333-194875) of the Company, filed with the Securities and Exchange Commission, to be a part thereof from the date on which this report is submitted, to the extent not superseded by documents or reports subsequently filed or furnished.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240"/>
        <w:spacing w:after="0"/>
        <w:tabs>
          <w:tab w:leader="none" w:pos="468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-130810</wp:posOffset>
            </wp:positionV>
            <wp:extent cx="4271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586105</wp:posOffset>
            </wp:positionV>
            <wp:extent cx="120078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4020" w:type="dxa"/>
            <w:vAlign w:val="bottom"/>
          </w:tcPr>
          <w:p>
            <w:pPr>
              <w:ind w:left="1300"/>
              <w:spacing w:after="0"/>
              <w:rPr>
                <w:sz w:val="20"/>
                <w:szCs w:val="20"/>
                <w:color w:val="auto"/>
              </w:rPr>
            </w:pPr>
            <w:r>
              <w:rPr>
                <w:rFonts w:ascii="Arial" w:cs="Arial" w:eastAsia="Arial" w:hAnsi="Arial"/>
                <w:sz w:val="18"/>
                <w:szCs w:val="18"/>
                <w:b w:val="1"/>
                <w:bCs w:val="1"/>
                <w:color w:val="auto"/>
              </w:rPr>
              <w:t>Media Inquiries</w:t>
            </w:r>
          </w:p>
        </w:tc>
        <w:tc>
          <w:tcPr>
            <w:tcW w:w="2840" w:type="dxa"/>
            <w:vAlign w:val="bottom"/>
          </w:tcPr>
          <w:p>
            <w:pPr>
              <w:ind w:left="70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LifeSci Advisors, LLC</w:t>
            </w:r>
          </w:p>
        </w:tc>
        <w:tc>
          <w:tcPr>
            <w:tcW w:w="4020" w:type="dxa"/>
            <w:vAlign w:val="bottom"/>
          </w:tcPr>
          <w:p>
            <w:pPr>
              <w:ind w:left="1300"/>
              <w:spacing w:after="0"/>
              <w:rPr>
                <w:sz w:val="20"/>
                <w:szCs w:val="20"/>
                <w:color w:val="auto"/>
              </w:rPr>
            </w:pPr>
            <w:r>
              <w:rPr>
                <w:rFonts w:ascii="Arial" w:cs="Arial" w:eastAsia="Arial" w:hAnsi="Arial"/>
                <w:sz w:val="18"/>
                <w:szCs w:val="18"/>
                <w:color w:val="auto"/>
              </w:rPr>
              <w:t>Sam Brown, Inc.</w:t>
            </w:r>
          </w:p>
        </w:tc>
        <w:tc>
          <w:tcPr>
            <w:tcW w:w="2840" w:type="dxa"/>
            <w:vAlign w:val="bottom"/>
          </w:tcPr>
          <w:p>
            <w:pPr>
              <w:ind w:left="700"/>
              <w:spacing w:after="0"/>
              <w:rPr>
                <w:sz w:val="20"/>
                <w:szCs w:val="20"/>
                <w:color w:val="auto"/>
              </w:rPr>
            </w:pPr>
            <w:r>
              <w:rPr>
                <w:rFonts w:ascii="Arial" w:cs="Arial" w:eastAsia="Arial" w:hAnsi="Arial"/>
                <w:sz w:val="18"/>
                <w:szCs w:val="18"/>
                <w:color w:val="auto"/>
              </w:rPr>
              <w:t>Alcobra Investor Relations</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Michael Rice</w:t>
            </w:r>
          </w:p>
        </w:tc>
        <w:tc>
          <w:tcPr>
            <w:tcW w:w="4020" w:type="dxa"/>
            <w:vAlign w:val="bottom"/>
          </w:tcPr>
          <w:p>
            <w:pPr>
              <w:ind w:left="1300"/>
              <w:spacing w:after="0"/>
              <w:rPr>
                <w:sz w:val="20"/>
                <w:szCs w:val="20"/>
                <w:color w:val="auto"/>
              </w:rPr>
            </w:pPr>
            <w:r>
              <w:rPr>
                <w:rFonts w:ascii="Arial" w:cs="Arial" w:eastAsia="Arial" w:hAnsi="Arial"/>
                <w:sz w:val="18"/>
                <w:szCs w:val="18"/>
                <w:color w:val="auto"/>
              </w:rPr>
              <w:t>Mike Beyer</w:t>
            </w:r>
          </w:p>
        </w:tc>
        <w:tc>
          <w:tcPr>
            <w:tcW w:w="2840" w:type="dxa"/>
            <w:vAlign w:val="bottom"/>
          </w:tcPr>
          <w:p>
            <w:pPr>
              <w:ind w:left="700"/>
              <w:spacing w:after="0"/>
              <w:rPr>
                <w:sz w:val="20"/>
                <w:szCs w:val="20"/>
                <w:color w:val="auto"/>
              </w:rPr>
            </w:pPr>
            <w:r>
              <w:rPr>
                <w:rFonts w:ascii="Arial" w:cs="Arial" w:eastAsia="Arial" w:hAnsi="Arial"/>
                <w:sz w:val="18"/>
                <w:szCs w:val="18"/>
                <w:color w:val="auto"/>
              </w:rPr>
              <w:t>Debbie Kaye</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646-597-6979</w:t>
            </w:r>
          </w:p>
        </w:tc>
        <w:tc>
          <w:tcPr>
            <w:tcW w:w="4020" w:type="dxa"/>
            <w:vAlign w:val="bottom"/>
          </w:tcPr>
          <w:p>
            <w:pPr>
              <w:ind w:left="1300"/>
              <w:spacing w:after="0"/>
              <w:rPr>
                <w:sz w:val="20"/>
                <w:szCs w:val="20"/>
                <w:color w:val="auto"/>
              </w:rPr>
            </w:pPr>
            <w:r>
              <w:rPr>
                <w:rFonts w:ascii="Arial" w:cs="Arial" w:eastAsia="Arial" w:hAnsi="Arial"/>
                <w:sz w:val="18"/>
                <w:szCs w:val="18"/>
                <w:color w:val="auto"/>
              </w:rPr>
              <w:t>773-463-4211</w:t>
            </w:r>
          </w:p>
        </w:tc>
        <w:tc>
          <w:tcPr>
            <w:tcW w:w="2840" w:type="dxa"/>
            <w:vAlign w:val="bottom"/>
          </w:tcPr>
          <w:p>
            <w:pPr>
              <w:ind w:left="700"/>
              <w:spacing w:after="0"/>
              <w:rPr>
                <w:sz w:val="20"/>
                <w:szCs w:val="20"/>
                <w:color w:val="auto"/>
              </w:rPr>
            </w:pPr>
            <w:r>
              <w:rPr>
                <w:rFonts w:ascii="Arial" w:cs="Arial" w:eastAsia="Arial" w:hAnsi="Arial"/>
                <w:sz w:val="18"/>
                <w:szCs w:val="18"/>
                <w:color w:val="auto"/>
              </w:rPr>
              <w:t>+972-72 2204661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4020" w:type="dxa"/>
            <w:vAlign w:val="bottom"/>
          </w:tcPr>
          <w:p>
            <w:pPr>
              <w:ind w:left="1300"/>
              <w:spacing w:after="0"/>
              <w:rPr>
                <w:sz w:val="20"/>
                <w:szCs w:val="20"/>
                <w:color w:val="auto"/>
              </w:rPr>
            </w:pPr>
            <w:r>
              <w:rPr>
                <w:rFonts w:ascii="Arial" w:cs="Arial" w:eastAsia="Arial" w:hAnsi="Arial"/>
                <w:sz w:val="18"/>
                <w:szCs w:val="18"/>
                <w:color w:val="auto"/>
              </w:rPr>
              <w:t>mikebeyer@sambrown.com</w:t>
            </w:r>
          </w:p>
        </w:tc>
        <w:tc>
          <w:tcPr>
            <w:tcW w:w="2840" w:type="dxa"/>
            <w:vAlign w:val="bottom"/>
          </w:tcPr>
          <w:p>
            <w:pPr>
              <w:ind w:left="700"/>
              <w:spacing w:after="0"/>
              <w:rPr>
                <w:sz w:val="20"/>
                <w:szCs w:val="20"/>
                <w:color w:val="auto"/>
              </w:rPr>
            </w:pPr>
            <w:r>
              <w:rPr>
                <w:rFonts w:ascii="Arial" w:cs="Arial" w:eastAsia="Arial" w:hAnsi="Arial"/>
                <w:sz w:val="18"/>
                <w:szCs w:val="18"/>
                <w:color w:val="auto"/>
                <w:w w:val="89"/>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FIRST QUARTER FINANCIAL RESULTS AND CORPORATE UPDATE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Tel Aviv, Israel – May 15, 2014 </w:t>
      </w:r>
      <w:r>
        <w:rPr>
          <w:rFonts w:ascii="Arial" w:cs="Arial" w:eastAsia="Arial" w:hAnsi="Arial"/>
          <w:sz w:val="18"/>
          <w:szCs w:val="18"/>
          <w:color w:val="auto"/>
        </w:rPr>
        <w:t>– Alcobra Ltd. (NasdaqGM: ADHD), an emerging biopharmaceutical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its financial results for the first quarter ended March 31,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Ended March 31, 2014 Financial Results:</w:t>
      </w:r>
    </w:p>
    <w:p>
      <w:pPr>
        <w:spacing w:after="0" w:line="2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operating expenses were $7.8 million, compared to $5.6 million last quarter and $0.3 million in the same quarter of 2013.</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Research and development (“R&amp;D”) expenses were $5.5 million for the first quarter of 2014, compared to $4.6 million in the previous quarter and $0.1 million for the first quarter of 2013. R&amp;D expenses consist primarily of costs associated with the preclinical and clinical development of product candidates.</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Pre-commercialization expenses were $0.5 million, which consists primarily of costs associated with market research and analysis as well as business development.</w:t>
      </w:r>
    </w:p>
    <w:p>
      <w:pPr>
        <w:ind w:left="340" w:right="4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loss attributable to common shareholders per basic and diluted share was $0.57, compared to $0.45 last quarter and $0.05 in the same quarter of 2013.</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cash equivalents and short-term deposits were $44.4 million at 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Highlights: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Received FDA clearance for a Phase 3 clinical trial of Metadoxine Extended Release (MDX) in adult ADHD and enrolled the first patient in the trial.</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FDA clearance for a Phase IIb clinical trial of MDX in the treatment of adolescents and adults with Fragile X Syndrome.</w:t>
      </w:r>
    </w:p>
    <w:p>
      <w:pPr>
        <w:spacing w:after="0" w:line="9" w:lineRule="exact"/>
        <w:rPr>
          <w:rFonts w:ascii="Arial" w:cs="Arial" w:eastAsia="Arial" w:hAnsi="Arial"/>
          <w:sz w:val="18"/>
          <w:szCs w:val="18"/>
          <w:color w:val="auto"/>
        </w:rPr>
      </w:pPr>
    </w:p>
    <w:p>
      <w:pPr>
        <w:ind w:left="340" w:right="6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positive results from Phase IIb study of MDX in adults with predominantly inattentive ADHD (PI-ADHD) at the American Psychiatric Association (APA) annual meeting.</w:t>
      </w:r>
    </w:p>
    <w:p>
      <w:pPr>
        <w:ind w:left="340" w:right="2700"/>
        <w:spacing w:after="0" w:line="281" w:lineRule="auto"/>
        <w:rPr>
          <w:rFonts w:ascii="Arial" w:cs="Arial" w:eastAsia="Arial" w:hAnsi="Arial"/>
          <w:sz w:val="18"/>
          <w:szCs w:val="18"/>
          <w:color w:val="auto"/>
        </w:rPr>
      </w:pPr>
      <w:r>
        <w:rPr>
          <w:rFonts w:ascii="Arial" w:cs="Arial" w:eastAsia="Arial" w:hAnsi="Arial"/>
          <w:sz w:val="16"/>
          <w:szCs w:val="16"/>
          <w:color w:val="auto"/>
        </w:rPr>
        <w:t>o MDX produced a statistically significant improvement (p &lt; 0.01) on the primary endpoint compared to placebo. o MDX was superior to placebo after a single dose while demonstrating a safety profile comparable to placebo.</w:t>
      </w:r>
    </w:p>
    <w:p>
      <w:pPr>
        <w:spacing w:after="0" w:line="1" w:lineRule="exact"/>
        <w:rPr>
          <w:rFonts w:ascii="Arial" w:cs="Arial" w:eastAsia="Arial" w:hAnsi="Arial"/>
          <w:sz w:val="18"/>
          <w:szCs w:val="18"/>
          <w:color w:val="auto"/>
        </w:rPr>
      </w:pPr>
    </w:p>
    <w:p>
      <w:pPr>
        <w:ind w:left="340" w:right="56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Presented evidence of novel mechanism of action for MDX in cognitive disorders at the Society of Biological Psychiatry (SOBP) annual meeting. o Improvements in cognitive performance in animal models are consistent with MDX effects in human adults with ADHD.</w:t>
      </w:r>
    </w:p>
    <w:p>
      <w:pPr>
        <w:ind w:left="660" w:right="540" w:hanging="324"/>
        <w:spacing w:after="0" w:line="250" w:lineRule="auto"/>
        <w:rPr>
          <w:rFonts w:ascii="Arial" w:cs="Arial" w:eastAsia="Arial" w:hAnsi="Arial"/>
          <w:sz w:val="17"/>
          <w:szCs w:val="17"/>
          <w:color w:val="auto"/>
        </w:rPr>
      </w:pPr>
      <w:r>
        <w:rPr>
          <w:rFonts w:ascii="Arial" w:cs="Arial" w:eastAsia="Arial" w:hAnsi="Arial"/>
          <w:sz w:val="18"/>
          <w:szCs w:val="18"/>
          <w:color w:val="auto"/>
        </w:rPr>
        <w:t>o Metadoxine has effects on neurotransmitters associated with attention, learning and memory, yet appears to work in a manner distinct from all currently approved ADHD medications.</w:t>
      </w:r>
    </w:p>
    <w:p>
      <w:pPr>
        <w:ind w:left="340"/>
        <w:spacing w:after="0"/>
        <w:rPr>
          <w:rFonts w:ascii="Arial" w:cs="Arial" w:eastAsia="Arial" w:hAnsi="Arial"/>
          <w:sz w:val="17"/>
          <w:szCs w:val="17"/>
          <w:color w:val="auto"/>
        </w:rPr>
      </w:pPr>
      <w:r>
        <w:rPr>
          <w:rFonts w:ascii="Arial" w:cs="Arial" w:eastAsia="Arial" w:hAnsi="Arial"/>
          <w:sz w:val="18"/>
          <w:szCs w:val="18"/>
          <w:color w:val="auto"/>
        </w:rPr>
        <w:t>o   Pharmacological activity of MDX clearly differs from the activity of either of its components administered alone or in combination.</w:t>
      </w:r>
    </w:p>
    <w:p>
      <w:pPr>
        <w:spacing w:after="0" w:line="9"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new findings on biomarkers in Fragile X and autism trials at the Autism Investment Conference (AIC) annual meeting.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Strengthened management with key appointments to senior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1" w:lineRule="exact"/>
        <w:rPr>
          <w:sz w:val="20"/>
          <w:szCs w:val="20"/>
          <w:color w:val="auto"/>
        </w:rPr>
      </w:pPr>
    </w:p>
    <w:p>
      <w:pPr>
        <w:ind w:left="660" w:right="680" w:hanging="328"/>
        <w:spacing w:after="0" w:line="258"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Howard B. Rosen, formerly Vice President of Commercial Strategy at Gilead Sciences Inc., and President of ALZA Corporation, elected as Chairperson of Board of Directors.</w:t>
      </w:r>
    </w:p>
    <w:p>
      <w:pPr>
        <w:spacing w:after="0" w:line="1" w:lineRule="exact"/>
        <w:rPr>
          <w:rFonts w:ascii="Arial" w:cs="Arial" w:eastAsia="Arial" w:hAnsi="Arial"/>
          <w:sz w:val="18"/>
          <w:szCs w:val="18"/>
          <w:color w:val="auto"/>
        </w:rPr>
      </w:pPr>
    </w:p>
    <w:p>
      <w:pPr>
        <w:ind w:left="660" w:right="78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David Baker, former Vice President of Commercial Strategy and New Business in Shire’s Neuroscience Business Unit, appointed as Chief Commercial Officer.</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Dr. Tomer Berkovitz, former Executive Director in J.P. Morgan’s investment banking division, appointed as Chief Financial Officer.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issuance of US patent covering MDX use for cognitive disorders.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Alcobra shares uplisted to the Nasdaq Global Market from the Nasdaq Capital Market.</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and recent weeks, we achieved a number of important milestones related to our development of MDX for various cognitive disorders including ADHD and Fragile X Syndrome,” said Dr. Yaron Daniely, President and CEO of Alcobra. “We have also strengthened our leadership team with the appointments of Howie Rosen as Chairman of the Board, David Baker as Chief Commercial Officer and Dr. Tomer Berkovitz as Chief Financial Officer. As we have indicated, expenses have increased due to our aggressive efforts on executing and achieving our clinical development milestones. We are on track to report multiple data readouts in the second half of 2014 including clinical data from our Phase III adult ADHD study, our Phase II pediatric ADHD study, and our Phase II study in adolescents and adults with Fragile X Syndrome.”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Thursday, May 15, 2014 @ 8:30am Eastern Time/5:30am Pacific Time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color w:val="auto"/>
              </w:rPr>
              <w:t>Domestic:</w:t>
            </w:r>
          </w:p>
        </w:tc>
        <w:tc>
          <w:tcPr>
            <w:tcW w:w="3700" w:type="dxa"/>
            <w:vAlign w:val="bottom"/>
          </w:tcPr>
          <w:p>
            <w:pPr>
              <w:ind w:left="1800"/>
              <w:spacing w:after="0"/>
              <w:rPr>
                <w:sz w:val="20"/>
                <w:szCs w:val="20"/>
                <w:color w:val="auto"/>
              </w:rPr>
            </w:pPr>
            <w:r>
              <w:rPr>
                <w:rFonts w:ascii="Arial" w:cs="Arial" w:eastAsia="Arial" w:hAnsi="Arial"/>
                <w:sz w:val="18"/>
                <w:szCs w:val="18"/>
                <w:color w:val="auto"/>
              </w:rPr>
              <w:t>855-469-0611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3700" w:type="dxa"/>
            <w:vAlign w:val="bottom"/>
          </w:tcPr>
          <w:p>
            <w:pPr>
              <w:ind w:left="1800"/>
              <w:spacing w:after="0"/>
              <w:rPr>
                <w:sz w:val="20"/>
                <w:szCs w:val="20"/>
                <w:color w:val="auto"/>
              </w:rPr>
            </w:pPr>
            <w:r>
              <w:rPr>
                <w:rFonts w:ascii="Arial" w:cs="Arial" w:eastAsia="Arial" w:hAnsi="Arial"/>
                <w:sz w:val="18"/>
                <w:szCs w:val="18"/>
                <w:color w:val="auto"/>
              </w:rPr>
              <w:t>484-756-4341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Passcode:</w:t>
            </w:r>
          </w:p>
        </w:tc>
        <w:tc>
          <w:tcPr>
            <w:tcW w:w="3700" w:type="dxa"/>
            <w:vAlign w:val="bottom"/>
          </w:tcPr>
          <w:p>
            <w:pPr>
              <w:ind w:left="1800"/>
              <w:spacing w:after="0"/>
              <w:rPr>
                <w:sz w:val="20"/>
                <w:szCs w:val="20"/>
                <w:color w:val="auto"/>
              </w:rPr>
            </w:pPr>
            <w:r>
              <w:rPr>
                <w:rFonts w:ascii="Arial" w:cs="Arial" w:eastAsia="Arial" w:hAnsi="Arial"/>
                <w:sz w:val="18"/>
                <w:szCs w:val="18"/>
                <w:color w:val="auto"/>
              </w:rPr>
              <w:t>43962198</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Webcast:</w:t>
            </w:r>
          </w:p>
        </w:tc>
        <w:tc>
          <w:tcPr>
            <w:tcW w:w="3700" w:type="dxa"/>
            <w:vAlign w:val="bottom"/>
          </w:tcPr>
          <w:p>
            <w:pPr>
              <w:ind w:left="1800"/>
              <w:spacing w:after="0"/>
              <w:rPr>
                <w:sz w:val="20"/>
                <w:szCs w:val="20"/>
                <w:color w:val="auto"/>
              </w:rPr>
            </w:pPr>
            <w:r>
              <w:rPr>
                <w:rFonts w:ascii="Arial" w:cs="Arial" w:eastAsia="Arial" w:hAnsi="Arial"/>
                <w:sz w:val="18"/>
                <w:szCs w:val="18"/>
                <w:color w:val="auto"/>
                <w:w w:val="89"/>
              </w:rPr>
              <w:t>www.alcobra-pharma.com</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Replays</w:t>
            </w:r>
          </w:p>
        </w:tc>
        <w:tc>
          <w:tcPr>
            <w:tcW w:w="3700" w:type="dxa"/>
            <w:vAlign w:val="bottom"/>
          </w:tcPr>
          <w:p>
            <w:pPr>
              <w:spacing w:after="0"/>
              <w:rPr>
                <w:sz w:val="24"/>
                <w:szCs w:val="24"/>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Domestic:</w:t>
            </w:r>
          </w:p>
        </w:tc>
        <w:tc>
          <w:tcPr>
            <w:tcW w:w="3700" w:type="dxa"/>
            <w:vAlign w:val="bottom"/>
          </w:tcPr>
          <w:p>
            <w:pPr>
              <w:ind w:left="1800"/>
              <w:spacing w:after="0"/>
              <w:rPr>
                <w:sz w:val="20"/>
                <w:szCs w:val="20"/>
                <w:color w:val="auto"/>
              </w:rPr>
            </w:pPr>
            <w:r>
              <w:rPr>
                <w:rFonts w:ascii="Arial" w:cs="Arial" w:eastAsia="Arial" w:hAnsi="Arial"/>
                <w:sz w:val="18"/>
                <w:szCs w:val="18"/>
                <w:color w:val="auto"/>
              </w:rPr>
              <w:t>855-859-2056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3700" w:type="dxa"/>
            <w:vAlign w:val="bottom"/>
          </w:tcPr>
          <w:p>
            <w:pPr>
              <w:ind w:left="1800"/>
              <w:spacing w:after="0"/>
              <w:rPr>
                <w:sz w:val="20"/>
                <w:szCs w:val="20"/>
                <w:color w:val="auto"/>
              </w:rPr>
            </w:pPr>
            <w:r>
              <w:rPr>
                <w:rFonts w:ascii="Arial" w:cs="Arial" w:eastAsia="Arial" w:hAnsi="Arial"/>
                <w:sz w:val="18"/>
                <w:szCs w:val="18"/>
                <w:color w:val="auto"/>
              </w:rPr>
              <w:t>404-537-3406</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Passcode:</w:t>
            </w:r>
          </w:p>
        </w:tc>
        <w:tc>
          <w:tcPr>
            <w:tcW w:w="3700" w:type="dxa"/>
            <w:vAlign w:val="bottom"/>
          </w:tcPr>
          <w:p>
            <w:pPr>
              <w:ind w:left="1800"/>
              <w:spacing w:after="0"/>
              <w:rPr>
                <w:sz w:val="20"/>
                <w:szCs w:val="20"/>
                <w:color w:val="auto"/>
              </w:rPr>
            </w:pPr>
            <w:r>
              <w:rPr>
                <w:rFonts w:ascii="Arial" w:cs="Arial" w:eastAsia="Arial" w:hAnsi="Arial"/>
                <w:sz w:val="18"/>
                <w:szCs w:val="18"/>
                <w:color w:val="auto"/>
              </w:rPr>
              <w:t>43962198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and is enrolling patients in a Phase III study for this indication in adults. The company was founded in 2008 and is headquartered in Tel Aviv, Israel. For more information please visit the Company's website, </w:t>
      </w:r>
      <w:r>
        <w:rPr>
          <w:rFonts w:ascii="Arial" w:cs="Arial" w:eastAsia="Arial" w:hAnsi="Arial"/>
          <w:sz w:val="18"/>
          <w:szCs w:val="18"/>
          <w:u w:val="single" w:color="auto"/>
          <w:color w:val="auto"/>
        </w:rPr>
        <w:t>www.alcobra-pharma.com</w:t>
      </w:r>
      <w:r>
        <w:rPr>
          <w:rFonts w:ascii="Arial" w:cs="Arial" w:eastAsia="Arial" w:hAnsi="Arial"/>
          <w:sz w:val="18"/>
          <w:szCs w:val="18"/>
          <w:color w:val="auto"/>
        </w:rPr>
        <w:t>,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Forward Looking Statements — 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Alcobra is expecting to receive multiple data readouts, timing of receipt of such data readouts. .. In addition, historic results of scientific research do not guarantee that the conclusions of future research would not suggest different conclusions or that historic results referred to in this press release would be interpreted differently in light of additional research. The forward-looking statements contained or implied in this press release are subject to other risks and uncertainties, including those discussed under the heading "Risk Factors" in Alcobra Ltd.'s Annual Report on Form 20-F for the fiscal year ended December 31, 2013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7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March 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5,522</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Pre commercialization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1,789</w:t>
            </w: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comprehensive loss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7,757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w:t>
            </w:r>
          </w:p>
        </w:tc>
        <w:tc>
          <w:tcPr>
            <w:tcW w:w="68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spacing w:after="0"/>
              <w:rPr>
                <w:sz w:val="20"/>
                <w:szCs w:val="20"/>
                <w:color w:val="auto"/>
              </w:rPr>
            </w:pPr>
            <w:r>
              <w:rPr>
                <w:rFonts w:ascii="Arial" w:cs="Arial" w:eastAsia="Arial" w:hAnsi="Arial"/>
                <w:sz w:val="18"/>
                <w:szCs w:val="18"/>
                <w:color w:val="auto"/>
              </w:rPr>
              <w:t>Net loss attributable to holders of Ordinary shares</w:t>
            </w:r>
          </w:p>
        </w:tc>
        <w:tc>
          <w:tcPr>
            <w:tcW w:w="6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CCFFCC"/>
            </w:tcBorders>
            <w:vMerge w:val="continue"/>
          </w:tcPr>
          <w:p>
            <w:pPr>
              <w:spacing w:after="0"/>
              <w:rPr>
                <w:sz w:val="20"/>
                <w:szCs w:val="20"/>
                <w:color w:val="auto"/>
              </w:rPr>
            </w:pPr>
          </w:p>
        </w:tc>
        <w:tc>
          <w:tcPr>
            <w:tcW w:w="68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7,766</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w:t>
            </w: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Net basic and diluted gain (loss) per share</w:t>
            </w:r>
          </w:p>
        </w:tc>
        <w:tc>
          <w:tcPr>
            <w:tcW w:w="6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(0.57</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spacing w:after="0"/>
              <w:rPr>
                <w:sz w:val="20"/>
                <w:szCs w:val="20"/>
                <w:color w:val="auto"/>
              </w:rPr>
            </w:pPr>
            <w:r>
              <w:rPr>
                <w:rFonts w:ascii="Arial" w:cs="Arial" w:eastAsia="Arial" w:hAnsi="Arial"/>
                <w:sz w:val="18"/>
                <w:szCs w:val="18"/>
                <w:color w:val="auto"/>
                <w:w w:val="97"/>
              </w:rPr>
              <w:t>Weighted average number of Ordinary shares used in computing basic and diluted net loss per share</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13,636,709</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7,794,256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740" w:type="dxa"/>
            <w:vAlign w:val="bottom"/>
            <w:gridSpan w:val="2"/>
            <w:vMerge w:val="restart"/>
          </w:tcPr>
          <w:p>
            <w:pPr>
              <w:jc w:val="center"/>
              <w:ind w:right="3170"/>
              <w:spacing w:after="0"/>
              <w:rPr>
                <w:sz w:val="20"/>
                <w:szCs w:val="20"/>
                <w:color w:val="auto"/>
              </w:rPr>
            </w:pPr>
            <w:r>
              <w:rPr>
                <w:rFonts w:ascii="Arial" w:cs="Arial" w:eastAsia="Arial" w:hAnsi="Arial"/>
                <w:sz w:val="18"/>
                <w:szCs w:val="18"/>
                <w:b w:val="1"/>
                <w:bCs w:val="1"/>
                <w:color w:val="auto"/>
                <w:w w:val="94"/>
              </w:rPr>
              <w:t>ASSETS</w:t>
            </w: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Short-term deposits</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34,033</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Receivables and prepaid expenses</w:t>
            </w:r>
          </w:p>
        </w:tc>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55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45,416</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50,218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assets:</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5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long-term assets</w:t>
            </w:r>
          </w:p>
        </w:tc>
        <w:tc>
          <w:tcPr>
            <w:tcW w:w="55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shd w:val="clear" w:color="auto" w:fill="CCFFCC"/>
          </w:tcPr>
          <w:p>
            <w:pPr>
              <w:spacing w:after="0"/>
              <w:rPr>
                <w:sz w:val="18"/>
                <w:szCs w:val="18"/>
                <w:color w:val="auto"/>
              </w:rPr>
            </w:pP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5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45,603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74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rPr>
              <w:t>LIABILITIES AND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740" w:type="dxa"/>
            <w:vAlign w:val="bottom"/>
            <w:gridSpan w:val="2"/>
          </w:tcPr>
          <w:p>
            <w:pPr>
              <w:jc w:val="center"/>
              <w:ind w:right="3170"/>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Trade payables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5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1,937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FFCC"/>
          </w:tcPr>
          <w:p>
            <w:pPr>
              <w:spacing w:after="0"/>
              <w:rPr>
                <w:sz w:val="18"/>
                <w:szCs w:val="18"/>
                <w:color w:val="auto"/>
              </w:rPr>
            </w:pP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Shareholders’ equity:</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Share capital</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68,718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Accumulated deficit</w:t>
            </w:r>
          </w:p>
        </w:tc>
        <w:tc>
          <w:tcPr>
            <w:tcW w:w="5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(26,500)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w:t>
            </w:r>
          </w:p>
        </w:tc>
        <w:tc>
          <w:tcPr>
            <w:tcW w:w="5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42,257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w w:val="94"/>
              </w:rPr>
              <w:t>Total liabilities and shareholders’ equity</w:t>
            </w:r>
          </w:p>
        </w:tc>
        <w:tc>
          <w:tcPr>
            <w:tcW w:w="57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45,603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FFCC"/>
            </w:tcBorders>
          </w:tcPr>
          <w:p>
            <w:pPr>
              <w:spacing w:after="0" w:line="20" w:lineRule="exact"/>
              <w:rPr>
                <w:sz w:val="1"/>
                <w:szCs w:val="1"/>
                <w:color w:val="auto"/>
              </w:rPr>
            </w:pPr>
          </w:p>
        </w:tc>
        <w:tc>
          <w:tcPr>
            <w:tcW w:w="55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r>
      <w:tr>
        <w:trPr>
          <w:trHeight w:val="210"/>
        </w:trPr>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r>
      <w:tr>
        <w:trPr>
          <w:trHeight w:val="223"/>
        </w:trPr>
        <w:tc>
          <w:tcPr>
            <w:tcW w:w="7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10"/>
        </w:trPr>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(7,766)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from sale of property, plant and equipment</w:t>
            </w: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Increase in receivables and prepaid expenses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(increase) in other long-term assets</w:t>
            </w: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Increase (decrease) in trade payables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in other accounts payable</w:t>
            </w: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Interest on convertible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30"/>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 base compensation</w:t>
            </w:r>
          </w:p>
        </w:tc>
        <w:tc>
          <w:tcPr>
            <w:tcW w:w="15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7040" w:type="dxa"/>
            <w:vAlign w:val="bottom"/>
            <w:tcBorders>
              <w:bottom w:val="single" w:sz="8" w:color="CCFFCC"/>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5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04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ind w:left="20"/>
        <w:spacing w:after="0"/>
        <w:rPr>
          <w:sz w:val="20"/>
          <w:szCs w:val="20"/>
          <w:color w:val="auto"/>
        </w:rPr>
      </w:pPr>
      <w:r>
        <w:rPr>
          <w:rFonts w:ascii="Arial" w:cs="Arial" w:eastAsia="Arial" w:hAnsi="Arial"/>
          <w:sz w:val="18"/>
          <w:szCs w:val="18"/>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of property and equipment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short-term bank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from financing activities: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(6,025)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451" w:lineRule="exact"/>
        <w:rPr>
          <w:sz w:val="20"/>
          <w:szCs w:val="20"/>
          <w:color w:val="auto"/>
        </w:rPr>
      </w:pPr>
    </w:p>
    <w:p>
      <w:pPr>
        <w:sectPr>
          <w:pgSz w:w="11900" w:h="16838" w:orient="portrait"/>
          <w:cols w:equalWidth="0" w:num="2">
            <w:col w:w="7860" w:space="720"/>
            <w:col w:w="284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34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notes</w:t>
            </w: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0"/>
        </w:trPr>
        <w:tc>
          <w:tcPr>
            <w:tcW w:w="634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4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 cash and cash equivalents</w:t>
            </w:r>
          </w:p>
        </w:tc>
        <w:tc>
          <w:tcPr>
            <w:tcW w:w="2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(11,703)</w:t>
            </w: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6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22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22,095</w:t>
            </w:r>
          </w:p>
        </w:tc>
        <w:tc>
          <w:tcPr>
            <w:tcW w:w="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r>
      <w:tr>
        <w:trPr>
          <w:trHeight w:val="210"/>
        </w:trPr>
        <w:tc>
          <w:tcPr>
            <w:tcW w:w="6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6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10,392</w:t>
            </w:r>
          </w:p>
        </w:tc>
        <w:tc>
          <w:tcPr>
            <w:tcW w:w="60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r>
      <w:tr>
        <w:trPr>
          <w:trHeight w:val="20"/>
        </w:trPr>
        <w:tc>
          <w:tcPr>
            <w:tcW w:w="634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629"/>
        </w:trPr>
        <w:tc>
          <w:tcPr>
            <w:tcW w:w="6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2019-12-08T06:27:31Z</dcterms:created>
  <dcterms:modified xsi:type="dcterms:W3CDTF">2019-12-08T06:27:31Z</dcterms:modified>
</cp:coreProperties>
</file>