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3820" w:right="1560" w:hanging="3812"/>
        <w:spacing w:after="0" w:line="320" w:lineRule="auto"/>
        <w:tabs>
          <w:tab w:leader="none" w:pos="51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7" w:lineRule="exact"/>
        <w:rPr>
          <w:sz w:val="24"/>
          <w:szCs w:val="24"/>
          <w:color w:val="auto"/>
        </w:rPr>
      </w:pPr>
    </w:p>
    <w:p>
      <w:pPr>
        <w:ind w:left="430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001-38942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41910</wp:posOffset>
            </wp:positionV>
            <wp:extent cx="2468880"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88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ectPr>
          <w:pgSz w:w="11900" w:h="16838" w:orient="portrait"/>
          <w:cols w:equalWidth="0" w:num="1">
            <w:col w:w="11240"/>
          </w:cols>
          <w:pgMar w:left="320" w:top="1118" w:right="339" w:bottom="1440" w:gutter="0" w:footer="0" w:header="0"/>
        </w:sectPr>
      </w:pPr>
    </w:p>
    <w:p>
      <w:pPr>
        <w:spacing w:after="0" w:line="25" w:lineRule="exact"/>
        <w:rPr>
          <w:sz w:val="24"/>
          <w:szCs w:val="24"/>
          <w:color w:val="auto"/>
        </w:rPr>
      </w:pPr>
    </w:p>
    <w:p>
      <w:pPr>
        <w:jc w:val="right"/>
        <w:ind w:right="6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p>
      <w:pPr>
        <w:jc w:val="center"/>
        <w:ind w:right="3460"/>
        <w:spacing w:after="0"/>
        <w:rPr>
          <w:sz w:val="20"/>
          <w:szCs w:val="20"/>
          <w:color w:val="auto"/>
        </w:rPr>
      </w:pPr>
      <w:r>
        <w:rPr>
          <w:rFonts w:ascii="Times New Roman" w:cs="Times New Roman" w:eastAsia="Times New Roman" w:hAnsi="Times New Roman"/>
          <w:sz w:val="13"/>
          <w:szCs w:val="13"/>
          <w:b w:val="1"/>
          <w:bCs w:val="1"/>
          <w:color w:val="auto"/>
        </w:rPr>
        <w:t>Delaware</w:t>
      </w:r>
    </w:p>
    <w:p>
      <w:pPr>
        <w:ind w:left="1480"/>
        <w:spacing w:after="0" w:line="219" w:lineRule="auto"/>
        <w:rPr>
          <w:sz w:val="20"/>
          <w:szCs w:val="20"/>
          <w:color w:val="auto"/>
        </w:rPr>
      </w:pPr>
      <w:r>
        <w:rPr>
          <w:rFonts w:ascii="Times New Roman" w:cs="Times New Roman" w:eastAsia="Times New Roman" w:hAnsi="Times New Roman"/>
          <w:sz w:val="13"/>
          <w:szCs w:val="13"/>
          <w:color w:val="auto"/>
        </w:rPr>
        <w:t>(State or other jurisdiction of</w:t>
      </w:r>
    </w:p>
    <w:p>
      <w:pPr>
        <w:ind w:left="14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118"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10628 Science Center Drive, Suite 250</w:t>
      </w:r>
    </w:p>
    <w:p>
      <w:pPr>
        <w:spacing w:after="0" w:line="4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San Diego, California</w:t>
      </w:r>
    </w:p>
    <w:p>
      <w:pPr>
        <w:spacing w:after="0" w:line="17"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32-0595345</w:t>
      </w:r>
    </w:p>
    <w:p>
      <w:pPr>
        <w:spacing w:after="0" w:line="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332"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92121</w:t>
      </w:r>
    </w:p>
    <w:p>
      <w:pPr>
        <w:spacing w:after="0" w:line="2"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color w:val="auto"/>
        </w:rPr>
        <w:t>(Zip Code)</w:t>
      </w:r>
    </w:p>
    <w:p>
      <w:pPr>
        <w:spacing w:after="0" w:line="48" w:lineRule="exact"/>
        <w:rPr>
          <w:sz w:val="24"/>
          <w:szCs w:val="24"/>
          <w:color w:val="auto"/>
        </w:rPr>
      </w:pPr>
    </w:p>
    <w:p>
      <w:pPr>
        <w:sectPr>
          <w:pgSz w:w="11900" w:h="16838" w:orient="portrait"/>
          <w:cols w:equalWidth="0" w:num="2">
            <w:col w:w="7860" w:space="720"/>
            <w:col w:w="2660"/>
          </w:cols>
          <w:pgMar w:left="320" w:top="111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6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ARCT</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6"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3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6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As of May 6, 2025, the registrant had 27,120,603 shares of 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831215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7280" w:type="dxa"/>
            <w:vAlign w:val="bottom"/>
            <w:gridSpan w:val="11"/>
            <w:vMerge w:val="restart"/>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900" w:type="dxa"/>
            <w:vAlign w:val="bottom"/>
            <w:gridSpan w:val="2"/>
            <w:vMerge w:val="continue"/>
          </w:tcPr>
          <w:p>
            <w:pPr>
              <w:spacing w:after="0"/>
              <w:rPr>
                <w:sz w:val="14"/>
                <w:szCs w:val="14"/>
                <w:color w:val="auto"/>
              </w:rPr>
            </w:pPr>
          </w:p>
        </w:tc>
        <w:tc>
          <w:tcPr>
            <w:tcW w:w="2280" w:type="dxa"/>
            <w:vAlign w:val="bottom"/>
            <w:tcBorders>
              <w:bottom w:val="single" w:sz="8" w:color="0000EE"/>
            </w:tcBorders>
            <w:gridSpan w:val="8"/>
            <w:vMerge w:val="continue"/>
          </w:tcPr>
          <w:p>
            <w:pPr>
              <w:spacing w:after="0"/>
              <w:rPr>
                <w:sz w:val="14"/>
                <w:szCs w:val="14"/>
                <w:color w:val="auto"/>
              </w:rPr>
            </w:pPr>
          </w:p>
        </w:tc>
        <w:tc>
          <w:tcPr>
            <w:tcW w:w="728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71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March 31, 2025 and December 31, 2024</w:t>
            </w:r>
          </w:p>
        </w:tc>
        <w:tc>
          <w:tcPr>
            <w:tcW w:w="328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Loss for the three months ended March 31, 2025 and 2024</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for the three months ended March 31, 2025 and 2024</w:t>
            </w:r>
          </w:p>
        </w:tc>
        <w:tc>
          <w:tcPr>
            <w:tcW w:w="44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2024</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80" w:type="dxa"/>
            <w:vAlign w:val="bottom"/>
            <w:tcBorders>
              <w:top w:val="single" w:sz="8" w:color="0000EE"/>
            </w:tcBorders>
            <w:gridSpan w:val="5"/>
          </w:tcPr>
          <w:p>
            <w:pPr>
              <w:spacing w:after="0"/>
              <w:rPr>
                <w:sz w:val="17"/>
                <w:szCs w:val="17"/>
                <w:color w:val="auto"/>
              </w:rPr>
            </w:pPr>
          </w:p>
        </w:tc>
        <w:tc>
          <w:tcPr>
            <w:tcW w:w="198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17"/>
                <w:szCs w:val="17"/>
                <w:color w:val="auto"/>
              </w:rPr>
            </w:pPr>
          </w:p>
        </w:tc>
        <w:tc>
          <w:tcPr>
            <w:tcW w:w="310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78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560" w:type="dxa"/>
            <w:vAlign w:val="bottom"/>
            <w:tcBorders>
              <w:top w:val="single" w:sz="8" w:color="0000EE"/>
            </w:tcBorders>
            <w:gridSpan w:val="3"/>
          </w:tcPr>
          <w:p>
            <w:pPr>
              <w:spacing w:after="0"/>
              <w:rPr>
                <w:sz w:val="17"/>
                <w:szCs w:val="17"/>
                <w:color w:val="auto"/>
              </w:rPr>
            </w:pPr>
          </w:p>
        </w:tc>
        <w:tc>
          <w:tcPr>
            <w:tcW w:w="76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2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240" w:type="dxa"/>
            <w:vAlign w:val="bottom"/>
            <w:gridSpan w:val="1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800" w:type="dxa"/>
            <w:vAlign w:val="bottom"/>
            <w:gridSpan w:val="1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Such statements may include, but are not limited to, statements concerning the following:</w:t>
      </w:r>
    </w:p>
    <w:p>
      <w:pPr>
        <w:spacing w:after="0" w:line="208" w:lineRule="exact"/>
        <w:rPr>
          <w:sz w:val="20"/>
          <w:szCs w:val="20"/>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and ability to remain in compliance, with the requirements of our collaboration agreements, including our collaboration with Seqirus Inc. (“CSL Seqirus”);</w:t>
      </w:r>
    </w:p>
    <w:p>
      <w:pPr>
        <w:spacing w:after="0" w:line="60" w:lineRule="exact"/>
        <w:rPr>
          <w:rFonts w:ascii="Times New Roman" w:cs="Times New Roman" w:eastAsia="Times New Roman" w:hAnsi="Times New Roman"/>
          <w:sz w:val="18"/>
          <w:szCs w:val="18"/>
          <w:color w:val="auto"/>
        </w:rPr>
      </w:pPr>
    </w:p>
    <w:p>
      <w:pPr>
        <w:ind w:left="1220" w:right="440" w:hanging="601"/>
        <w:spacing w:after="0" w:line="225"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and success of our collaboration agreement with CSL Seqirus related to the licensure of our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mRNA technology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including our timely receipt of upfront and potential royalty and other payments thereunder;</w:t>
      </w:r>
    </w:p>
    <w:p>
      <w:pPr>
        <w:spacing w:after="0" w:line="91"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development activities of the LUNAR-COV19 and LUNAR-FLU programs under our collaboration with CSL Seqirus;</w:t>
      </w:r>
    </w:p>
    <w:p>
      <w:pPr>
        <w:spacing w:after="0" w:line="117" w:lineRule="exact"/>
        <w:rPr>
          <w:rFonts w:ascii="Times New Roman" w:cs="Times New Roman" w:eastAsia="Times New Roman" w:hAnsi="Times New Roman"/>
          <w:sz w:val="18"/>
          <w:szCs w:val="18"/>
          <w:color w:val="auto"/>
        </w:rPr>
      </w:pPr>
    </w:p>
    <w:p>
      <w:pPr>
        <w:ind w:left="1220" w:right="22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success and benefits of our arrangements with private and governmental entities, some of which are subject to termination for convenience by our counterparties;</w:t>
      </w:r>
    </w:p>
    <w:p>
      <w:pPr>
        <w:spacing w:after="0" w:line="53" w:lineRule="exact"/>
        <w:rPr>
          <w:rFonts w:ascii="Times New Roman" w:cs="Times New Roman" w:eastAsia="Times New Roman" w:hAnsi="Times New Roman"/>
          <w:sz w:val="18"/>
          <w:szCs w:val="18"/>
          <w:color w:val="auto"/>
        </w:rPr>
      </w:pPr>
    </w:p>
    <w:p>
      <w:pPr>
        <w:ind w:left="1220" w:right="80" w:hanging="601"/>
        <w:spacing w:after="0" w:line="289"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spacing w:after="0" w:line="49" w:lineRule="exact"/>
        <w:rPr>
          <w:rFonts w:ascii="Times New Roman" w:cs="Times New Roman" w:eastAsia="Times New Roman" w:hAnsi="Times New Roman"/>
          <w:sz w:val="17"/>
          <w:szCs w:val="17"/>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conduct and advance any of our research and discovery programs;</w:t>
      </w:r>
    </w:p>
    <w:p>
      <w:pPr>
        <w:spacing w:after="0" w:line="117" w:lineRule="exact"/>
        <w:rPr>
          <w:rFonts w:ascii="Times New Roman" w:cs="Times New Roman" w:eastAsia="Times New Roman" w:hAnsi="Times New Roman"/>
          <w:sz w:val="18"/>
          <w:szCs w:val="18"/>
          <w:color w:val="auto"/>
        </w:rPr>
      </w:pPr>
    </w:p>
    <w:p>
      <w:pPr>
        <w:ind w:left="1220" w:right="32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design, cost, timing, progress, enrollment and results of, and our expected ability to undertake certain activities and accomplish certain goals with respect to, our research and development activities, preclinical studies and clinical trials, including those related to our therapeutics pipeline candidates ARCT-810 and ARCT-032;</w:t>
      </w:r>
    </w:p>
    <w:p>
      <w:pPr>
        <w:spacing w:after="0" w:line="6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safety, immunogenicity, efficacy or regulatory approval of any of our product candidates;</w:t>
      </w:r>
    </w:p>
    <w:p>
      <w:pPr>
        <w:spacing w:after="0" w:line="117" w:lineRule="exact"/>
        <w:rPr>
          <w:rFonts w:ascii="Times New Roman" w:cs="Times New Roman" w:eastAsia="Times New Roman" w:hAnsi="Times New Roman"/>
          <w:sz w:val="18"/>
          <w:szCs w:val="18"/>
          <w:color w:val="auto"/>
        </w:rPr>
      </w:pPr>
    </w:p>
    <w:p>
      <w:pPr>
        <w:ind w:left="1220" w:right="3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efficacy and benefits of our technologies and product candidates on their own and in comparison to technologies, drugs or courses of treatment currently available or that may be developed by competitors;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preclinical or clinical data will be predictive of future clinical results or efficacy or safety of a product candidate;</w:t>
      </w:r>
    </w:p>
    <w:p>
      <w:pPr>
        <w:spacing w:after="0" w:line="117" w:lineRule="exact"/>
        <w:rPr>
          <w:rFonts w:ascii="Times New Roman" w:cs="Times New Roman" w:eastAsia="Times New Roman" w:hAnsi="Times New Roman"/>
          <w:sz w:val="18"/>
          <w:szCs w:val="18"/>
          <w:color w:val="auto"/>
        </w:rPr>
      </w:pPr>
    </w:p>
    <w:p>
      <w:pPr>
        <w:ind w:left="1220" w:right="88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enrollment, duration, milestones and announcements of results of clinical trials, and the submission of applications to conduct clinical trials;</w:t>
      </w:r>
    </w:p>
    <w:p>
      <w:pPr>
        <w:spacing w:after="0" w:line="53" w:lineRule="exact"/>
        <w:rPr>
          <w:rFonts w:ascii="Times New Roman" w:cs="Times New Roman" w:eastAsia="Times New Roman" w:hAnsi="Times New Roman"/>
          <w:sz w:val="18"/>
          <w:szCs w:val="18"/>
          <w:color w:val="auto"/>
        </w:rPr>
      </w:pPr>
    </w:p>
    <w:p>
      <w:pPr>
        <w:ind w:left="1220" w:right="4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clinical data will be sufficient for regulatory approval or completed in time to submit an application for regulatory approval within a particular timeframe;</w:t>
      </w:r>
    </w:p>
    <w:p>
      <w:pPr>
        <w:spacing w:after="0" w:line="53" w:lineRule="exact"/>
        <w:rPr>
          <w:rFonts w:ascii="Times New Roman" w:cs="Times New Roman" w:eastAsia="Times New Roman" w:hAnsi="Times New Roman"/>
          <w:sz w:val="18"/>
          <w:szCs w:val="18"/>
          <w:color w:val="auto"/>
        </w:rPr>
      </w:pPr>
    </w:p>
    <w:p>
      <w:pPr>
        <w:ind w:left="1220" w:right="40" w:hanging="601"/>
        <w:spacing w:after="0" w:line="26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or timing of any regulatory approval, and the likelihood that the marketing approval of ARCT-154 in Japan will be predictive of any future marketing approvals in other countries or for other versions of our LUNAR-COV19 or other product candidates or of any commercial sales;</w:t>
      </w:r>
    </w:p>
    <w:p>
      <w:pPr>
        <w:spacing w:after="0" w:line="6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administration regimen or dosage, or ability to administer multiple doses of, any of our product candidates;</w:t>
      </w:r>
    </w:p>
    <w:p>
      <w:pPr>
        <w:spacing w:after="0" w:line="117" w:lineRule="exact"/>
        <w:rPr>
          <w:rFonts w:ascii="Times New Roman" w:cs="Times New Roman" w:eastAsia="Times New Roman" w:hAnsi="Times New Roman"/>
          <w:sz w:val="18"/>
          <w:szCs w:val="18"/>
          <w:color w:val="auto"/>
        </w:rPr>
      </w:pPr>
    </w:p>
    <w:p>
      <w:pPr>
        <w:ind w:left="1220" w:right="14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220" w:right="860" w:hanging="601"/>
        <w:spacing w:after="0" w:line="28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partners, to successfully commercialize, and our expectations regarding future therapeutic and commercial potential with respect to, our product candidates;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220" w:right="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 and address unmet medical needs;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regulatory authorities in the United States and foreign countries;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experienced and seasoned scientific and management professionals;</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including the ability to implement and scale-up manufacturing levels as necessary;</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relevant approvals related to the manufacture and distribution of our product candidates;</w:t>
      </w:r>
    </w:p>
    <w:p>
      <w:pPr>
        <w:spacing w:after="0" w:line="117" w:lineRule="exact"/>
        <w:rPr>
          <w:rFonts w:ascii="Times New Roman" w:cs="Times New Roman" w:eastAsia="Times New Roman" w:hAnsi="Times New Roman"/>
          <w:sz w:val="18"/>
          <w:szCs w:val="18"/>
          <w:color w:val="auto"/>
        </w:rPr>
      </w:pPr>
    </w:p>
    <w:p>
      <w:pPr>
        <w:ind w:left="1220" w:right="34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53"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relevant development, regulatory and commercialization expertise;</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activities to be undertaken by our strategic alliance partners, collaborators and other third parties;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and marketing capabilities, whether alone or with potential future collaborators;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avoid, settle or be victorious at costly litigation with shareholders, former executives or others, should these situations arise;</w:t>
      </w:r>
    </w:p>
    <w:p>
      <w:pPr>
        <w:spacing w:after="0" w:line="128" w:lineRule="exact"/>
        <w:rPr>
          <w:rFonts w:ascii="Times New Roman" w:cs="Times New Roman" w:eastAsia="Times New Roman" w:hAnsi="Times New Roman"/>
          <w:sz w:val="17"/>
          <w:szCs w:val="17"/>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deploy funding for our operations and to efficiently use our financial and other resources;</w:t>
      </w:r>
    </w:p>
    <w:p>
      <w:pPr>
        <w:spacing w:after="0" w:line="117" w:lineRule="exact"/>
        <w:rPr>
          <w:rFonts w:ascii="Times New Roman" w:cs="Times New Roman" w:eastAsia="Times New Roman" w:hAnsi="Times New Roman"/>
          <w:sz w:val="18"/>
          <w:szCs w:val="18"/>
          <w:color w:val="auto"/>
        </w:rPr>
      </w:pPr>
    </w:p>
    <w:p>
      <w:pPr>
        <w:ind w:left="1220" w:hanging="601"/>
        <w:spacing w:after="0"/>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1220" w:right="120" w:hanging="601"/>
        <w:spacing w:after="0" w:line="282" w:lineRule="auto"/>
        <w:tabs>
          <w:tab w:leader="none" w:pos="1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future expenses, future revenues, cash flows, capital requirements need for additional financing, and possible sources of revenue.</w:t>
      </w:r>
    </w:p>
    <w:p>
      <w:pPr>
        <w:spacing w:after="0" w:line="162" w:lineRule="exact"/>
        <w:rPr>
          <w:sz w:val="20"/>
          <w:szCs w:val="20"/>
          <w:color w:val="auto"/>
        </w:rPr>
      </w:pPr>
    </w:p>
    <w:p>
      <w:pPr>
        <w:ind w:firstLine="612"/>
        <w:spacing w:after="0" w:line="254" w:lineRule="auto"/>
        <w:rPr>
          <w:sz w:val="20"/>
          <w:szCs w:val="20"/>
          <w:color w:val="auto"/>
        </w:rPr>
      </w:pPr>
      <w:r>
        <w:rPr>
          <w:rFonts w:ascii="Times New Roman" w:cs="Times New Roman" w:eastAsia="Times New Roman" w:hAnsi="Times New Roman"/>
          <w:sz w:val="18"/>
          <w:szCs w:val="18"/>
          <w:color w:val="auto"/>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par value information)</w:t>
            </w:r>
          </w:p>
        </w:tc>
        <w:tc>
          <w:tcPr>
            <w:tcW w:w="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216,948</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7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2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issued and</w:t>
            </w: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shares were 27,121 at March 31, 2025 and 27,096 at December 31, 2024</w:t>
            </w: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(462,883)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(448,807)</w:t>
            </w:r>
          </w:p>
        </w:tc>
        <w:tc>
          <w:tcPr>
            <w:tcW w:w="0" w:type="dxa"/>
            <w:vAlign w:val="bottom"/>
          </w:tcPr>
          <w:p>
            <w:pPr>
              <w:spacing w:after="0"/>
              <w:rPr>
                <w:sz w:val="1"/>
                <w:szCs w:val="1"/>
                <w:color w:val="auto"/>
              </w:rPr>
            </w:pPr>
          </w:p>
        </w:tc>
      </w:tr>
      <w:tr>
        <w:trPr>
          <w:trHeight w:val="210"/>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233,759</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240,978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-2416810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-2399665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OPERATIONS AND COMPREHENSIVE LOSS (unaudited)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18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Collaboration revenue</w:t>
            </w:r>
          </w:p>
        </w:tc>
        <w:tc>
          <w:tcPr>
            <w:tcW w:w="22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80" w:type="dxa"/>
            <w:vAlign w:val="bottom"/>
          </w:tcPr>
          <w:p>
            <w:pPr>
              <w:spacing w:after="0"/>
              <w:rPr>
                <w:sz w:val="18"/>
                <w:szCs w:val="18"/>
                <w:color w:val="auto"/>
              </w:rPr>
            </w:pPr>
          </w:p>
        </w:tc>
        <w:tc>
          <w:tcPr>
            <w:tcW w:w="6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Grant revenue</w:t>
            </w:r>
          </w:p>
        </w:tc>
        <w:tc>
          <w:tcPr>
            <w:tcW w:w="18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(16,826)</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(30,412)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Loss from foreign currency</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8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(26,449)</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(14,076)</w:t>
            </w:r>
          </w:p>
        </w:tc>
        <w:tc>
          <w:tcPr>
            <w:tcW w:w="6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(26,817)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220" w:type="dxa"/>
            <w:vAlign w:val="bottom"/>
            <w:gridSpan w:val="2"/>
            <w:shd w:val="clear" w:color="auto" w:fill="CFF0FC"/>
          </w:tcPr>
          <w:p>
            <w:pPr>
              <w:jc w:val="right"/>
              <w:ind w:right="1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680" w:type="dxa"/>
            <w:vAlign w:val="bottom"/>
            <w:gridSpan w:val="2"/>
            <w:shd w:val="clear" w:color="auto" w:fill="CFF0FC"/>
          </w:tcPr>
          <w:p>
            <w:pPr>
              <w:jc w:val="right"/>
              <w:ind w:right="4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22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(14,076)</w:t>
            </w:r>
          </w:p>
        </w:tc>
        <w:tc>
          <w:tcPr>
            <w:tcW w:w="68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(26,817)</w:t>
            </w:r>
          </w:p>
        </w:tc>
        <w:tc>
          <w:tcPr>
            <w:tcW w:w="0" w:type="dxa"/>
            <w:vAlign w:val="bottom"/>
          </w:tcPr>
          <w:p>
            <w:pPr>
              <w:spacing w:after="0"/>
              <w:rPr>
                <w:sz w:val="1"/>
                <w:szCs w:val="1"/>
                <w:color w:val="auto"/>
              </w:rPr>
            </w:pPr>
          </w:p>
        </w:tc>
      </w:tr>
      <w:tr>
        <w:trPr>
          <w:trHeight w:val="249"/>
        </w:trPr>
        <w:tc>
          <w:tcPr>
            <w:tcW w:w="590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Comprehensive loss</w:t>
            </w:r>
          </w:p>
        </w:tc>
        <w:tc>
          <w:tcPr>
            <w:tcW w:w="1880" w:type="dxa"/>
            <w:vAlign w:val="bottom"/>
            <w:tcBorders>
              <w:top w:val="single" w:sz="8" w:color="CFF0FC"/>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-2305685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-1739265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-1173480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-890905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left="340" w:right="232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STOCKHOLDERS’ EQUITY (unaudited)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2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2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27,096</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689,758</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(448,807)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240,978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(14,076)</w:t>
            </w: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(14,076)</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2025</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27,121</w:t>
            </w:r>
          </w:p>
        </w:tc>
        <w:tc>
          <w:tcPr>
            <w:tcW w:w="1100" w:type="dxa"/>
            <w:vAlign w:val="bottom"/>
            <w:gridSpan w:val="2"/>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696,615</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(462,883)</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233,759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222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2220" w:type="dxa"/>
            <w:vAlign w:val="bottom"/>
            <w:tcBorders>
              <w:bottom w:val="single" w:sz="8" w:color="auto"/>
            </w:tcBorders>
            <w:gridSpan w:val="3"/>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8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12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 December 31,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26,828</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646,352</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(367,866)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278,513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8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(26,817)</w:t>
            </w:r>
          </w:p>
        </w:tc>
        <w:tc>
          <w:tcPr>
            <w:tcW w:w="200" w:type="dxa"/>
            <w:vAlign w:val="bottom"/>
          </w:tcPr>
          <w:p>
            <w:pPr>
              <w:spacing w:after="0"/>
              <w:rPr>
                <w:sz w:val="12"/>
                <w:szCs w:val="12"/>
                <w:color w:val="auto"/>
              </w:rPr>
            </w:pPr>
          </w:p>
        </w:tc>
        <w:tc>
          <w:tcPr>
            <w:tcW w:w="11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(26,817)</w:t>
            </w:r>
          </w:p>
        </w:tc>
        <w:tc>
          <w:tcPr>
            <w:tcW w:w="0" w:type="dxa"/>
            <w:vAlign w:val="bottom"/>
          </w:tcPr>
          <w:p>
            <w:pPr>
              <w:spacing w:after="0"/>
              <w:rPr>
                <w:sz w:val="1"/>
                <w:szCs w:val="1"/>
                <w:color w:val="auto"/>
              </w:rPr>
            </w:pPr>
          </w:p>
        </w:tc>
      </w:tr>
      <w:tr>
        <w:trPr>
          <w:trHeight w:val="148"/>
        </w:trPr>
        <w:tc>
          <w:tcPr>
            <w:tcW w:w="482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8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 March 31, 2024</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26,917</w:t>
            </w:r>
          </w:p>
        </w:tc>
        <w:tc>
          <w:tcPr>
            <w:tcW w:w="1100" w:type="dxa"/>
            <w:vAlign w:val="bottom"/>
            <w:gridSpan w:val="2"/>
            <w:shd w:val="clear" w:color="auto" w:fill="CFF0FC"/>
          </w:tcPr>
          <w:p>
            <w:pPr>
              <w:jc w:val="right"/>
              <w:ind w:right="7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3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658,628</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(394,683)</w:t>
            </w: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263,972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CONDENSED CONSOLIDATED STATEMENTS OF CASH FLOWS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00" w:type="dxa"/>
            <w:vAlign w:val="bottom"/>
            <w:vMerge w:val="continue"/>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(14,076)</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(26,817)</w:t>
            </w: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 loss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(9,817)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(4,014)</w:t>
            </w: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8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(35,138)</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0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debt</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293,913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348,890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273,833</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345,281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7900" w:type="dxa"/>
            <w:vAlign w:val="bottom"/>
          </w:tcPr>
          <w:p>
            <w:pPr>
              <w:spacing w:after="0"/>
              <w:rPr>
                <w:sz w:val="24"/>
                <w:szCs w:val="2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8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asset disposal</w:t>
            </w:r>
          </w:p>
        </w:tc>
        <w:tc>
          <w:tcPr>
            <w:tcW w:w="880" w:type="dxa"/>
            <w:vAlign w:val="bottom"/>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88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5949950</wp:posOffset>
            </wp:positionH>
            <wp:positionV relativeFrom="paragraph">
              <wp:posOffset>-1366520</wp:posOffset>
            </wp:positionV>
            <wp:extent cx="10287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-1366520</wp:posOffset>
            </wp:positionV>
            <wp:extent cx="939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-779780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-762635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-762635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left="360" w:right="2600"/>
        <w:spacing w:after="0" w:line="268" w:lineRule="auto"/>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 NOTES TO CONDENSED CONSOLIDATED FINANCIAL STATEMENTS (Unaudited)</w:t>
      </w:r>
    </w:p>
    <w:p>
      <w:pPr>
        <w:spacing w:after="0" w:line="171" w:lineRule="exact"/>
        <w:rPr>
          <w:sz w:val="20"/>
          <w:szCs w:val="20"/>
          <w:color w:val="auto"/>
        </w:rPr>
      </w:pPr>
    </w:p>
    <w:p>
      <w:pPr>
        <w:ind w:right="3380"/>
        <w:spacing w:after="0" w:line="377" w:lineRule="auto"/>
        <w:rPr>
          <w:sz w:val="20"/>
          <w:szCs w:val="20"/>
          <w:color w:val="auto"/>
        </w:rPr>
      </w:pPr>
      <w:r>
        <w:rPr>
          <w:rFonts w:ascii="Times New Roman" w:cs="Times New Roman" w:eastAsia="Times New Roman" w:hAnsi="Times New Roman"/>
          <w:sz w:val="18"/>
          <w:szCs w:val="18"/>
          <w:b w:val="1"/>
          <w:bCs w:val="1"/>
          <w:color w:val="auto"/>
        </w:rPr>
        <w:t>Note 1. Description of Business, Basis of Presentation and Summary of Significant Accounting Policies Description of Business</w:t>
      </w:r>
    </w:p>
    <w:p>
      <w:pPr>
        <w:spacing w:after="0" w:line="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Arcturus Therapeutics Holdings Inc. (the “Company” or "Arcturus") is a commercial messenger RNA medicines company focused on the development of infectious disease vaccines and opportunities within liver and respiratory rare diseases. Arcturus became a clinical stage company in 2020 when it announced that its Investigational New Drug (“IND”) application for ornithine transcarbamylase (“OTC”) deficiency and its Clinical Trial Application (“CTA”) for candidate LUNAR-COV19 were approved by applicable health authorities. In 2023, our COVID-19 vaccine, ARCT-154 (also referred to as KOSTAIVE®), received marketing authorization approval in Japan for adults 18 years and older, and in September 2024 KOSTAIVE became the world’s first approved and commercially available self-amplifying RNA (sa-mRNA) vaccine.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2024.</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are prepared in accordance with GAAP, which requires management to make estimates and assumptions regarding the valuation of certain debt and equity instruments, share-based compensation,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spacing w:after="0" w:line="7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our significant accounting policies as disclosed in the Company’s Annual Report on Form 10-K for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and adopted by the Company as of the specified effective date. The Company believes that the impact of recently issued standards that are not yet effective will not have a material impact on the condensed consolidated financial statements and disclosures.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the financial statement disclosures.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license agreements and collaborative research and development arrangements with pharmaceutical and biotechnology companies, as well as consulting, related technology transfer, product revenue and government grant agreements. Under these arrangements, the Company is entitled to receive license fees, consulting fees, product fees, technological transfer fees, upfront payments, milestone payments if and when certain research and development milestones, technology transfer milestones or success-based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spacing w:after="0" w:line="8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during the three months ended March 31, 2025 in the balances of contract assets and liabilities as compared to what was disclosed in the Company’s Annual Report on Form 10-K for the year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5"/>
                <w:szCs w:val="15"/>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w w:val="99"/>
              </w:rPr>
              <w:t>Additions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3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(8,967)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(29,382)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2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revenues for the periods indicated.</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vMerge w:val="continue"/>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CSL Seqirus</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collaboration revenue</w:t>
            </w:r>
          </w:p>
        </w:tc>
        <w:tc>
          <w:tcPr>
            <w:tcW w:w="1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Grant revenue:</w:t>
            </w:r>
          </w:p>
        </w:tc>
        <w:tc>
          <w:tcPr>
            <w:tcW w:w="1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BARDA</w:t>
            </w:r>
          </w:p>
        </w:tc>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grant revenue</w:t>
            </w:r>
          </w:p>
        </w:tc>
        <w:tc>
          <w:tcPr>
            <w:tcW w:w="13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paragraphs provide information regarding the nature and purpose of the Company’s most significant collaboration and grant arrangements.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auto"/>
        </w:rPr>
        <w:t>CSL Seqirus</w:t>
      </w:r>
    </w:p>
    <w:p>
      <w:pPr>
        <w:spacing w:after="0" w:line="119" w:lineRule="exact"/>
        <w:rPr>
          <w:sz w:val="20"/>
          <w:szCs w:val="20"/>
          <w:color w:val="auto"/>
        </w:rPr>
      </w:pPr>
    </w:p>
    <w:p>
      <w:pPr>
        <w:ind w:right="40" w:firstLine="509"/>
        <w:spacing w:after="0" w:line="235" w:lineRule="auto"/>
        <w:rPr>
          <w:sz w:val="20"/>
          <w:szCs w:val="20"/>
          <w:color w:val="auto"/>
        </w:rPr>
      </w:pPr>
      <w:r>
        <w:rPr>
          <w:rFonts w:ascii="Times New Roman" w:cs="Times New Roman" w:eastAsia="Times New Roman" w:hAnsi="Times New Roman"/>
          <w:sz w:val="18"/>
          <w:szCs w:val="18"/>
          <w:color w:val="auto"/>
        </w:rPr>
        <w:t>On November 1, 2022, the Company entered into a Collaboration and License Agreement (as amended, the “CSL Collaboration Agreement”) with Seqirus, Inc., a part of CSL Limited (“CSL Seqirus”), for the global exclusive rights to research, develop, manufacture, and commercialize vaccines. Under the terms of the CSL Collaboration Agreement, the Company provides CSL Seqirus with an exclusive global license to its mRNA technology (including STARR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LUNAR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 In September 2024, our COVID-19 vaccine KOSTAIVE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became the world’s first approved and commercially available self-amplifying RNA (sa-mRNA) vaccine.</w:t>
      </w:r>
    </w:p>
    <w:p>
      <w:pPr>
        <w:spacing w:after="0" w:line="9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received a $200.0 million upfront payment and is eligible to receive over $1.3 billion in development milestones if all products are registered in the licensed fields and entitled to potentially receive up to $3.0 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 During the first quarter of 2025, upon the regulatory approval of KOSTAIVE in the European Union (the “EU”), the Company achieved an initial $8.0 million milestone related to the CSL Collaboration Agreement which was included in accounts receivable as of March 31, 2025. Additionally, during the first quarter of 2025, the Company achieved a $7.0 million development milestone related to the CSL Collaboration Agreement.</w:t>
      </w:r>
    </w:p>
    <w:p>
      <w:pPr>
        <w:spacing w:after="0" w:line="81" w:lineRule="exact"/>
        <w:rPr>
          <w:sz w:val="20"/>
          <w:szCs w:val="20"/>
          <w:color w:val="auto"/>
        </w:rPr>
      </w:pPr>
    </w:p>
    <w:p>
      <w:pPr>
        <w:ind w:right="40" w:firstLine="509"/>
        <w:spacing w:after="0" w:line="273" w:lineRule="auto"/>
        <w:rPr>
          <w:sz w:val="20"/>
          <w:szCs w:val="20"/>
          <w:color w:val="auto"/>
        </w:rPr>
      </w:pPr>
      <w:r>
        <w:rPr>
          <w:rFonts w:ascii="Times New Roman" w:cs="Times New Roman" w:eastAsia="Times New Roman" w:hAnsi="Times New Roman"/>
          <w:sz w:val="17"/>
          <w:szCs w:val="17"/>
          <w:color w:val="auto"/>
        </w:rPr>
        <w:t>In evaluating the CSL Collaboration Agreement in accordance with ASC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spacing w:after="0" w:line="63" w:lineRule="exact"/>
        <w:rPr>
          <w:sz w:val="20"/>
          <w:szCs w:val="20"/>
          <w:color w:val="auto"/>
        </w:rPr>
      </w:pPr>
    </w:p>
    <w:p>
      <w:pPr>
        <w:ind w:right="100" w:firstLine="554"/>
        <w:spacing w:after="0" w:line="266" w:lineRule="auto"/>
        <w:rPr>
          <w:sz w:val="20"/>
          <w:szCs w:val="20"/>
          <w:color w:val="auto"/>
        </w:rPr>
      </w:pPr>
      <w:r>
        <w:rPr>
          <w:rFonts w:ascii="Times New Roman" w:cs="Times New Roman" w:eastAsia="Times New Roman" w:hAnsi="Times New Roman"/>
          <w:sz w:val="18"/>
          <w:szCs w:val="18"/>
          <w:color w:val="auto"/>
        </w:rPr>
        <w:t>As of March 31, 2025, the transaction price consisted of upfront consideration received and milestones achieved. Additional variable consideration was not included in the transaction price as of March 31, 2025 because the Company could not conclude that it is probable that including the variable consideration will not result in a significant revenue reversal.</w:t>
      </w:r>
    </w:p>
    <w:p>
      <w:pPr>
        <w:spacing w:after="0" w:line="6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allocated the transaction price to the performance obligations in proportion to their standalone selling price. The vaccine license was recognized at the point in time it was transferred in 2022.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in the first quarter of 2025 relates to the license delivered, milestones achieved and services performed through March 31, 2025.</w:t>
      </w:r>
    </w:p>
    <w:p>
      <w:pPr>
        <w:spacing w:after="0" w:line="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Total deferred revenue as of March 31, 2025 and December 31, 2024 for the CSL Collaboration Agreement was $20.8 million and $30.7 million, respectively.</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During 2023, the Company entered into an amendment to the CSL Collaboration Agreement, pursuant to which the Company agreed to sponsor and conduct a Phase 1 clinical study in the influenza field. As part of the amendment, the Company received $17.5 million from CSL Seqirus. The amendment also provides for up to $1.5 million in additional payments which are achievable upon meeting certain clinical milestones relating to the Phase 1 clinical study in the influenza field. The Company previously concluded that the expansion of research and development support services under the CSL Collaboration Agreement represented an option that was not a material right. Therefore, the Company concluded the promise to sponsor and conduct the Phase 1 clinical study is a separate contract and the sole performance obligation under the new arrangement. During the quarter ended March 31, 2025, the Company recognized $0.7 million related to the performance obligation and the remaining amount of $2.4 million is included in deferred revenue.</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2023, the Company received an advance payment of $5.3 million from CSL Seqirus for manufacturing activities related to COVID-19 vaccine product. During the first quarter of 2024, the Company received an additional advance payment of $5.1 million from CSL Seqirus for manufacturing activities related to COVID-19 vaccine product. The Company concluded that the promise to perform manufacturing activities is a customer option as part of the CSL Collaboration Agreement and is accounted for as a separate contract. The Company recognized $5.3 million in revenue related to this customer option during the third quarter of 2024 upon the transfer of vaccine product to CSL Seqirus. The remaining $5.1 million, along with an estimated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 w:name="page12"/>
    <w:bookmarkEnd w:id="11"/>
    <w:p>
      <w:pPr>
        <w:ind w:right="280"/>
        <w:spacing w:after="0" w:line="282" w:lineRule="auto"/>
        <w:rPr>
          <w:sz w:val="20"/>
          <w:szCs w:val="20"/>
          <w:color w:val="auto"/>
        </w:rPr>
      </w:pPr>
      <w:r>
        <w:rPr>
          <w:rFonts w:ascii="Times New Roman" w:cs="Times New Roman" w:eastAsia="Times New Roman" w:hAnsi="Times New Roman"/>
          <w:sz w:val="18"/>
          <w:szCs w:val="18"/>
          <w:color w:val="auto"/>
        </w:rPr>
        <w:t>adjustment for costs in excess of previously invoiced amounts, was recognized as revenue during the quarter ended March 31, 2025 when the remaining vaccine product was transferred to CSL Seqirus.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March 2024, the Company entered into an amendment to the CSL Collaboration Agreement, pursuant to which the parties agreed to, among other things, adjust (i) the development plans for certain product candidates, (ii) various development milestones related to such product candidates, (iii) provisions of the CSL Collaboration Agreement related to specific royalty payments, (iii) provisions of the CSL Collaboration Agreement related to distributors, and (iv) proprietary payment calculations related to the foregoing.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BARDA Grant</w:t>
      </w:r>
    </w:p>
    <w:p>
      <w:pPr>
        <w:spacing w:after="0" w:line="119" w:lineRule="exact"/>
        <w:rPr>
          <w:sz w:val="20"/>
          <w:szCs w:val="20"/>
          <w:color w:val="auto"/>
        </w:rPr>
      </w:pPr>
    </w:p>
    <w:p>
      <w:pPr>
        <w:ind w:right="280" w:firstLine="509"/>
        <w:spacing w:after="0" w:line="257" w:lineRule="auto"/>
        <w:rPr>
          <w:sz w:val="20"/>
          <w:szCs w:val="20"/>
          <w:color w:val="auto"/>
        </w:rPr>
      </w:pPr>
      <w:r>
        <w:rPr>
          <w:rFonts w:ascii="Times New Roman" w:cs="Times New Roman" w:eastAsia="Times New Roman" w:hAnsi="Times New Roman"/>
          <w:sz w:val="18"/>
          <w:szCs w:val="18"/>
          <w:color w:val="auto"/>
        </w:rPr>
        <w:t>In August 2022, the Company entered into a cost reimbursement contract (the “BARDA Contract”) with the Biomedical Advanced Research and Development Authority ("BARDA"), a division of the Office of the Assistant Secretary for Preparedness and Response (ASPR) within the U.S. Department of Health and Human Services (HHS) for an award of up to $63.2 million for the development of a pandemic influenza vaccine using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STARR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color w:val="auto"/>
        </w:rPr>
        <w:t xml:space="preserve"> self-amplifying mRNA vaccine platform technology. The Company earns grant revenue for performing tasks under the agreement.</w:t>
      </w:r>
    </w:p>
    <w:p>
      <w:pPr>
        <w:spacing w:after="0" w:line="44"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The Company determined that the BARDA Contract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income (loss).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remaining available funding net of revenue earned was $36.1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Level 3: Unobservable inputs in which little or no market data exists and are therefore determined using estimates and assumptions developed by the Company, which reflect those that a market participant would use.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cash, restricted cash, accounts receivable, accounts payable and accrued liabilities approximate their respective fair values due to their relatively short maturities.</w:t>
      </w:r>
    </w:p>
    <w:p>
      <w:pPr>
        <w:spacing w:after="0" w:line="5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all assets measured at fair value on a recurring basis consisted of cash equivalents and money market funds, which were classified within Level 1 of the fair value hierarchy. The fair value of these financial instruments was measured based on quoted prices.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Other Balance Sheet Details</w:t>
      </w:r>
    </w:p>
    <w:p>
      <w:pPr>
        <w:spacing w:after="0" w:line="3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balances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60" w:type="dxa"/>
            <w:vAlign w:val="bottom"/>
            <w:gridSpan w:val="2"/>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equipment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2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Borders>
              <w:bottom w:val="single" w:sz="8" w:color="CFF0FC"/>
            </w:tcBorders>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(12,612)</w:t>
            </w:r>
          </w:p>
        </w:tc>
        <w:tc>
          <w:tcPr>
            <w:tcW w:w="4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(11,811)</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628"/>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-1362075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-1362075</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-933450</wp:posOffset>
            </wp:positionV>
            <wp:extent cx="514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-916305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-933450</wp:posOffset>
            </wp:positionV>
            <wp:extent cx="514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$0.8 million for the three months ended March 31, 2025 and $0.9 million for the three months ended March 31, 2024.</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6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Cystic Fibrosis Foundation liability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Vinbiocare contractual liabilities</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Legal accrual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research and development expenses</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2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30,559</w:t>
            </w:r>
          </w:p>
        </w:tc>
        <w:tc>
          <w:tcPr>
            <w:tcW w:w="66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-170815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unaudited condensed consolidated balance sheets that sum to the total of the same such amounts shown in the unaudited condensed consolidated statement of cash flows as of March 31, 2025 and 2024:</w:t>
      </w:r>
    </w:p>
    <w:p>
      <w:pPr>
        <w:spacing w:after="0" w:line="169" w:lineRule="exact"/>
        <w:rPr>
          <w:sz w:val="20"/>
          <w:szCs w:val="20"/>
          <w:color w:val="auto"/>
        </w:rPr>
      </w:pPr>
    </w:p>
    <w:tbl>
      <w:tblPr>
        <w:tblLayout w:type="fixed"/>
        <w:tblInd w:w="1640" w:type="dxa"/>
        <w:tblCellMar>
          <w:top w:w="0" w:type="dxa"/>
          <w:left w:w="0" w:type="dxa"/>
          <w:bottom w:w="0" w:type="dxa"/>
          <w:right w:w="0" w:type="dxa"/>
        </w:tblCellMar>
      </w:tblPr>
      <w:tr>
        <w:trPr>
          <w:trHeight w:val="17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216,948</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288,396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273,833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345,281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-170815</wp:posOffset>
            </wp:positionV>
            <wp:extent cx="431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Restricted cash includes collateral pledged and held in the Company’s securities accounts pursuant to a security agreement with Wells Fargo Bank, National Association (“Wells Fargo”) (Note 5). As of March 31, 2025, such collateral amounted to $55.0 million.</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Restricted cash also includes cash required to be set aside as security for lease payments and to maintain a letter of credit for the benefit of the landlord of the Company’s offices. As of March 31, 2025 and 2024, the Company had restricted cash of $1.9 million in conjunction with property leases in San Diego, California, and such restriction is expected to be removed at the end of the lease term. As of March 31, 2025, non-current restricted cash also includes $16.5 million related to the Wells Fargo Loan (Note 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Company’s wholly-owned subsidiary, Arcturus Therapeutics, Inc. (“Arcturus Therapeutics”) entered into a credit agreement with Wells Fargo Bank on April 21, 2023, and amended on June 26, 2024, whereby Wells Fargo will make a $50.0 million revolving credit line available to the Company (the “Loan”) and each draw on the Loan evidenced by a revolving line of credit note (the “Note”).</w:t>
      </w:r>
    </w:p>
    <w:p>
      <w:pPr>
        <w:spacing w:after="0" w:line="6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term of the agreement was originally two years, with an option for one-year renewals subject to Wells Fargo approval and Arcturus Therapeutics furnishing to Wells Fargo a non-refundable commitment fee equal to 0.25% of the Loan amount for each such renewal. There is no penalty for terminating the facility prior to the maturity date of the Note. As collateral, the Company has agreed to pledge $55.0 million in cash to be held in the Company’s securities accounts with Wells Fargo Securities, LLC, an affiliate of Wells Fargo, pursuant to a security agreement. In June 2024, Arcturus Therapeutics and Wells Fargo entered into an amendment to the Note,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180"/>
        <w:spacing w:after="0" w:line="282" w:lineRule="auto"/>
        <w:rPr>
          <w:sz w:val="20"/>
          <w:szCs w:val="20"/>
          <w:color w:val="auto"/>
        </w:rPr>
      </w:pPr>
      <w:r>
        <w:rPr>
          <w:rFonts w:ascii="Times New Roman" w:cs="Times New Roman" w:eastAsia="Times New Roman" w:hAnsi="Times New Roman"/>
          <w:sz w:val="18"/>
          <w:szCs w:val="18"/>
          <w:color w:val="auto"/>
        </w:rPr>
        <w:t>whereby the term of the Note was extended by one year to April 2026. In March 2025, the Company drew down $15.0 million from the Loan, which was subsequently repaid in April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per Share</w:t>
      </w:r>
    </w:p>
    <w:p>
      <w:pPr>
        <w:spacing w:after="0" w:line="11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calculation of diluted net loss per share as they were anti-dilutive for the three months ended March 31, 2025 and 2024 totaled 0.5 million and 1.4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Agreement</w:t>
      </w:r>
    </w:p>
    <w:p>
      <w:pPr>
        <w:spacing w:after="0" w:line="78"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On December 23, 2022, the Company entered into a Controlled Equity Offering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Sales Agreement, which was amended on August 7, 2023 (as amended, the “Sales Agreement”) with Cantor Fitzgerald &amp; Co. (“Cantor”),Wells Fargo Securities, LLC (“Wells Fargo Securities”), and William Blair &amp; Company, L.L.C. (“William Blair”) relating to shares of the Company's common stock. In accordance with the terms of the Sales Agreement, the Company may offer and sell shares of its common stock having an aggregate offering price of up to $200,000,000 from time to time through Cantor, Wells Fargo Securities, or William Blair, each acting as the Company's sales agent. During the period ended March 31, 2025 the Company did not offer or sell any shares of common stock pursuant to the Sales Agreement.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 Expense</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June 2024 at the Company’s 2024 Annual Meeting of Stockholders (the "2024 Annual Meeting"), the stockholders of the Company approved an amendment to the Company’s 2019 Omnibus Equity Incentive Plan (as amended, the “2019 Plan”) which, among other things, increased the aggregate number of shares authorized for use in making awards to eligible persons under the 2019 Plan by 2,000,000 shares, for a total of up to 10,750,000 shares available for issuance. As of March 31, 2025, a total of 1,177,945 shares remain available for future issuance under the 2019 Plan, subject to the terms of the 2019 Plan.</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Company adopted the 2021 Inducement Equity Incentive Plan which covers the award of up to 1,000,000 shares of common stock (the “2021 Plan”) effective as of October 15, 2021. Approval of the Company’s stockholders is not required as a condition to the effectiveness of the 2021 Plan for so long as the plan is in compliance with applicable Nasdaq inducement plan rules. In April 2022, the compensation committee of the Company’s board of directors approved a proposal to reduce the total number of shares available for future issuance under the 2021 Plan to 130,000. As of March 31, 2025, a total of 127,419 shares remain available for future issuance under the 2021 Plan, subject to the terms of the 2021 Plan.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Share-Based Compensation</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included in the Company’s condensed consolidated statements of operations and comprehensive loss for the three months ended March 31, 2025 and 2024 was as follows: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3,744</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8"/>
              </w:rPr>
              <w:t>2,918</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8"/>
              </w:rPr>
              <w:t>6,662</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rate is due to federal and state income tax expense offset by valuation allowance on the Company's deferred tax assets.</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recorded no income tax expense and $0.4 million of income tax expense, respectively. No tax benefit was provided for losses incurred in the United States because those losses are offset by a full valuation allowance.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Cystic Fibrosis Foundation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ind w:right="120" w:firstLine="578"/>
        <w:spacing w:after="0" w:line="256" w:lineRule="auto"/>
        <w:rPr>
          <w:sz w:val="20"/>
          <w:szCs w:val="20"/>
          <w:color w:val="auto"/>
        </w:rPr>
      </w:pPr>
      <w:r>
        <w:rPr>
          <w:rFonts w:ascii="Times New Roman" w:cs="Times New Roman" w:eastAsia="Times New Roman" w:hAnsi="Times New Roman"/>
          <w:sz w:val="18"/>
          <w:szCs w:val="18"/>
          <w:color w:val="auto"/>
        </w:rPr>
        <w:t>On September 25, 2023, the Company amended its Development Program Letter Agreement, dated May 16, 2017 and as amended July 13, 2018 and August 1, 2019, with the Cystic Fibrosis Foundation (“CFF”). Pursuant to the amendment, (i) CFF increased the amount it will award to advance LUNAR-CF to $24.6 million from approximately $15.6 million, and (ii) the Company agreed to incur at least $15.0 million toward activities under the research plan. During the fourth quarter of 2023, the Company received the full payment from CFF related to the amendment. For the three months ended March 31, 2025 and 2024, the Company recognized a contra expense of $0.4 million and no contra expense, respectively, related to CFF. As of March 31, 2025 and December 31, 2024, $7.1 million and $7.4 million, respectively, remained in accrued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October 2017, the Company entered into a non-cancellable operating lease agreement for office space adjacent to its previously occupied headquarters. The commencement of the lease began in March 2018 and the lease extends for approximately 84 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 and received a tenant improvement allowance of $0.1 million. In March 2024, the Company negotiated with the lessor to extend the lease through March 2027.</w:t>
      </w:r>
    </w:p>
    <w:p>
      <w:pPr>
        <w:spacing w:after="0" w:line="7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entered into an irrevocable standby letter of credit with the landlord for a security deposit of $0.1 million upon executing the lease which is included (along with additional funds required to secure the letter of credit) in the balance of non-current restricted cash.</w:t>
      </w:r>
    </w:p>
    <w:p>
      <w:pPr>
        <w:spacing w:after="0" w:line="5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February 2020, the Company entered into a second non-cancellable operating lease agreement for office space near its current headquarters. The lease extended for 13 months from the commencement date and included a right to extend the lease for one twelve-month period. In February 2021, the Company opted to extend the lease through March 2025 to coincide with the lease term of the Company’s headquarters. In January 2024, the Company vacated this office space with no intention of operating out of the location in the future. The Company was still engaged in the lease for the property and obligated to make the remaining lease payments through March 31, 2025, and therefore recorded an impairment loss in the amount of $1.3 million during the three months ended March 31, 2024, as there was no future economic benefit from the lease. In July 2024, the Company terminated the existing lease agreement, in accordance with its terms, thereby ending their contractual obligation to pay for the premises.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September 2021, the Company entered into a third non-cancellable lease agreement for office, research and development, engineering and laboratory space near its current headquarters, and such lease term commenced during the second quarter of 2022. The initial term of this lease extends ten years and eight months 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$0.3 million to $0.4 million 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 million upon executing the lease which is included (along with additional funds required to secure the letter of credit) in the balance of non-current restricted cash.</w:t>
      </w:r>
    </w:p>
    <w:p>
      <w:pPr>
        <w:spacing w:after="0" w:line="8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Operating lease right-of-use asset and liability on the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2025, the remaining payments of the operating lease liability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Remaining Lease Payments</w:t>
            </w:r>
          </w:p>
        </w:tc>
        <w:tc>
          <w:tcPr>
            <w:tcW w:w="740" w:type="dxa"/>
            <w:vAlign w:val="bottom"/>
            <w:gridSpan w:val="2"/>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(remainder of year)</w:t>
            </w:r>
          </w:p>
        </w:tc>
        <w:tc>
          <w:tcPr>
            <w:tcW w:w="3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3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3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32,566</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(4,908)</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8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39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remaining lease term</w:t>
            </w:r>
          </w:p>
        </w:tc>
        <w:tc>
          <w:tcPr>
            <w:tcW w:w="38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top w:val="single" w:sz="8" w:color="CFF0FC"/>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56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8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-1207770</wp:posOffset>
            </wp:positionV>
            <wp:extent cx="1117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-1190625</wp:posOffset>
            </wp:positionV>
            <wp:extent cx="111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Operating lease costs consist of the fixed lease payments included in operating lease liability and are recorded on a straight-line basis over the lease terms. Operating lease costs were $1.3 million for the three months ended March 31, 2025 and $1.4 million for the three months ended March 31, 2024,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 Information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messenger RNA medicines. The determination of a single business segment is consistent with the consolidated financial information regularly provided to the Company’s chief operating decision maker (“CODM”). The Company’s CODM is its Chief Executive Officer, who reviews and evaluates consolidated net (loss) income for purposes of assessing performance, making operating decisions, allocating resources, and planning and forecasting for future periods. The CODM does not evaluate the operating segment using asset or liability information.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segment loss and income, and significant segment expenses: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78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29,382</w:t>
            </w:r>
          </w:p>
        </w:tc>
        <w:tc>
          <w:tcPr>
            <w:tcW w:w="2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LUNAR-COVID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LUNAR-OTC</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BARDA</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LUNAR-CF, net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Early-stage programs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Discovery technologies</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Facilities and equipment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(3,595)</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(14,076)</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(26,817)</w:t>
            </w:r>
          </w:p>
        </w:tc>
        <w:tc>
          <w:tcPr>
            <w:tcW w:w="0" w:type="dxa"/>
            <w:vAlign w:val="bottom"/>
          </w:tcPr>
          <w:p>
            <w:pPr>
              <w:spacing w:after="0"/>
              <w:rPr>
                <w:sz w:val="1"/>
                <w:szCs w:val="1"/>
                <w:color w:val="auto"/>
              </w:rPr>
            </w:pPr>
          </w:p>
        </w:tc>
      </w:tr>
      <w:tr>
        <w:trPr>
          <w:trHeight w:val="20"/>
        </w:trPr>
        <w:tc>
          <w:tcPr>
            <w:tcW w:w="78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-590550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Primarily includes interest income.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Related Party Transactions</w:t>
      </w:r>
    </w:p>
    <w:p>
      <w:pPr>
        <w:spacing w:after="0" w:line="33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“Note 1, Joint Ventures, Equity Method Investments and Variable Interest Entities” for specific details surrounding the Company’s agreement with Axcelead to form the joint venture entity, ARCALIS,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3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is a discussion of the financial condition and results of operations of Arcturus Therapeutics Holdings Inc. for the three-month period ended March 31, 2025.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10-K for the year ended December 31, 2024 (the “2024 Annual Report”), which was filed with the U.S. Securities and Exchange Commission (the “Commission”) on March 6, 2025. Unless otherwise defined herein, capitalized words and expressions used herein shall have the same meanings ascribed to them in the 2024 Annual Report.</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This report also includes certain statements based solely on information, reports and studies provided by or conducted by Seqirus, Inc. and Meiji Holdings Co., Ltd or their respective affiliates.</w:t>
      </w:r>
    </w:p>
    <w:p>
      <w:pPr>
        <w:spacing w:after="0" w:line="72" w:lineRule="exact"/>
        <w:rPr>
          <w:sz w:val="20"/>
          <w:szCs w:val="20"/>
          <w:color w:val="auto"/>
        </w:rPr>
      </w:pPr>
    </w:p>
    <w:p>
      <w:pPr>
        <w:ind w:right="2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are a messenger RNA medicines company focused on the development of infectious disease vaccines and opportunities within liver and respiratory rare diseases. We developed the world’s first approved self-amplifying messenger RNA (sa-mRNA) vaccine, KOSTAIVE®(“KOSTAIVE”). KOSTAIVE achieved approval in Japan in 2023 as a vaccine against COVID-19. Sales of KOSTAIVE began in Japan in October 2024, marking our transition to a commercial stage company.</w:t>
      </w:r>
    </w:p>
    <w:p>
      <w:pPr>
        <w:spacing w:after="0" w:line="7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have several key platform technologies that we leverage to develop and advance a pipeline of mRNA-based vaccines and therapeutics for infectious diseases and for rare genetic disorders with significant unmet medical needs. Current mRNA medicines have two critical components: the messenger RNA (“mRNA”) constructs and the lipid nanoparticles (“LNP”) which help deliver the mRNA to disease-relevant target tissues. We have extensive expertise in the design and optimization of mRNA constructs, including with respect to a type of mRNA technology known as self-amplifying mRNA (sa-mRNA). Our proprietary self-amplifying mRNA technology platform, or STARR® (“STARR”), has been demonstrated to induce a longer-lasting and broader humoral immune response at lower dose levels than conventional mRNA-based vaccines. Our proprietary LNP delivery system, LUNAR® (“LUNAR”), is intended to address the major hurdle in RNA drug development, namely the effective and safe delivery of RNA therapeutics to disease-relevant target tissues. LUNAR may enable multiple nucleic acid medicines. Finally, we have significant expertise and valuable know-how in the development and scalability of complex and robust manufacturing processes required to deliver the next generation of nucleic acid medicines.</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internal pipeline includes RNA therapeutic candidates to potentially treat ornithine transcarbamylase (OTC) deficiency and cystic fibrosis (CF), both rare diseases. Given current market conditions, we have made a strategic decision to streamline resources to focus on our mRNA therapeutics pipeline. In our vaccine program, we have partnered with Seqirus, Inc. (“CSL Seqirus”), a part of CSL Limited and one of the world’s leading influenza vaccine providers, on the development and commercialization of mRNA vaccines for COVID-19, influenza and certain other infectious diseases.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Vaccine Collaboration with CSL Seqirus</w:t>
      </w:r>
    </w:p>
    <w:p>
      <w:pPr>
        <w:spacing w:after="0" w:line="121"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In November 2022, we entered into a Collaboration and License Agreement (as amended, the “CSL Collaboration Agreement”) with Seqirus, Inc. (“CSL Seqirus”), a part of CSL Limited, and one of the world’s leading influenza vaccine providers, for global exclusive rights to research, develop, manufacture and commercialize self-amplifying mRNA vaccines against COVID-19, influenza and three other infectious diseases and global non-exclusive rights to pandemic pathogens.</w:t>
      </w:r>
    </w:p>
    <w:p>
      <w:pPr>
        <w:spacing w:after="0" w:line="7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In November 2023, KOSTAIVE received marketing authorization approval from the Japanese Ministry of Health, Labour and Welfare for use as a primary immunization and booster in Japan for adults 18 years and older. Commercial sales of KOSTAIVE began in Japan in October 2024 by Meiji Seika Pharma (“Meiji”), CSL Seqirus’ exclusive partner in Japan.</w:t>
      </w:r>
    </w:p>
    <w:p>
      <w:pPr>
        <w:spacing w:after="0" w:line="68"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KOSTAIVE® is the brand name approved in Japan and Europe for ARCT-154, which is the version of the sa-mRNA COVID vaccine encoding the ancestral strain of SARS-CoV-2, and for updated variant-specific versions of this vaccine. We may use KOSTAIVE or the specific internally generated name, such as ARCT-154, to identify the vaccine.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200" w:firstLine="576"/>
        <w:spacing w:after="0" w:line="261" w:lineRule="auto"/>
        <w:rPr>
          <w:sz w:val="20"/>
          <w:szCs w:val="20"/>
          <w:color w:val="auto"/>
        </w:rPr>
      </w:pPr>
      <w:r>
        <w:rPr>
          <w:rFonts w:ascii="Times New Roman" w:cs="Times New Roman" w:eastAsia="Times New Roman" w:hAnsi="Times New Roman"/>
          <w:sz w:val="18"/>
          <w:szCs w:val="18"/>
          <w:color w:val="auto"/>
        </w:rPr>
        <w:t>In January 2025, CSL Seqirus’ partner Meiji announced that it received approval for a partial amendment to the manufacturing and marketing approval of KOSTAIVE to include manufacturing sites in Japan. With this approval, Meiji and ARCALIS, Inc., Arcturus’ manufacturing joint venture in Japan, have been added as manufacturing sites. As a result, KOSTAIVE, with active pharmaceutical ingredients manufactured at such sites, may be shipped for commercial use in Japan.</w:t>
      </w:r>
    </w:p>
    <w:p>
      <w:pPr>
        <w:spacing w:after="0" w:line="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Approval of KOSTAIVE (ARCT-154) in Europe</w:t>
      </w:r>
    </w:p>
    <w:p>
      <w:pPr>
        <w:spacing w:after="0" w:line="119" w:lineRule="exact"/>
        <w:rPr>
          <w:sz w:val="20"/>
          <w:szCs w:val="20"/>
          <w:color w:val="auto"/>
        </w:rPr>
      </w:pPr>
    </w:p>
    <w:p>
      <w:pPr>
        <w:ind w:right="120" w:firstLine="562"/>
        <w:spacing w:after="0" w:line="254" w:lineRule="auto"/>
        <w:rPr>
          <w:sz w:val="20"/>
          <w:szCs w:val="20"/>
          <w:color w:val="auto"/>
        </w:rPr>
      </w:pPr>
      <w:r>
        <w:rPr>
          <w:rFonts w:ascii="Times New Roman" w:cs="Times New Roman" w:eastAsia="Times New Roman" w:hAnsi="Times New Roman"/>
          <w:sz w:val="18"/>
          <w:szCs w:val="18"/>
          <w:color w:val="auto"/>
        </w:rPr>
        <w:t>In February 2025, the European Commission granted marketing authorization for KOSTAIVE (ARCT-154) for individuals 18 years of age and older. The European Commission approval follows a positive opinion adopted by the Committee for Medicinal Products for Human Use (CHMP) of the European Medicines Agency (EMA) on December 12, 2024. The centralized marketing authorization of KOSTAIVE provided by the EC is valid in all 27 European Union (EU) member states and 3 additional European Economic Area (EEA) countries summarized here: Austria, Belgium, Bulgaria, Croatia, Republic of Cyprus, Czech Republic, Denmark, Estonia, Finland, France, Germany, Greece, Hungary, Iceland, Ireland, Italy, Latvia, Liechtenstein, Lithuania, Luxembourg, Malta, The Netherlands, Norway, Poland, Portugal, Romania, Slovakia, Slovenia, Spain and Sweden. The approval of KOSTAIVE in Europe, as well as the approval in Japan, are significant milestones, which further validate our LUNAR and STARR platforms, as well as sa-mRNA more generally as a meaningful modality.</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Clinical Studies of KOSTAIVE (COVID-19 vaccine)</w:t>
      </w:r>
    </w:p>
    <w:p>
      <w:pPr>
        <w:spacing w:after="0" w:line="121" w:lineRule="exact"/>
        <w:rPr>
          <w:sz w:val="20"/>
          <w:szCs w:val="20"/>
          <w:color w:val="auto"/>
        </w:rPr>
      </w:pPr>
    </w:p>
    <w:p>
      <w:pPr>
        <w:ind w:right="20" w:firstLine="576"/>
        <w:spacing w:after="0" w:line="282" w:lineRule="auto"/>
        <w:rPr>
          <w:sz w:val="20"/>
          <w:szCs w:val="20"/>
          <w:color w:val="auto"/>
        </w:rPr>
      </w:pPr>
      <w:r>
        <w:rPr>
          <w:rFonts w:ascii="Times New Roman" w:cs="Times New Roman" w:eastAsia="Times New Roman" w:hAnsi="Times New Roman"/>
          <w:sz w:val="18"/>
          <w:szCs w:val="18"/>
          <w:color w:val="auto"/>
        </w:rPr>
        <w:t>In connection with our collaboration with CSL Seqirus, we continue to collect data from various ongoing studies. See the 2024 Annual Report for a description of studies.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 KOSTAIVE Publications</w:t>
      </w:r>
    </w:p>
    <w:p>
      <w:pPr>
        <w:spacing w:after="0" w:line="121" w:lineRule="exact"/>
        <w:rPr>
          <w:sz w:val="20"/>
          <w:szCs w:val="20"/>
          <w:color w:val="auto"/>
        </w:rPr>
      </w:pPr>
    </w:p>
    <w:p>
      <w:pPr>
        <w:ind w:firstLine="576"/>
        <w:spacing w:after="0" w:line="255" w:lineRule="auto"/>
        <w:rPr>
          <w:sz w:val="20"/>
          <w:szCs w:val="20"/>
          <w:color w:val="auto"/>
        </w:rPr>
      </w:pPr>
      <w:r>
        <w:rPr>
          <w:rFonts w:ascii="Times New Roman" w:cs="Times New Roman" w:eastAsia="Times New Roman" w:hAnsi="Times New Roman"/>
          <w:sz w:val="18"/>
          <w:szCs w:val="18"/>
          <w:color w:val="auto"/>
        </w:rPr>
        <w:t>In April 2025, we published a comprehensive analysis of safety data for KOSTAIVE®, with a 12-month follow-up from the pivotal clinical study in Vietnam (NCT05012943), which had 17,582 participants who received at least one dose of the study vaccine (https://doi.org/10.1080/14760584.2025.2487542). The study confirmed the favorable reactogenicity profile. Acceptable tolerability of ARCT-154 was also observed in older participants and in those liable to severe consequences of COVID-19 due to underlying medical conditions. ARCT-154 is the version of KOSTAIVE encoding the ancestral strain of the COVID-19 virus. Long-term follow-up has not revealed any safety concerns, with no reports of myocarditis or pericarditis. No serious consequences occurred in several pregnancies reported after vaccination. Long-term data from this large trial suggest that the sa-mRNA COVID-19 vaccine (ARCT-154; KOSTAIVE) is safe and well-tolerated.</w:t>
      </w:r>
    </w:p>
    <w:p>
      <w:pPr>
        <w:spacing w:after="0" w:line="81" w:lineRule="exact"/>
        <w:rPr>
          <w:sz w:val="20"/>
          <w:szCs w:val="20"/>
          <w:color w:val="auto"/>
        </w:rPr>
      </w:pPr>
    </w:p>
    <w:p>
      <w:pPr>
        <w:ind w:right="20" w:firstLine="576"/>
        <w:spacing w:after="0" w:line="255" w:lineRule="auto"/>
        <w:rPr>
          <w:sz w:val="20"/>
          <w:szCs w:val="20"/>
          <w:color w:val="auto"/>
        </w:rPr>
      </w:pPr>
      <w:r>
        <w:rPr>
          <w:rFonts w:ascii="Times New Roman" w:cs="Times New Roman" w:eastAsia="Times New Roman" w:hAnsi="Times New Roman"/>
          <w:sz w:val="18"/>
          <w:szCs w:val="18"/>
          <w:color w:val="auto"/>
        </w:rPr>
        <w:t>In April 2025, our Japanese partner, Meiji, published an analysis characterizing the distribution and clearance of ARCT-154 encoded spike protein and non-structural proteins nsP1, nsP2, nsP3 and nsP4 in the lymph nodes and injection-site muscle in mice following a single vaccination. The study showed the encoded spike protein reached its highest level approximately three days after vaccination and quickly disappeared from the injection site muscle. The spike protein levels also peaked at an early time point in the lymph nodes, it remained detectable 28 days after the vaccination and disappeared by 44 days after the vaccination. Expression of nsP1, nsP2 and nsP4 was observed in the injected muscle and/or the lymph nodes for up to 15 days post-vaccination. The data indicates that the extended expression of spike proteins in lymph nodes may be responsible for the induction of higher and prolonged levels of neutralizing antibodies. The study also confirmed that the self-replication is limited over time.</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Seasonal Influenza Program Updates</w:t>
      </w:r>
    </w:p>
    <w:p>
      <w:pPr>
        <w:spacing w:after="0" w:line="121" w:lineRule="exact"/>
        <w:rPr>
          <w:sz w:val="20"/>
          <w:szCs w:val="20"/>
          <w:color w:val="auto"/>
        </w:rPr>
      </w:pPr>
    </w:p>
    <w:p>
      <w:pPr>
        <w:ind w:right="220" w:firstLine="562"/>
        <w:spacing w:after="0" w:line="282" w:lineRule="auto"/>
        <w:rPr>
          <w:sz w:val="20"/>
          <w:szCs w:val="20"/>
          <w:color w:val="auto"/>
        </w:rPr>
      </w:pPr>
      <w:r>
        <w:rPr>
          <w:rFonts w:ascii="Times New Roman" w:cs="Times New Roman" w:eastAsia="Times New Roman" w:hAnsi="Times New Roman"/>
          <w:sz w:val="18"/>
          <w:szCs w:val="18"/>
          <w:color w:val="auto"/>
        </w:rPr>
        <w:t>A Phase 1 dose-finding safety and immunogenicity study was initiated in January 2024 in Australia and completed recruitment of 132 young and older participants. The immunological testing and assessment of the study results are ongoing.</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Pandemic Avian Influenza Program (H5N1 Influenza) Updates</w:t>
      </w:r>
    </w:p>
    <w:p>
      <w:pPr>
        <w:spacing w:after="0" w:line="121" w:lineRule="exact"/>
        <w:rPr>
          <w:sz w:val="20"/>
          <w:szCs w:val="20"/>
          <w:color w:val="auto"/>
        </w:rPr>
      </w:pPr>
    </w:p>
    <w:p>
      <w:pPr>
        <w:ind w:right="380" w:firstLine="562"/>
        <w:spacing w:after="0" w:line="282" w:lineRule="auto"/>
        <w:rPr>
          <w:sz w:val="20"/>
          <w:szCs w:val="20"/>
          <w:color w:val="auto"/>
        </w:rPr>
      </w:pPr>
      <w:r>
        <w:rPr>
          <w:rFonts w:ascii="Times New Roman" w:cs="Times New Roman" w:eastAsia="Times New Roman" w:hAnsi="Times New Roman"/>
          <w:sz w:val="18"/>
          <w:szCs w:val="18"/>
          <w:color w:val="auto"/>
        </w:rPr>
        <w:t>Our LUNAR-H5N1 program, which is part of the CSL Collaboration Agreement, continues to progress under the award from BARDA that we obtained in 2022 to advance through Phase 1 a vaccine to protect against disease caused by H5N1 highly-pathogenic avian influenza.</w:t>
      </w:r>
    </w:p>
    <w:p>
      <w:pPr>
        <w:spacing w:after="0" w:line="54" w:lineRule="exact"/>
        <w:rPr>
          <w:sz w:val="20"/>
          <w:szCs w:val="20"/>
          <w:color w:val="auto"/>
        </w:rPr>
      </w:pPr>
    </w:p>
    <w:p>
      <w:pPr>
        <w:ind w:right="180" w:firstLine="562"/>
        <w:spacing w:after="0" w:line="256" w:lineRule="auto"/>
        <w:rPr>
          <w:sz w:val="20"/>
          <w:szCs w:val="20"/>
          <w:color w:val="auto"/>
        </w:rPr>
      </w:pPr>
      <w:r>
        <w:rPr>
          <w:rFonts w:ascii="Times New Roman" w:cs="Times New Roman" w:eastAsia="Times New Roman" w:hAnsi="Times New Roman"/>
          <w:sz w:val="18"/>
          <w:szCs w:val="18"/>
          <w:color w:val="auto"/>
        </w:rPr>
        <w:t>The Phase 1 study of ARCT-2304, an sa-mRNA vaccine candidate, also known as LUNAR-H5N1, initiated dosing in December 2024 and continues to advance. We recently completed the recruitment of 212 adults (132 participants 18-59 years old; 80 participants 60+ years old) for the randomized placebo-controlled Phase 1 trial (NCT06602531), which is being conducted at multiple sites in the U.S. The primary objective of this initial clinical trial is to evaluate the safety and immune responses of three different dose levels and two different vaccination schedules of the ARCT-2304 vaccine. Immune responses are measured by hemagglutination inhibition (HAI), virus microneutralization (MN) and neuraminidase enzyme-linked lectin assays (ELLA). The recruitment in this study was completed in April 2025.</w:t>
      </w:r>
    </w:p>
    <w:p>
      <w:pPr>
        <w:spacing w:after="0" w:line="79" w:lineRule="exact"/>
        <w:rPr>
          <w:sz w:val="20"/>
          <w:szCs w:val="20"/>
          <w:color w:val="auto"/>
        </w:rPr>
      </w:pPr>
    </w:p>
    <w:p>
      <w:pPr>
        <w:ind w:right="200" w:firstLine="562"/>
        <w:spacing w:after="0" w:line="261" w:lineRule="auto"/>
        <w:rPr>
          <w:sz w:val="20"/>
          <w:szCs w:val="20"/>
          <w:color w:val="auto"/>
        </w:rPr>
      </w:pPr>
      <w:r>
        <w:rPr>
          <w:rFonts w:ascii="Times New Roman" w:cs="Times New Roman" w:eastAsia="Times New Roman" w:hAnsi="Times New Roman"/>
          <w:sz w:val="18"/>
          <w:szCs w:val="18"/>
          <w:color w:val="auto"/>
        </w:rPr>
        <w:t>In April 2025, the U.S. Food and Drug Administration (“FDA”) granted Fast Track Designation for ARCT-2304. This designation recognizes the potential of ARCT-2304 as an innovative approach to address unmet medical needs for the prevention of disease caused by pandemic influenza A virus H5N1, a significant global health risk. Fast Track Designation from the FDA is granted to vaccines intended to prevent serious conditions caused by infectious diseases. The designation is designed to expedite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440"/>
        <w:spacing w:after="0" w:line="282" w:lineRule="auto"/>
        <w:rPr>
          <w:sz w:val="20"/>
          <w:szCs w:val="20"/>
          <w:color w:val="auto"/>
        </w:rPr>
      </w:pPr>
      <w:r>
        <w:rPr>
          <w:rFonts w:ascii="Times New Roman" w:cs="Times New Roman" w:eastAsia="Times New Roman" w:hAnsi="Times New Roman"/>
          <w:sz w:val="18"/>
          <w:szCs w:val="18"/>
          <w:color w:val="auto"/>
        </w:rPr>
        <w:t>development and review process, providing several benefits, including enhanced communication with the FDA, eligibility for priority review, and the possibility of a rolling review.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Updates on Arcturus-Owned mRNA Therapeutic Development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172200" cy="1525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0" w:right="120" w:hanging="372"/>
        <w:spacing w:after="0" w:line="25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LUNAR-CF/ARCT-032</w:t>
      </w:r>
      <w:r>
        <w:rPr>
          <w:rFonts w:ascii="Times New Roman" w:cs="Times New Roman" w:eastAsia="Times New Roman" w:hAnsi="Times New Roman"/>
          <w:sz w:val="18"/>
          <w:szCs w:val="18"/>
          <w:color w:val="auto"/>
        </w:rPr>
        <w:t>. Our program for cystic fibrosis is being supported in part by the Cystic Fibrosis Foundation (“CFF”). In 2023, we initiated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successfully completed a safety and tolerability Phase 1 single ascending dose study of ARCT-032 (LUNAR-CF), our mRNA therapeutic candidate for cystic fibrosis (CF). Thirty-two healthy participants (eight subjects in each of four dose cohorts) received a single inhaled dose of ARCT-032. A subsequent protocol amendment to transition to a safety and tolerability Phase 1b clinical study of ARCT-032 in adults with CF received regulatory approval in August 2023 and completed dosing and follow-up visits for seven CF participants in August 2024, with each CF participant having received two administrations of ARCT-032 separated by two days.</w:t>
      </w:r>
    </w:p>
    <w:p>
      <w:pPr>
        <w:spacing w:after="0" w:line="78" w:lineRule="exact"/>
        <w:rPr>
          <w:sz w:val="20"/>
          <w:szCs w:val="20"/>
          <w:color w:val="auto"/>
        </w:rPr>
      </w:pPr>
    </w:p>
    <w:p>
      <w:pPr>
        <w:ind w:left="1140" w:right="80" w:hanging="383"/>
        <w:spacing w:after="0" w:line="258"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advancing enrollment in our ARCT-032 Phase 2 multiple ascending dose study to identify a safe and effective dose in Class I (null) and other CF participants who do not benefit from CFTR modulators. The U.S. IND including Phase 2 protocol was allowed to proceed in August 2024. We initiated dosing in the study in US in December 2024. This study is supported by safety and tolerability data collected in healthy volunteers (N = 32) and the two-administration Phase 1b study in CF adults. Each participant in the Phase 2 CF study (NCT06747858) is expected to receive daily treatments of ARCT-032 over a period of 28 days.</w:t>
      </w:r>
    </w:p>
    <w:p>
      <w:pPr>
        <w:spacing w:after="0" w:line="71" w:lineRule="exact"/>
        <w:rPr>
          <w:rFonts w:ascii="Times New Roman" w:cs="Times New Roman" w:eastAsia="Times New Roman" w:hAnsi="Times New Roman"/>
          <w:sz w:val="18"/>
          <w:szCs w:val="18"/>
          <w:color w:val="auto"/>
        </w:rPr>
      </w:pPr>
    </w:p>
    <w:p>
      <w:pPr>
        <w:ind w:left="380" w:right="20" w:hanging="372"/>
        <w:spacing w:after="0" w:line="28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LUNAR-OTC/ARCT-810</w:t>
      </w:r>
      <w:r>
        <w:rPr>
          <w:rFonts w:ascii="Times New Roman" w:cs="Times New Roman" w:eastAsia="Times New Roman" w:hAnsi="Times New Roman"/>
          <w:sz w:val="18"/>
          <w:szCs w:val="18"/>
          <w:color w:val="auto"/>
        </w:rPr>
        <w:t>. The LUNAR-OTC development program addresses ornithine transcarbamylase (OTC) deficiency, a rare, life-threatening,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 disease caused by mutations in the OTC gene that lead to dysfunctional or deficient OTC.</w:t>
      </w:r>
    </w:p>
    <w:p>
      <w:pPr>
        <w:spacing w:after="0" w:line="50" w:lineRule="exact"/>
        <w:rPr>
          <w:rFonts w:ascii="Times New Roman" w:cs="Times New Roman" w:eastAsia="Times New Roman" w:hAnsi="Times New Roman"/>
          <w:sz w:val="18"/>
          <w:szCs w:val="18"/>
          <w:color w:val="auto"/>
        </w:rPr>
      </w:pPr>
    </w:p>
    <w:p>
      <w:pPr>
        <w:ind w:left="1140" w:right="140" w:hanging="383"/>
        <w:spacing w:after="0" w:line="258" w:lineRule="auto"/>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expanded the Phase 2 clinical program of ARCT-810 to the U.S. with an open-label, multiple-dose study to evaluate pharmacodynamics and safety in adult and adolescent patients requiring clinical management for OTC-deficiency. The first OTC deficient participant receiving 0.5mg/kg of ARCT-810 initiated dosing in December 2024. We continue to enroll participants in the study. Each participant is expected to receive five intravenous infusions administered over two months. We previously completed the dosing phase (N=8; 0.3 mg/kg) of a placebo-controlled European Phase 2 double-blind study enrolling OTC deficient individuals.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2024. Our historical results of operations and the year-to-year comparisons of our results of operations that follow are not necessarily indicative of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and royalties on future sales. The following table summarizes our total revenues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31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20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29,382</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38,012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(8,630)</w:t>
            </w:r>
          </w:p>
        </w:tc>
        <w:tc>
          <w:tcPr>
            <w:tcW w:w="6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629"/>
        </w:trPr>
        <w:tc>
          <w:tcPr>
            <w:tcW w:w="4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-933450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-916305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-933450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-916305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Revenue decreased by $8.6 million during the three months ended March 31, 2025, as compared to the three months ended March 31, 2024. The decrease during the three months ended March 31, 2025 primarily relates to a $6.9 million decrease in revenue related to the CSL Collaboration Agreement, primarily caused by smaller milestone achievements and less amortization as KOSTAIVE transitions from a development program to the commercial phase. The remaining decrease is due to a $1.7 million decrease in revenue related to the BARDA Contract as well other revenue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and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68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Borders>
              <w:top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(18,680)</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(3,536)</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(22,216)</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total research and development expenses by category: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2820" w:type="dxa"/>
            <w:vAlign w:val="bottom"/>
            <w:tcBorders>
              <w:bottom w:val="single" w:sz="8" w:color="auto"/>
            </w:tcBorders>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LUNAR-COVID</w:t>
            </w:r>
          </w:p>
        </w:tc>
        <w:tc>
          <w:tcPr>
            <w:tcW w:w="960" w:type="dxa"/>
            <w:vAlign w:val="bottom"/>
            <w:shd w:val="clear" w:color="auto" w:fill="CFF0FC"/>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5,809</w:t>
            </w:r>
          </w:p>
        </w:tc>
        <w:tc>
          <w:tcPr>
            <w:tcW w:w="1360" w:type="dxa"/>
            <w:vAlign w:val="bottom"/>
            <w:gridSpan w:val="2"/>
            <w:shd w:val="clear" w:color="auto" w:fill="CFF0FC"/>
          </w:tcPr>
          <w:p>
            <w:pPr>
              <w:jc w:val="right"/>
              <w:ind w:right="9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20,730</w:t>
            </w:r>
          </w:p>
        </w:tc>
        <w:tc>
          <w:tcPr>
            <w:tcW w:w="1240" w:type="dxa"/>
            <w:vAlign w:val="bottom"/>
            <w:gridSpan w:val="2"/>
            <w:shd w:val="clear" w:color="auto" w:fill="CFF0FC"/>
          </w:tcPr>
          <w:p>
            <w:pPr>
              <w:jc w:val="right"/>
              <w:ind w:right="8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(14,921)</w:t>
            </w:r>
          </w:p>
        </w:tc>
        <w:tc>
          <w:tcPr>
            <w:tcW w:w="12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4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LUNAR-OTC</w:t>
            </w:r>
          </w:p>
        </w:tc>
        <w:tc>
          <w:tcPr>
            <w:tcW w:w="9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1,576</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BARDA</w:t>
            </w:r>
          </w:p>
        </w:tc>
        <w:tc>
          <w:tcPr>
            <w:tcW w:w="9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2,481</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3,235</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(754)</w:t>
            </w:r>
          </w:p>
        </w:tc>
        <w:tc>
          <w:tcPr>
            <w:tcW w:w="12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4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LUNAR-CF, net</w:t>
            </w:r>
          </w:p>
        </w:tc>
        <w:tc>
          <w:tcPr>
            <w:tcW w:w="9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7,148</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5,953</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Early-stage programs</w:t>
            </w:r>
          </w:p>
        </w:tc>
        <w:tc>
          <w:tcPr>
            <w:tcW w:w="9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6,168</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(6,168)</w:t>
            </w:r>
          </w:p>
        </w:tc>
        <w:tc>
          <w:tcPr>
            <w:tcW w:w="126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Discovery technologies</w:t>
            </w:r>
          </w:p>
        </w:tc>
        <w:tc>
          <w:tcPr>
            <w:tcW w:w="9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2,187</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997</w:t>
            </w: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9"/>
        </w:trPr>
        <w:tc>
          <w:tcPr>
            <w:tcW w:w="422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Payroll and benefits</w:t>
            </w:r>
          </w:p>
        </w:tc>
        <w:tc>
          <w:tcPr>
            <w:tcW w:w="9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13,043</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15,517</w:t>
            </w: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(2,474)</w:t>
            </w:r>
          </w:p>
        </w:tc>
        <w:tc>
          <w:tcPr>
            <w:tcW w:w="126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42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Facilities and equipment</w:t>
            </w:r>
          </w:p>
        </w:tc>
        <w:tc>
          <w:tcPr>
            <w:tcW w:w="9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2,649</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4,155</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126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2"/>
        </w:trPr>
        <w:tc>
          <w:tcPr>
            <w:tcW w:w="4220" w:type="dxa"/>
            <w:vAlign w:val="bottom"/>
            <w:tcBorders>
              <w:bottom w:val="single" w:sz="8" w:color="CFF0FC"/>
            </w:tcBorders>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research and development expenses, net</w:t>
            </w:r>
          </w:p>
        </w:tc>
        <w:tc>
          <w:tcPr>
            <w:tcW w:w="960" w:type="dxa"/>
            <w:vAlign w:val="bottom"/>
            <w:tcBorders>
              <w:top w:val="single" w:sz="8" w:color="auto"/>
              <w:bottom w:val="single" w:sz="8" w:color="auto"/>
            </w:tcBorders>
            <w:shd w:val="clear" w:color="auto" w:fill="CFF0FC"/>
          </w:tcPr>
          <w:p>
            <w:pPr>
              <w:jc w:val="right"/>
              <w:ind w:right="8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34,893</w:t>
            </w:r>
          </w:p>
        </w:tc>
        <w:tc>
          <w:tcPr>
            <w:tcW w:w="2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top w:val="single" w:sz="8" w:color="auto"/>
              <w:bottom w:val="single" w:sz="8" w:color="auto"/>
            </w:tcBorders>
            <w:shd w:val="clear" w:color="auto" w:fill="CFF0FC"/>
          </w:tcPr>
          <w:p>
            <w:pPr>
              <w:jc w:val="right"/>
              <w:ind w:right="9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53,573</w:t>
            </w: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top w:val="single" w:sz="8" w:color="auto"/>
              <w:bottom w:val="single" w:sz="8" w:color="auto"/>
            </w:tcBorders>
            <w:shd w:val="clear" w:color="auto" w:fill="CFF0FC"/>
          </w:tcPr>
          <w:p>
            <w:pPr>
              <w:jc w:val="right"/>
              <w:ind w:right="8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7"/>
              </w:rPr>
              <w:t>(18,680)</w:t>
            </w:r>
          </w:p>
        </w:tc>
        <w:tc>
          <w:tcPr>
            <w:tcW w:w="22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Greater than 100%</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expenses were $34.9 million for the three months ended March 31, 2025, compared with $53.6 million for the three months ended March 31, 2024, primarily reflecting a decrease in manufacturing costs related to the LUNAR-COVID and LUNAR-FLU programs, offset by an increase in clinical and manufacturing costs related to the LUNAR-CF and LUNAR-OTC programs as we have shifted our focus to our clinical stage programs. The remaining decrease is primarily attributable to a decrease in payroll and benefits costs and a decrease in facilities and equipment costs. We expect that our research and development efforts and associated costs will continue to be substantial over the next several years as our pipeline progresses.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Early-stage programs represent programs that are in the pre-clinical or Phase 1 clinical stage and may be partnered or unpartnered, and primarily includes the LUNAR-FLU program which is partnered with CSL Seqirus. Discovery technologies represent our efforts to expand our product pipeline and are primarily related to pre-partnered studies and new capabilities assessment. A few of our programs are part of our collaborative relationships. The related expenses may be partially offset with funds that have been reimbursed or awarded to the Company and consist of external manufacturing costs, lab supplies, equipment, and consulting and professional fees. Expenses for both early-stage programs and discovery technologies are expected to decrease as we shift our focus to later-stage programs.</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Payroll and benefits primarily consists of employee salaries and benefits, share-based compensation and consultant costs. We expect that payroll and benefits costs will not increase over the next twelve months due to reduced share-based compensation expense.</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Facilities and equipment expenses include rent, common area maintenance (“CAM”) costs, depreciation, shipping costs and various other costs related to the operation of our two office and laboratory locations. These costs decreased during the first quarter of 2025 as compared to the first quarter of 2024, as we downsized from three to two facilities. Facilities and equipment expenses are not expected to increase during the next twelve months.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4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for our executive, administrative and accounting functions and professional service fees for legal and accounting services as well as other general and administrative expenses.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$11.3 million for the three months ended March 31, 2025, compared with $14.9 million for the three months ended March 31, 2024. The decrease in general and administrative expenses was primarily attributable to reduced share-based compensation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vMerge w:val="restart"/>
          </w:tcPr>
          <w:p>
            <w:pPr>
              <w:spacing w:after="0"/>
              <w:rPr>
                <w:sz w:val="15"/>
                <w:szCs w:val="15"/>
                <w:color w:val="auto"/>
              </w:rPr>
            </w:pPr>
          </w:p>
        </w:tc>
        <w:tc>
          <w:tcPr>
            <w:tcW w:w="27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 2025 vs 2024</w:t>
            </w: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40" w:type="dxa"/>
            <w:vAlign w:val="bottom"/>
            <w:tcBorders>
              <w:bottom w:val="single" w:sz="8" w:color="auto"/>
            </w:tcBorders>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Borders>
              <w:bottom w:val="single" w:sz="8" w:color="auto"/>
            </w:tcBorders>
            <w:shd w:val="clear" w:color="auto" w:fill="CFF0FC"/>
          </w:tcPr>
          <w:p>
            <w:pPr>
              <w:jc w:val="right"/>
              <w:ind w:right="8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2,771</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4,016</w:t>
            </w: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(1,245)</w:t>
            </w:r>
          </w:p>
        </w:tc>
        <w:tc>
          <w:tcPr>
            <w:tcW w:w="2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Interest income is generated on cash and cash equivalents. The decrease in interest income for the three months ended March 31, 2025 as compared to the comparable period last year was primarily the result of lower interest rates and a decrease in cash and cash equivalents during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Through March 31, 2025,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the Company’s inception through the quarter ended March 31, 2025, the Company has funded its operations principally with the proceeds from revenues earned through collaboration agreements and government contracts, the sale of capital stock and long-term debt. Through the first quarter of 2025, we have achieved a total of approximately $488.1 million in upfront payments and milestones from CSL Seqirus, including milestones of $15.0 million achieved in the current quarter. We expect to receive future payments from CSL Seqirus primarily by meeting future milestones related to the CSL Collaboration Agreement. As of March 31, 2025, the Company’s balance of cash and cash equivalents, including restricted cash, was $273.8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CSL Seqirus, Inc. Collaboration and License Agreement</w:t>
      </w:r>
    </w:p>
    <w:p>
      <w:pPr>
        <w:spacing w:after="0" w:line="11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In 2022, we entered into the CSL Collaboration Agreement with CSL Seqirus, a part of CSL Limited, one of the world’s leading influenza vaccine providers, for the global exclusive rights to research, develop, manufacture and commercialize mRNA vaccines.</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CSL Seqirus received exclusive global rights to our technology for vaccines against SARS-CoV-2 (COVID-19), influenza and three other infectious diseases with non-exclusive rights to pandemic pathogens. We received an up-front payment of $200.0 million during the fourth quarter of 2022. We will be eligible to receive development milestones totaling more than $1.3 billion if all products are registered in the licensed fields. We will also be entitled to receive up to $3.0 billion in commercial milestones based on “net sales” of vaccines in the various fields.</w:t>
      </w:r>
    </w:p>
    <w:p>
      <w:pPr>
        <w:spacing w:after="0" w:line="7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p>
    <w:p>
      <w:pPr>
        <w:spacing w:after="0" w:line="6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CSL Collaboration Agreement sets forth how CSL Seqirus and we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Wells Fargo Credit Agreement</w:t>
      </w:r>
    </w:p>
    <w:p>
      <w:pPr>
        <w:spacing w:after="0" w:line="119"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On April 21, 2023, the Company’s wholly-owned subsidiary, Arcturus Therapeutics, Inc. entered into a credit agreement with Wells Fargo Bank, National Association (“Wells Fargo”) whereby Wells Fargo agreed to make a $50.0 million revolving credit line available to the Company (as amended, the “Wells Fargo Loan”) with each Wells Fargo Loan evidenced by a revolving line of credit note (each, a “Note”). On June 26, 2024, the parties entered into Amendment No. 1 to the Wells Fargo Loan, whereby the term was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extended by one year to April 2026. During the three months ended March 31, 2025, we drew down $15.0 million which was subsequently repaid in April 2025.</w:t>
      </w:r>
    </w:p>
    <w:p>
      <w:pPr>
        <w:spacing w:after="0" w:line="5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Borrowings under the agreement will bear interest at a rate of 1.00% above either the Daily Simple SOFR or Term SOFR (as such terms are defined in the Wells Fargo Loan), with “SOFR” being the rate per annum equal to the secured overnight financing rate as administered by the Federal Reserve Bank of New York. If an Event of Default (as defined in the credit agreement) occurs, then all Wells Fargo Loans shall bear interest at a rate equal to 2.00% above the interest rate applicable immediately prior to the occurrence of the Event of Default.</w:t>
      </w:r>
    </w:p>
    <w:p>
      <w:pPr>
        <w:spacing w:after="0" w:line="7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original term of the agreement is two years, with an option for one-year renewals subject to Wells Fargo approval and the Company furnishing to Wells Fargo a non-refundable commitment fee equal to 0.25% of the Wells Fargo Loan amount for each such renewal. There is no penalty for terminating the agreement. There is no penalty for terminating the facility prior to the maturity date of the Wells Fargo Loan. As collateral, the Company has agreed to pledge $55.0 million in cash to be held at the Company’s securities accounts with Wells Fargo Securities, LLC, an affiliate of Wells Fargo, pursuant to a security agreement.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from the Biomedical Advanced Research and Development Authority</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As of March 31, 2025, the remaining available funding net of revenue earned was $36.1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Vinbiocare Agreement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spacing w:after="0" w:line="8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Financial Resources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 portion of our current cash balance is expected to be utilized during fiscal year 2025 to fund (i) the continued Phase 2 trial of ARCT-810, our LUNAR-OTC candidate, (ii) advances to our LUNAR-CF program in clinical trials, (iii) expenses incurred prior to customer payments under the CSL Collaboration Agreement and BARDA Contract and (iv) continued exploratory activities related to our platform and other general administrative activities.</w:t>
      </w:r>
    </w:p>
    <w:p>
      <w:pPr>
        <w:spacing w:after="0" w:line="284"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regulatory approvals and subsequent sales of KOSTAIVE, executing on milestones within the CSL Collaboration Agreement and identifying and developing other successful mRNA drug and vaccine candidates. If we are not able to achieve planned milestones or incur costs in excess of our forecasts,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2025 and 2024:</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10"/>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5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(35,138)</w:t>
            </w: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(5,557)</w:t>
            </w:r>
          </w:p>
        </w:tc>
      </w:tr>
      <w:tr>
        <w:trPr>
          <w:trHeight w:val="216"/>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3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Pr>
          <w:p>
            <w:pPr>
              <w:spacing w:after="0"/>
              <w:rPr>
                <w:sz w:val="18"/>
                <w:szCs w:val="18"/>
                <w:color w:val="auto"/>
              </w:rPr>
            </w:pPr>
          </w:p>
        </w:tc>
      </w:tr>
      <w:tr>
        <w:trPr>
          <w:trHeight w:val="229"/>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(20,080)</w:t>
            </w:r>
          </w:p>
        </w:tc>
        <w:tc>
          <w:tcPr>
            <w:tcW w:w="102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(3,609)</w:t>
            </w:r>
          </w:p>
        </w:tc>
      </w:tr>
      <w:tr>
        <w:trPr>
          <w:trHeight w:val="20"/>
        </w:trPr>
        <w:tc>
          <w:tcPr>
            <w:tcW w:w="59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-25400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$35.1 million for the three months ended March 31, 2025, compared to a $5.6 million for the three months ended March 31, 2024. The increase was primarily driven by a $15.6 million use of cash in accounts receivable due to the timing of invoicing and collections. It was also impacted by a $15.5 million unfavorable change in both accrued liabilities and accounts payable related to payment timing, and a $5.8 million use of cash in deferred revenue, reflecting the recognition of amounts received under CSL supply agreements. Additionally, a $3.4 million reduction in non-cash share-based compensation contributed to the higher cash usage. These factors were partially offset by an $12.7 million improvement in net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$0.1 million for the three months ended March 31, 2025, and $0.2 million for the three months ended March 31, 2024, reflected the acquisition of property and equipment.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$15.2 million for the three months ended March 31, 2025, compared to a $2.2 million for the three months ended March 31, 2024. The increase was primarily due to the receipt of $15.0 million in debt proceeds during the current quarter.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when and as needed.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are difficult to forecast and will depend on many factors, including the following:</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LUNAR-COV19 and LUNAR-FLU vaccine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under our strategic alliance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and/or expanding our manufacturing network and capabilities;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other strategic alliance, licensing and other arrangements that we may establish, including those with CSL Seqirus and CSL Seqirus’ arrangement with Meiji, and any related payments thereunder;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hiring new employees to support our continued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procuring clinical and commercial supplies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legal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litigation related to collaboration agreements;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GAAP. As such, we make certain estimates, judgments and assumptions that we believe are reasonable, based upon information available to us. These judgments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2024.</w:t>
      </w:r>
    </w:p>
    <w:p>
      <w:pPr>
        <w:spacing w:after="0" w:line="7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Item 7, Management’s Discussion and Analysis of Financial Condition and Results of Operations, included in the 2024 Annual Report.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primary exposure to market risk is interest income sensitivity, which is affected by changes in the general level of interest rates in the United States. Due to the nature of our cash and cash equivalents, we believe that we are not subject to any material market risk exposure. We maintain an immaterial amount of foreign currency, which we do not consider to pose a material risk. We do not use derivative financial instruments.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required by Rule 13a-15(b) and Rule 15d-15(b) of the Exchange Act, our management, including our principal executive officer, and our principal financial and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2025, our disclosure controls and procedures were not effective due to the material weakness in internal control over financial reporting described below.</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disclosure controls and procedures have been designed to ensure that: (i) information required to be disclosed by us in reports that we file or submit to the SEC under the Exchange Act is recorded, processed, summarized, and reported within the time periods specified in applicable rules and forms and (ii) material information required to be disclosed in our reports filed under the Exchange Act is accumulated and communicated to management, including the CEO and the CFO, as appropriate, to allow for accurate and timely decisions regarding required disclosure.</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Management does not expect that our disclosure controls and procedures will prevent all error and all fraud. The effectiveness of our or any system of disclosure controls and procedures, however well designed and operated, can provide only reasonable assurance that the objectives of the system will be met and is subject to certain limitations, including the exercise of judgment in designing, implementing, and evaluating controls and procedures and the assumptions used in identifying the likelihood of future events.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Financing Reporting Existing as of March 31, 2025</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Management concluded that the material weakness disclosed in the Company’s Annual Report on Form 10-K for the fiscal year ended December 31, 2024 continued to exist as of March 31, 2025. Specifically, management concluded that the following material weakness existed as of March 31, 2025:</w:t>
      </w:r>
    </w:p>
    <w:p>
      <w:pPr>
        <w:spacing w:after="0" w:line="54" w:lineRule="exact"/>
        <w:rPr>
          <w:sz w:val="20"/>
          <w:szCs w:val="20"/>
          <w:color w:val="auto"/>
        </w:rPr>
      </w:pPr>
    </w:p>
    <w:p>
      <w:pPr>
        <w:ind w:left="1020" w:right="14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weakness related to information technology general controls (“ITGCs”) that support our financial reporting processes; Management determined that we did not maintain effective controls over (i) user access to ensure appropriate segregation of duties and adequate restriction of user and privileged access to financial applications, programs and data to the appropriate personnel; (ii) program change management for financial applications to ensure that information technology (“IT”) program and data changes affecting financial IT applications and underlying accounting records are identified, tested, authorized and implemented appropriately; and (iii) IT operations controls to ensure that critical interface jobs are monitored.</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 management does not believe that the deficiencies had an adverse effect on our reported operating results or financial condition, and management has determined that the financial statements and other information included in this report and other periodic filings present fairly in all material respects our financial condition and results of operations at and for the periods presented.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for Remediation of Material Weakness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remediation efforts are ongoing, and we will continue our initiatives to implement measures designed to ensure that control deficiencies contributing to the material weakness are remediated, such that these controls are designed, implemented, and operating effectively. We are committed to making the necessary changes and improvements to our system of controls to address the material weakness in internal control over financial reporting described above.</w:t>
      </w:r>
    </w:p>
    <w:p>
      <w:pPr>
        <w:spacing w:after="0" w:line="7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Management has implemented or is in the process of implementing new or enhanced internal control procedures intended to both address the material weakness identified and strengthen our overall financial control environment, including:</w:t>
      </w:r>
    </w:p>
    <w:p>
      <w:pPr>
        <w:spacing w:after="0" w:line="54" w:lineRule="exact"/>
        <w:rPr>
          <w:sz w:val="20"/>
          <w:szCs w:val="20"/>
          <w:color w:val="auto"/>
        </w:rPr>
      </w:pPr>
    </w:p>
    <w:p>
      <w:pPr>
        <w:ind w:left="1020" w:right="4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and enhanced the IT policies and relevant internal controls to consider and address ITGCs including access security and change management;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elevated access profiles in financially relevant IT systems and software to appropriate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enhanced and consistently applied access administration controls over provisioning, deprovisioning, and authentication;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and enhanced user access reviews for financially relevant IT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refined controls over change management and IT operations controls to monitor critical interface jobs;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an additional detective control over change management to strengthen management’s control framework;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an internal audit manager with an appropriate level of knowledge and experience;</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an accounting advisory firm to assist with the documentation, evaluation, remediation, and testing of our internal control over financial reporting;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 to control owners and relevant personnel to improve documentation that supports effective control activities, including evidence over the completeness and accuracy of information used in controls.</w:t>
      </w:r>
    </w:p>
    <w:p>
      <w:pPr>
        <w:spacing w:after="0" w:line="5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in the process of implementing the remediation activities as of the date of this report and believe that upon completion, we will have strengthened our ITGCs, and controls related to accounting for collaboration arrangements to address and successfully remediate the identified material weakness. However, control weaknesses are not considered remediated until new internal controls have been operational for a period of time, are tested, and management concludes that these controls are operating effectively. We expect to complete the remediation activities in the fiscal year 2025. We will continue to monitor the effectiveness of these remediation measures, and we will make any changes to the design of this plan and take such other actions that we deem appropriate given the circumstances.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required by Rule 13a-15(d) and Rule 15d-15(d) of the Exchange Act, our management, including our principal executive officer and our principal financial and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and our principal financial and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spacing w:after="0" w:line="1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93" w:right="47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highly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Item 1A of our Annual Report on Form 10-K for the fiscal year ended December 31, 2024, which we strongly encourage you to review. There have been no material changes from the risk factors described in our Annual Report on Form 10-K for the year ended December 31, 2024 filed with the Commission on March 6,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of the Exchange Act, adopted or terminated a "Rule 10b5-1 trading arrangement" (as defined in Item 408 of Regulation S-K of the Exchange Act) intended to satisfy the affirmative defense conditions of Rule 10b5-1(c) under the Exchange Act.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40" w:type="dxa"/>
            <w:vAlign w:val="bottom"/>
            <w:gridSpan w:val="17"/>
          </w:tcPr>
          <w:p>
            <w:pPr>
              <w:jc w:val="center"/>
              <w:ind w:right="50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41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Exhibit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140" w:type="dxa"/>
            <w:vAlign w:val="bottom"/>
          </w:tcPr>
          <w:p>
            <w:pPr>
              <w:spacing w:after="0"/>
              <w:rPr>
                <w:sz w:val="20"/>
                <w:szCs w:val="20"/>
                <w:color w:val="auto"/>
              </w:rPr>
            </w:pPr>
          </w:p>
        </w:tc>
        <w:tc>
          <w:tcPr>
            <w:tcW w:w="99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r>
      <w:tr>
        <w:trPr>
          <w:trHeight w:val="27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9960" w:type="dxa"/>
            <w:vAlign w:val="bottom"/>
            <w:gridSpan w:val="23"/>
          </w:tcPr>
          <w:p>
            <w:pPr>
              <w:spacing w:after="0" w:line="207"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Controlled Equity Offering</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Sales Agreement, dated as of December 23, 2022 by and between Cantor Fitzgerald &amp; Co, Wells Fargo</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Securities, LLC and Arcturus Therapeutics Holdings Inc. Incorporated by reference to Exhibit 1.2 to Registration Statement on Form S-3</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filed on December 23, 2022 (File No. 333269003).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9960" w:type="dxa"/>
            <w:vAlign w:val="bottom"/>
            <w:gridSpan w:val="23"/>
          </w:tcPr>
          <w:p>
            <w:pPr>
              <w:spacing w:after="0" w:line="207"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Amendment No. 1 to Controlled Equity Offering</w:t>
              </w:r>
            </w:hyperlink>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w:t>
            </w:r>
            <w:hyperlink r:id="rId129">
              <w:r>
                <w:rPr>
                  <w:rFonts w:ascii="Times New Roman" w:cs="Times New Roman" w:eastAsia="Times New Roman" w:hAnsi="Times New Roman"/>
                  <w:sz w:val="18"/>
                  <w:szCs w:val="18"/>
                  <w:color w:val="0000FF"/>
                </w:rPr>
                <w:t>Sales Agreement by and between Cantor Fitzgerald &amp; Co, Wells Fargo Securities,</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LLC, William Blair &amp; Company, L.L.C., and Arcturus Therapeutics Holdings Inc. Incorporated by reference to Exhibit 1.1 to Form 8-K</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filed on August 7, 2023.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Certificate of Incorporation. Incorporated by reference to Annex B to the proxy statement/prospectus which forms part of the Registration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Statement on Form S-4 filed on March 18, 2019 (File No. 333-230353).</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Borders>
              <w:right w:val="single" w:sz="8" w:color="0000EE"/>
            </w:tcBorders>
            <w:shd w:val="clear" w:color="auto" w:fill="0000EE"/>
          </w:tcPr>
          <w:p>
            <w:pPr>
              <w:spacing w:after="0" w:line="20" w:lineRule="exact"/>
              <w:rPr>
                <w:sz w:val="1"/>
                <w:szCs w:val="1"/>
                <w:color w:val="auto"/>
              </w:rPr>
            </w:pPr>
          </w:p>
        </w:tc>
        <w:tc>
          <w:tcPr>
            <w:tcW w:w="16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Certificate of Amendment, dated November 25, 2020. Incorporated by reference to Exhibit 3.1 to Form 8-K filed on November 25, 2020</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 No. 001-38942).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Bylaws of Arcturus Therapeutics Holdings Inc. Incorporated by reference to Exhibit 3.2 to the Company’s Registration Statement on</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Form S-3, filed with the SEC on May 8, 2020 (File No. 333-238139).</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Description of Registrant’s Securities. Incorporated by reference to Exhibit 4.1 to the Company’s Annual Report on Form 10-K for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year ended December 31, 2021 filed on February 28, 2022 (File No. 001-38942).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Indemnification Agreement. Incorporated by reference to Exhibit 10.1 to the Company’s Annual Report on Form 10-K for the</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year ended December 31, 2019 filed on March 16, 2020 (File No. 001-38942).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Amended and Restated 2019 Omnibus Equity Incentive Plan. Incorporated by reference Exhibit 4.3 to the Registration Statement on Form</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S-8 filed on August 5, 2020 (File No. 333-240397).</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360" w:type="dxa"/>
            <w:vAlign w:val="bottom"/>
            <w:tcBorders>
              <w:left w:val="single" w:sz="8" w:color="0000EE"/>
            </w:tcBorders>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Amendment to Development and Option Agreement, dated as of September 28, 2018, by and between CureVac</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 and Arcturus Therapeutics Inc. Incorporated by reference to Exhibit 99.2 to the Company’s Report of Foreign Private Issuer on Form</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6-K filed on October 1, 2018 (File No. 001-35932).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Research and Exclusive License Agreement, by and between Arcturus Therapeutics, Inc. and Synthetic Genomics, Inc., effective October</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tcBorders>
              <w:right w:val="single" w:sz="8" w:color="0000FF"/>
            </w:tcBorders>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24, 2017. Incorporated by reference to Exhibit 4.8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tcBorders>
              <w:right w:val="single" w:sz="8" w:color="0000FF"/>
            </w:tcBorders>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Research Collaboration and License Agreement, by and between Arcturus Therapeutics, Inc. and Ultragenyx Pharmaceutical Inc., entered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tcBorders>
              <w:right w:val="single" w:sz="8" w:color="0000FF"/>
            </w:tcBorders>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into as of October 26, 2015, as amended October 17, 2017 and April 20, 2018. Incorporated by reference to Exhibit 4.10 to Form 20-F</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FF"/>
            </w:tcBorders>
            <w:gridSpan w:val="3"/>
            <w:shd w:val="clear" w:color="auto" w:fill="0000FF"/>
          </w:tcPr>
          <w:p>
            <w:pPr>
              <w:spacing w:after="0" w:line="20" w:lineRule="exact"/>
              <w:rPr>
                <w:sz w:val="1"/>
                <w:szCs w:val="1"/>
                <w:color w:val="auto"/>
              </w:rPr>
            </w:pPr>
          </w:p>
        </w:tc>
        <w:tc>
          <w:tcPr>
            <w:tcW w:w="2840" w:type="dxa"/>
            <w:vAlign w:val="bottom"/>
            <w:tcBorders>
              <w:right w:val="single" w:sz="8" w:color="0000FF"/>
            </w:tcBorders>
            <w:gridSpan w:val="7"/>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tcBorders>
              <w:right w:val="single" w:sz="8" w:color="0000EE"/>
            </w:tcBorders>
            <w:gridSpan w:val="3"/>
            <w:shd w:val="clear" w:color="auto" w:fill="0000FF"/>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Third Amendment to Research Collaboration and License Agreement, by and between Arcturus Therapeutics, Inc. and Ultragenyx</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5520" w:type="dxa"/>
            <w:vAlign w:val="bottom"/>
            <w:tcBorders>
              <w:right w:val="single" w:sz="8" w:color="0000FF"/>
            </w:tcBorders>
            <w:gridSpan w:val="10"/>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Pharmaceutical Inc., effective June 18, 2019. Incorporated by reference to Exhibit 10.2 to Form 8-K filed on June 20, 2019 (File No. 001-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line="196" w:lineRule="exact"/>
              <w:rPr>
                <w:rFonts w:ascii="Times New Roman" w:cs="Times New Roman" w:eastAsia="Times New Roman" w:hAnsi="Times New Roman"/>
                <w:sz w:val="18"/>
                <w:szCs w:val="18"/>
                <w:color w:val="0000FF"/>
                <w:w w:val="93"/>
              </w:rPr>
            </w:pPr>
            <w:hyperlink r:id="rId139">
              <w:r>
                <w:rPr>
                  <w:rFonts w:ascii="Times New Roman" w:cs="Times New Roman" w:eastAsia="Times New Roman" w:hAnsi="Times New Roman"/>
                  <w:sz w:val="18"/>
                  <w:szCs w:val="18"/>
                  <w:color w:val="0000FF"/>
                  <w:w w:val="93"/>
                </w:rPr>
                <w:t>38942).</w:t>
              </w:r>
            </w:hyperlink>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552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Letter Agreement, by and between Arcturus Therapeutics, Inc. and the Cystic Fibrosis Foundation, dated May 16, 2017. Incorporated by</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80" w:type="dxa"/>
            <w:vAlign w:val="bottom"/>
            <w:tcBorders>
              <w:right w:val="single" w:sz="8" w:color="0000FF"/>
            </w:tcBorders>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reference to Exhibit 4.11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080" w:type="dxa"/>
            <w:vAlign w:val="bottom"/>
            <w:tcBorders>
              <w:right w:val="single" w:sz="8" w:color="0000EE"/>
            </w:tcBorders>
            <w:gridSpan w:val="11"/>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No. 2 to Letter Agreement, by and between Arcturus Therapeutics, Inc. and the Cystic Fibrosis Foundation, dated August 1,</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20" w:type="dxa"/>
            <w:vAlign w:val="bottom"/>
            <w:gridSpan w:val="12"/>
            <w:shd w:val="clear" w:color="auto" w:fill="0000FF"/>
          </w:tcPr>
          <w:p>
            <w:pPr>
              <w:spacing w:after="0" w:line="20" w:lineRule="exact"/>
              <w:rPr>
                <w:sz w:val="1"/>
                <w:szCs w:val="1"/>
                <w:color w:val="auto"/>
              </w:rPr>
            </w:pPr>
          </w:p>
        </w:tc>
        <w:tc>
          <w:tcPr>
            <w:tcW w:w="160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2019. Incorporated by reference to Exhibit 10.16 to Form 10-Q filed on August 14, 2019.</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20" w:type="dxa"/>
            <w:vAlign w:val="bottom"/>
            <w:gridSpan w:val="1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Development and Option Agreement, by and between Arcturus Therapeutics, Inc. and CureVac AG, dated January 1, 2018, as amended</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20" w:type="dxa"/>
            <w:vAlign w:val="bottom"/>
            <w:tcBorders>
              <w:right w:val="single" w:sz="8" w:color="0000FF"/>
            </w:tcBorders>
            <w:gridSpan w:val="1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May 3, 2018. Incorporated by reference to Exhibit 4.12 to Form 20-F filed on May 14, 2018 (File No. 001-35932).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20" w:type="dxa"/>
            <w:vAlign w:val="bottom"/>
            <w:tcBorders>
              <w:right w:val="single" w:sz="8" w:color="0000FF"/>
            </w:tcBorders>
            <w:gridSpan w:val="14"/>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Third Amendment to Development and Option Agreement, by and between Arcturus Therapeutics, Inc. and CureVac AG, dated July 26,</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20" w:type="dxa"/>
            <w:vAlign w:val="bottom"/>
            <w:tcBorders>
              <w:right w:val="single" w:sz="8" w:color="0000FF"/>
            </w:tcBorders>
            <w:gridSpan w:val="1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2019. Incorporated by reference to Exhibit 10.20 to Form 10-Q filed on August 14, 2019 (File No. 001-38942).</w:t>
              </w:r>
            </w:hyperlink>
          </w:p>
        </w:tc>
      </w:tr>
      <w:tr>
        <w:trPr>
          <w:trHeight w:val="20"/>
        </w:trPr>
        <w:tc>
          <w:tcPr>
            <w:tcW w:w="11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20" w:type="dxa"/>
            <w:vAlign w:val="bottom"/>
            <w:tcBorders>
              <w:right w:val="single" w:sz="8" w:color="0000EE"/>
            </w:tcBorders>
            <w:gridSpan w:val="1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9960" w:type="dxa"/>
            <w:vAlign w:val="bottom"/>
            <w:gridSpan w:val="2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License Agreement, by and between Arcturus Therapeutics, Inc., as successor-in-interest to Marina Biotech, Inc., and Protiva</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60" w:type="dxa"/>
            <w:vAlign w:val="bottom"/>
            <w:gridSpan w:val="1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Biotherapeutics Inc., dated as of November 28, 2012. Incorporated by reference to Exhibit 4.14 to Form 20-F/A filed on July 10, 2018</w:t>
              </w:r>
            </w:hyperlink>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700" w:type="dxa"/>
            <w:vAlign w:val="bottom"/>
            <w:gridSpan w:val="19"/>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 No. 001-35932).</w:t>
              </w:r>
            </w:hyperlink>
          </w:p>
        </w:tc>
      </w:tr>
      <w:tr>
        <w:trPr>
          <w:trHeight w:val="45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top w:val="single" w:sz="8" w:color="0000FF"/>
            </w:tcBorders>
            <w:gridSpan w:val="2"/>
          </w:tcPr>
          <w:p>
            <w:pPr>
              <w:spacing w:after="0"/>
              <w:rPr>
                <w:sz w:val="24"/>
                <w:szCs w:val="24"/>
                <w:color w:val="auto"/>
              </w:rPr>
            </w:pPr>
          </w:p>
        </w:tc>
        <w:tc>
          <w:tcPr>
            <w:tcW w:w="344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Patent Assignment and License Agreement, by and between Arcturus Therapeutics, Inc. and Marina Biotech, Inc., dated as of August 9,</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2013. Incorporated by reference to Exhibit 4.15 to Form 20-F filed on May 14, 2018 (File No. 001-35932).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Share Exchange Agreement, dated as of February 11, 2019, by and between Arcturus Therapeutics Ltd. and Arcturus Therapeutics</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Holdings Inc. Incorporated by reference to Exhibit 10.13 to the Company’s Annual Report on Form 10-K for the year ended December</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31, 2018 filed on March 18, 2019 (File No. 001-35932).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23"/>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Lease Agreement, by and between Arcturus Therapeutics, Inc. and ARE-SD Region No. 44, LLC, dated October 4, 2017. Incorporated by</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reference to Exhibit 4.6 to Form 20-F filed on May 14, 2018 (File No. 001-35932).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First Amendment to Lease Agreement, by and between Arcturus Therapeutics Holdings Inc. and ARE-SD Region No. 44, LLC dated</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February 1, 2020. Incorporated by reference to Exhibit 10.23 to the Company’s Annual Report on Form 10-K for the year ended</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December 31, 2019 filed on March 16, 2020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Acceptance Letter, dated March 4, 2020, by and between Arcturus Therapeutics Holdings Inc. and the Economic Development Board of</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Singapore. Incorporated by reference to Exhibit 10.24 to the Company’s Annual Report on Form 10-K for the year ended December 31,</w:t>
              </w:r>
            </w:hyperlink>
          </w:p>
        </w:tc>
      </w:tr>
      <w:tr>
        <w:trPr>
          <w:trHeight w:val="20"/>
        </w:trPr>
        <w:tc>
          <w:tcPr>
            <w:tcW w:w="12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2019 filed on March 16, 2020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2020 Employee Stock Purchase Plan. Incorporated by reference to Exhibit 4.3 to Form S-8 filed on August 5, 2020 (File No. 333-</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40" w:type="dxa"/>
            <w:vAlign w:val="bottom"/>
          </w:tcPr>
          <w:p>
            <w:pPr>
              <w:spacing w:after="0" w:line="196" w:lineRule="exact"/>
              <w:rPr>
                <w:rFonts w:ascii="Times New Roman" w:cs="Times New Roman" w:eastAsia="Times New Roman" w:hAnsi="Times New Roman"/>
                <w:sz w:val="18"/>
                <w:szCs w:val="18"/>
                <w:color w:val="0000FF"/>
                <w:w w:val="92"/>
              </w:rPr>
            </w:pPr>
            <w:hyperlink r:id="rId135">
              <w:r>
                <w:rPr>
                  <w:rFonts w:ascii="Times New Roman" w:cs="Times New Roman" w:eastAsia="Times New Roman" w:hAnsi="Times New Roman"/>
                  <w:sz w:val="18"/>
                  <w:szCs w:val="18"/>
                  <w:color w:val="0000FF"/>
                  <w:w w:val="92"/>
                </w:rPr>
                <w:t>240392).</w:t>
              </w:r>
            </w:hyperlink>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Second Amendment to Lease, by and between Arcturus Therapeutics, Inc. and ARE-SD Region No. 44, LLC, dated November 13, 2020.</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10.29 to the Company’s Annual Report on Form 10-K for the year ended December 31, 2020 filed</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Amendment to Lease, by and between Arcturus Therapeutics, Inc. and ARE-SD Region No. 44, LLC, dated February 25, 2021.</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Exhibit 10.30 to the Company’s Annual Report on Form 10-K for the year ended December 31, 2020 filed</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on March 1, 2020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Arcturus Therapeutics Holdings Inc. Severance Policy for Executives. Incorporated by reference to Exhibit 10.1 to Current Report on</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8-K filed on April 26, 2021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Lease, by and between Arcturus Therapeutics, Inc. and TPSC IX, LLC, dated September 29, 2021. Incorporated by reference to Exhibit</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r>
                <w:rPr>
                  <w:rFonts w:ascii="Times New Roman" w:cs="Times New Roman" w:eastAsia="Times New Roman" w:hAnsi="Times New Roman"/>
                  <w:sz w:val="18"/>
                  <w:szCs w:val="18"/>
                  <w:color w:val="0000FF"/>
                </w:rPr>
                <w:t xml:space="preserve"> to Form 10-Q filed on November 9, 2021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Arcturus Therapeutics Holdings Inc. 2021 Inducement Equity Incentive Plan. Incorporated by reference to Exhibit 4.1 to the Registration</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5"/>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Statement on Form S-8 filed on October 20, 2021 (File No. 333-260391).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Amended and Restated 2019 Omnibus Equity Incentive Plan, as amended. Incorporated by reference to Exhibit 4.3 to the Registration</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Statement on Form S-8 filed on June 30, 2022.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Cost Reimbursement Contract dated August 31, 2022, by and between Arcturus Therapeutics Holdings Inc. and Biomedical Advanced</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6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Research and Development Authority of the U.S. Department of Health and Human Services. Incorporated by reference to Exhibit 10.36</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960" w:type="dxa"/>
            <w:vAlign w:val="bottom"/>
            <w:tcBorders>
              <w:right w:val="single" w:sz="8" w:color="0000FF"/>
            </w:tcBorders>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to Quarterly Report on Form 10-Q filed on November 9, 2022 (File No. 001-38942).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960" w:type="dxa"/>
            <w:vAlign w:val="bottom"/>
            <w:tcBorders>
              <w:right w:val="single" w:sz="8" w:color="0000EE"/>
            </w:tcBorders>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Study Support Agreement, dated October 31, 2022, by and between Arcturus Therapeutics, Inc. and Vinbiocare Research and</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Manufacture Joint Stock Company. Incorporated by reference to Exhibit 10.1 to Current Report on Form 8-K filed on November 4, 2022</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8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Collaboration and License Agreement, dated November 1, 2022, by and between Arcturus Therapeutics Holdings Inc. and CSL Limited.</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10.38 to Quarterly Report on Form 10-Q filed on November 9, 2022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Manufacturing Support Agreement Termination Letter, dated March 23, 2023, by and between Arcturus Therapeutics, Inc. and the</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Economic Development of Singapore. Incorporated by reference to Exhibit 10.41 to Annual Report on Form 10-K filed on March 29,</w:t>
              </w:r>
            </w:hyperlink>
          </w:p>
        </w:tc>
      </w:tr>
      <w:tr>
        <w:trPr>
          <w:trHeight w:val="20"/>
        </w:trPr>
        <w:tc>
          <w:tcPr>
            <w:tcW w:w="1280" w:type="dxa"/>
            <w:vAlign w:val="bottom"/>
          </w:tcPr>
          <w:p>
            <w:pPr>
              <w:spacing w:after="0" w:line="20" w:lineRule="exact"/>
              <w:rPr>
                <w:sz w:val="1"/>
                <w:szCs w:val="1"/>
                <w:color w:val="auto"/>
              </w:rPr>
            </w:pPr>
          </w:p>
        </w:tc>
        <w:tc>
          <w:tcPr>
            <w:tcW w:w="158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2023 (File No. 001-38942).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158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80" w:type="dxa"/>
            <w:vAlign w:val="bottom"/>
            <w:gridSpan w:val="1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960" w:type="dxa"/>
            <w:vAlign w:val="bottom"/>
            <w:gridSpan w:val="2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Credit Agreement dated April 21, 2023, by and between Arcturus Therapeutics, Inc. and Wells Fargo Bank, National Association.</w:t>
              </w:r>
            </w:hyperlink>
          </w:p>
        </w:tc>
      </w:tr>
      <w:tr>
        <w:trPr>
          <w:trHeight w:val="20"/>
        </w:trPr>
        <w:tc>
          <w:tcPr>
            <w:tcW w:w="1280" w:type="dxa"/>
            <w:vAlign w:val="bottom"/>
          </w:tcPr>
          <w:p>
            <w:pPr>
              <w:spacing w:after="0" w:line="20" w:lineRule="exact"/>
              <w:rPr>
                <w:sz w:val="1"/>
                <w:szCs w:val="1"/>
                <w:color w:val="auto"/>
              </w:rPr>
            </w:pPr>
          </w:p>
        </w:tc>
        <w:tc>
          <w:tcPr>
            <w:tcW w:w="7700" w:type="dxa"/>
            <w:vAlign w:val="bottom"/>
            <w:tcBorders>
              <w:right w:val="single" w:sz="8" w:color="0000FF"/>
            </w:tcBorders>
            <w:gridSpan w:val="1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23"/>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Incorporated by reference to Exhibit 10.28 to Quarterly Report on Form 10-Q filed on May 9, 2023 (File No. 001-38942).</w:t>
              </w:r>
            </w:hyperlink>
          </w:p>
        </w:tc>
      </w:tr>
      <w:tr>
        <w:trPr>
          <w:trHeight w:val="574"/>
        </w:trPr>
        <w:tc>
          <w:tcPr>
            <w:tcW w:w="1280" w:type="dxa"/>
            <w:vAlign w:val="bottom"/>
          </w:tcPr>
          <w:p>
            <w:pPr>
              <w:spacing w:after="0"/>
              <w:rPr>
                <w:sz w:val="24"/>
                <w:szCs w:val="24"/>
                <w:color w:val="auto"/>
              </w:rPr>
            </w:pPr>
          </w:p>
        </w:tc>
        <w:tc>
          <w:tcPr>
            <w:tcW w:w="4820" w:type="dxa"/>
            <w:vAlign w:val="bottom"/>
            <w:tcBorders>
              <w:top w:val="single" w:sz="8" w:color="0000EE"/>
            </w:tcBorders>
            <w:gridSpan w:val="8"/>
          </w:tcPr>
          <w:p>
            <w:pPr>
              <w:jc w:val="right"/>
              <w:ind w:right="38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3"/>
        </w:trPr>
        <w:tc>
          <w:tcPr>
            <w:tcW w:w="1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Security Agreement dated April 21, 2023, by and between Arcturus Therapeutics, Inc. and Wells Fargo Bank, National Association.</w:t>
              </w:r>
            </w:hyperlink>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Incorporated by reference to Exhibit 10.29 to Quarterly Report on Form 10-Q filed on May 9, 2023 (File No. 001-38942).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Revolving Line of Credit Note dated April 21, 2023, by and between Arcturus Therapeutics, Inc. and Wells Fargo Bank, National</w:t>
              </w:r>
            </w:hyperlink>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Association. Incorporated by reference to Exhibit 10.30 to Quarterly Report on Form 10-Q filed on May 9, 2023 (File No. 001-38942).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Number One to Collaboration and License Agreement, dated August 3, 2023, by and between Arcturus Therapeutics, Inc.</w:t>
              </w:r>
            </w:hyperlink>
          </w:p>
        </w:tc>
      </w:tr>
      <w:tr>
        <w:trPr>
          <w:trHeight w:val="20"/>
        </w:trPr>
        <w:tc>
          <w:tcPr>
            <w:tcW w:w="1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and Seqirus Inc. Incorporated by reference to Exhibit 10.31 to Quarterly Report on Form 10-Q filed on November 14, 2023 (File No. 001-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38942).</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4 to Letter Agreement, dated September 25, 2023, by and between Arcturus Therapeutics, Inc. and the Cystic Fibrosis</w:t>
              </w:r>
            </w:hyperlink>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Foundation. Incorporated by reference to Exhibit 10.32 to Quarterly Report on Form 10-Q filed on November 14, 2023 (File No. 001-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38942).</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Number Two to Collaboration and License Agreement, dated March 29, 2024, by and between Arcturus Therapeutics, Inc.</w:t>
              </w:r>
            </w:hyperlink>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and Seqirus Inc. Incorporated by reference to Exhibit 10.33 to Quarterly Report on Form 10-Q filed on May 8, 2024 (File No. 001-</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580" w:type="dxa"/>
            <w:vAlign w:val="bottom"/>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38942).</w:t>
              </w:r>
            </w:hyperlink>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960" w:type="dxa"/>
            <w:vAlign w:val="bottom"/>
            <w:gridSpan w:val="16"/>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Amended and Restated 2019 Omnibus Equity Incentive Plan, as amended. Incorporated by reference to Exhibit 10.1 to the Current Report</w:t>
              </w:r>
            </w:hyperlink>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on Form 8-K filed on June 14, 2024 (File No. 001-38942).</w:t>
              </w:r>
            </w:hyperlink>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23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60" w:type="dxa"/>
            <w:vAlign w:val="bottom"/>
            <w:gridSpan w:val="16"/>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First Amendment to Credit Agreement and First Amendment to Revolving Line of Credit, dated June 26, 2024, by and between Arcturus</w:t>
              </w:r>
            </w:hyperlink>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5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Therapeutics, Inc. and Wells Fargo Bank, National Association. Incorporated by reference to Exhibit 10.35 to Quarterly Report on Form</w:t>
              </w:r>
            </w:hyperlink>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5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10-Q filed on August 5, 2024 (File No. 001-38942).</w:t>
              </w:r>
            </w:hyperlink>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Fifth Amendment to Lease, by and between Arcturus Therapeutics, Inc. and ARE-SD Region No. 44, LLC, dated July 12, 2024.</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82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15d-14(a) under the Securities Exchange Act of 1934, as</w:t>
            </w: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8020" w:type="dxa"/>
            <w:vAlign w:val="bottom"/>
            <w:gridSpan w:val="6"/>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Borders>
              <w:left w:val="single" w:sz="8" w:color="0000EE"/>
            </w:tcBorders>
          </w:tcPr>
          <w:p>
            <w:pPr>
              <w:spacing w:after="0" w:line="20" w:lineRule="exact"/>
              <w:rPr>
                <w:sz w:val="1"/>
                <w:szCs w:val="1"/>
                <w:color w:val="auto"/>
              </w:rPr>
            </w:pPr>
          </w:p>
        </w:tc>
        <w:tc>
          <w:tcPr>
            <w:tcW w:w="80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Rule 13a-14(a) or 15d-14(a) under the Securities Exchange Act of 1934, as</w:t>
            </w:r>
          </w:p>
        </w:tc>
      </w:tr>
      <w:tr>
        <w:trPr>
          <w:trHeight w:val="20"/>
        </w:trPr>
        <w:tc>
          <w:tcPr>
            <w:tcW w:w="128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802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amended.</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120" w:type="dxa"/>
            <w:vAlign w:val="bottom"/>
            <w:gridSpan w:val="7"/>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812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120" w:type="dxa"/>
            <w:vAlign w:val="bottom"/>
            <w:gridSpan w:val="7"/>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31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540" w:type="dxa"/>
            <w:vAlign w:val="bottom"/>
            <w:gridSpan w:val="10"/>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r>
      <w:tr>
        <w:trPr>
          <w:trHeight w:val="340"/>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The following financial statements and footnotes from the Registrant’s Quarterly Report on Form 10-Q for the fiscal quarter ended March</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31, 2025 formatted in Inline Extensible Business Reporting Language (Inline XBRL):</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101.INS Inline XBRL Instance Document - the instance document does not appear in the Interactive Data File because its XBRL tags are</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tc>
      </w:tr>
      <w:tr>
        <w:trPr>
          <w:trHeight w:val="216"/>
        </w:trPr>
        <w:tc>
          <w:tcPr>
            <w:tcW w:w="1280" w:type="dxa"/>
            <w:vAlign w:val="bottom"/>
          </w:tcPr>
          <w:p>
            <w:pPr>
              <w:spacing w:after="0"/>
              <w:rPr>
                <w:sz w:val="18"/>
                <w:szCs w:val="18"/>
                <w:color w:val="auto"/>
              </w:rPr>
            </w:pP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9512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160" w:firstLine="8"/>
        <w:spacing w:after="0" w:line="255" w:lineRule="auto"/>
        <w:tabs>
          <w:tab w:leader="none" w:pos="2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are not deemed filed with the SEC and are not to be incorporated by reference into any filing of Arcturus Therapeutics Holdings Inc. under the Securities Act of 1933 or the Securities Exchange Act of 1934, whether made before or after the date of this Quarterly Report, irrespective of any general incorporation language contained in such filing</w:t>
      </w:r>
    </w:p>
    <w:p>
      <w:pPr>
        <w:spacing w:after="0" w:line="10" w:lineRule="exact"/>
        <w:rPr>
          <w:rFonts w:ascii="Times New Roman" w:cs="Times New Roman" w:eastAsia="Times New Roman" w:hAnsi="Times New Roman"/>
          <w:sz w:val="18"/>
          <w:szCs w:val="18"/>
          <w:color w:val="auto"/>
        </w:rPr>
      </w:pPr>
    </w:p>
    <w:p>
      <w:pPr>
        <w:ind w:right="380" w:firstLine="8"/>
        <w:spacing w:after="0" w:line="266" w:lineRule="auto"/>
        <w:tabs>
          <w:tab w:leader="none" w:pos="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from the publicly filed document because such portions are (i) not material and (ii) would be competitively harmful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contract or arrangement.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720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tc>
      </w:tr>
      <w:tr>
        <w:trPr>
          <w:trHeight w:val="43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7200" w:type="dxa"/>
            <w:vAlign w:val="bottom"/>
            <w:gridSpan w:val="2"/>
          </w:tcPr>
          <w:p>
            <w:pPr>
              <w:ind w:left="2600"/>
              <w:spacing w:after="0"/>
              <w:rPr>
                <w:sz w:val="20"/>
                <w:szCs w:val="20"/>
                <w:color w:val="auto"/>
              </w:rPr>
            </w:pPr>
            <w:r>
              <w:rPr>
                <w:rFonts w:ascii="Times New Roman" w:cs="Times New Roman" w:eastAsia="Times New Roman" w:hAnsi="Times New Roman"/>
                <w:sz w:val="18"/>
                <w:szCs w:val="18"/>
                <w:color w:val="auto"/>
              </w:rPr>
              <w:t>By: /s/ Andy Sassine</w:t>
            </w:r>
          </w:p>
        </w:tc>
      </w:tr>
      <w:tr>
        <w:trPr>
          <w:trHeight w:val="191"/>
        </w:trPr>
        <w:tc>
          <w:tcPr>
            <w:tcW w:w="4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Andy Sassine</w:t>
            </w:r>
          </w:p>
        </w:tc>
      </w:tr>
      <w:tr>
        <w:trPr>
          <w:trHeight w:val="214"/>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0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ind w:left="3160"/>
        <w:spacing w:after="0"/>
        <w:rPr>
          <w:sz w:val="20"/>
          <w:szCs w:val="20"/>
          <w:color w:val="auto"/>
        </w:rPr>
      </w:pPr>
      <w:r>
        <w:rPr>
          <w:rFonts w:ascii="Arial" w:cs="Arial" w:eastAsia="Arial" w:hAnsi="Arial"/>
          <w:sz w:val="18"/>
          <w:szCs w:val="18"/>
          <w:b w:val="1"/>
          <w:bCs w:val="1"/>
          <w:color w:val="auto"/>
        </w:rPr>
        <w:t>FIFTH AMENDMENT TO LEASE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FIFTH AMENDMENT TO LEASE (this “</w:t>
      </w:r>
      <w:r>
        <w:rPr>
          <w:rFonts w:ascii="Arial" w:cs="Arial" w:eastAsia="Arial" w:hAnsi="Arial"/>
          <w:sz w:val="18"/>
          <w:szCs w:val="18"/>
          <w:b w:val="1"/>
          <w:bCs w:val="1"/>
          <w:color w:val="auto"/>
        </w:rPr>
        <w:t>Fifth Amendment</w:t>
      </w:r>
      <w:r>
        <w:rPr>
          <w:rFonts w:ascii="Arial" w:cs="Arial" w:eastAsia="Arial" w:hAnsi="Arial"/>
          <w:sz w:val="18"/>
          <w:szCs w:val="18"/>
          <w:color w:val="auto"/>
        </w:rPr>
        <w:t>”) is made as of July ___, 2024, by</w:t>
      </w:r>
    </w:p>
    <w:p>
      <w:pPr>
        <w:spacing w:after="0" w:line="198" w:lineRule="exact"/>
        <w:rPr>
          <w:sz w:val="20"/>
          <w:szCs w:val="20"/>
          <w:color w:val="auto"/>
        </w:rPr>
      </w:pPr>
    </w:p>
    <w:p>
      <w:pPr>
        <w:ind w:left="8540"/>
        <w:spacing w:after="0"/>
        <w:rPr>
          <w:sz w:val="20"/>
          <w:szCs w:val="20"/>
          <w:color w:val="auto"/>
        </w:rPr>
      </w:pPr>
      <w:r>
        <w:rPr>
          <w:rFonts w:ascii="Arial" w:cs="Arial" w:eastAsia="Arial" w:hAnsi="Arial"/>
          <w:sz w:val="16"/>
          <w:szCs w:val="16"/>
          <w:color w:val="auto"/>
        </w:rPr>
        <w:t>12</w:t>
      </w:r>
    </w:p>
    <w:p>
      <w:pPr>
        <w:spacing w:after="0" w:line="18" w:lineRule="exact"/>
        <w:rPr>
          <w:sz w:val="20"/>
          <w:szCs w:val="20"/>
          <w:color w:val="auto"/>
        </w:rPr>
      </w:pPr>
    </w:p>
    <w:p>
      <w:pPr>
        <w:jc w:val="both"/>
        <w:ind w:left="20"/>
        <w:spacing w:after="0" w:line="260" w:lineRule="auto"/>
        <w:rPr>
          <w:sz w:val="20"/>
          <w:szCs w:val="20"/>
          <w:color w:val="auto"/>
        </w:rPr>
      </w:pPr>
      <w:r>
        <w:rPr>
          <w:rFonts w:ascii="Arial" w:cs="Arial" w:eastAsia="Arial" w:hAnsi="Arial"/>
          <w:sz w:val="18"/>
          <w:szCs w:val="18"/>
          <w:color w:val="auto"/>
        </w:rPr>
        <w:t xml:space="preserve">and between </w:t>
      </w:r>
      <w:r>
        <w:rPr>
          <w:rFonts w:ascii="Arial" w:cs="Arial" w:eastAsia="Arial" w:hAnsi="Arial"/>
          <w:sz w:val="18"/>
          <w:szCs w:val="18"/>
          <w:b w:val="1"/>
          <w:bCs w:val="1"/>
          <w:color w:val="auto"/>
        </w:rPr>
        <w:t>ARE-SD REGION NO. 44,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ARCTURUS</w:t>
      </w:r>
      <w:r>
        <w:rPr>
          <w:rFonts w:ascii="Arial" w:cs="Arial" w:eastAsia="Arial" w:hAnsi="Arial"/>
          <w:sz w:val="18"/>
          <w:szCs w:val="18"/>
          <w:color w:val="auto"/>
        </w:rPr>
        <w:t xml:space="preserve"> </w:t>
      </w:r>
      <w:r>
        <w:rPr>
          <w:rFonts w:ascii="Arial" w:cs="Arial" w:eastAsia="Arial" w:hAnsi="Arial"/>
          <w:sz w:val="18"/>
          <w:szCs w:val="18"/>
          <w:b w:val="1"/>
          <w:bCs w:val="1"/>
          <w:color w:val="auto"/>
        </w:rPr>
        <w:t>THERAPEUTICS,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5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left="20" w:firstLine="749"/>
        <w:spacing w:after="0" w:line="239" w:lineRule="auto"/>
        <w:rPr>
          <w:sz w:val="20"/>
          <w:szCs w:val="20"/>
          <w:color w:val="auto"/>
        </w:rPr>
      </w:pPr>
      <w:r>
        <w:rPr>
          <w:rFonts w:ascii="Arial" w:cs="Arial" w:eastAsia="Arial" w:hAnsi="Arial"/>
          <w:sz w:val="18"/>
          <w:szCs w:val="18"/>
          <w:color w:val="auto"/>
        </w:rPr>
        <w:t>A.Landlord and Tenant are parties to that certain Lease Agreement dated as of October 4, 2017, as amended by that certain First Amendment to Lease dated as of January 31, 2020, as further amended by that certain Second Amendment to Lease dated as of November 13, 2020, as further amended by that certain Third Amendment to Lease dated as of February 25, 2021, and as further amended by that certain Fourth Amendment to Lease dated as of March 25, 2024 (as amended, the "</w:t>
      </w:r>
      <w:r>
        <w:rPr>
          <w:rFonts w:ascii="Arial" w:cs="Arial" w:eastAsia="Arial" w:hAnsi="Arial"/>
          <w:sz w:val="18"/>
          <w:szCs w:val="18"/>
          <w:b w:val="1"/>
          <w:bCs w:val="1"/>
          <w:color w:val="auto"/>
        </w:rPr>
        <w:t>Lease</w:t>
      </w:r>
      <w:r>
        <w:rPr>
          <w:rFonts w:ascii="Arial" w:cs="Arial" w:eastAsia="Arial" w:hAnsi="Arial"/>
          <w:sz w:val="18"/>
          <w:szCs w:val="18"/>
          <w:color w:val="auto"/>
        </w:rPr>
        <w:t>"), wherein Landlord leases to Tenant certain premises containing approximately 24,705 rentable square feet, commonly known as Suite 250, located at 10628 Science Center Drive, San Diego, California (the “</w:t>
      </w:r>
      <w:r>
        <w:rPr>
          <w:rFonts w:ascii="Arial" w:cs="Arial" w:eastAsia="Arial" w:hAnsi="Arial"/>
          <w:sz w:val="18"/>
          <w:szCs w:val="18"/>
          <w:b w:val="1"/>
          <w:bCs w:val="1"/>
          <w:color w:val="auto"/>
        </w:rPr>
        <w:t>Premises</w:t>
      </w:r>
      <w:r>
        <w:rPr>
          <w:rFonts w:ascii="Arial" w:cs="Arial" w:eastAsia="Arial" w:hAnsi="Arial"/>
          <w:sz w:val="18"/>
          <w:szCs w:val="18"/>
          <w:color w:val="auto"/>
        </w:rPr>
        <w:t>”), and certain temporary premises containing approximately 11,749 rentable square feet, commonly known as Suite 150, located at 10578 Science Center Drive, San Diego, California (the “</w:t>
      </w:r>
      <w:r>
        <w:rPr>
          <w:rFonts w:ascii="Arial" w:cs="Arial" w:eastAsia="Arial" w:hAnsi="Arial"/>
          <w:sz w:val="18"/>
          <w:szCs w:val="18"/>
          <w:b w:val="1"/>
          <w:bCs w:val="1"/>
          <w:color w:val="auto"/>
        </w:rPr>
        <w:t>Temporary Premises</w:t>
      </w:r>
      <w:r>
        <w:rPr>
          <w:rFonts w:ascii="Arial" w:cs="Arial" w:eastAsia="Arial" w:hAnsi="Arial"/>
          <w:sz w:val="18"/>
          <w:szCs w:val="18"/>
          <w:color w:val="auto"/>
        </w:rPr>
        <w:t>”), as more particularly described in the Lease. Capitalized terms used herein without definition shall have the meanings defined for such terms in the Lease.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B.The Term of the Lease, with respect to the Temporary Premises only, is scheduled to expire on March 31, 2025.</w:t>
      </w:r>
    </w:p>
    <w:p>
      <w:pPr>
        <w:spacing w:after="0" w:line="212" w:lineRule="exact"/>
        <w:rPr>
          <w:sz w:val="20"/>
          <w:szCs w:val="20"/>
          <w:color w:val="auto"/>
        </w:rPr>
      </w:pPr>
    </w:p>
    <w:p>
      <w:pPr>
        <w:jc w:val="both"/>
        <w:ind w:left="20" w:firstLine="749"/>
        <w:spacing w:after="0" w:line="257" w:lineRule="auto"/>
        <w:rPr>
          <w:sz w:val="20"/>
          <w:szCs w:val="20"/>
          <w:color w:val="auto"/>
        </w:rPr>
      </w:pPr>
      <w:r>
        <w:rPr>
          <w:rFonts w:ascii="Arial" w:cs="Arial" w:eastAsia="Arial" w:hAnsi="Arial"/>
          <w:sz w:val="18"/>
          <w:szCs w:val="18"/>
          <w:color w:val="auto"/>
        </w:rPr>
        <w:t>C.Landlord and Tenant desire, subject to the terms and conditions set forth below, to amend the Lease to, among other things, reflect the early termination of the Lease with respect to the Temporary Premises only as of the date this Fifth Amendment is executed (the “</w:t>
      </w:r>
      <w:r>
        <w:rPr>
          <w:rFonts w:ascii="Arial" w:cs="Arial" w:eastAsia="Arial" w:hAnsi="Arial"/>
          <w:sz w:val="18"/>
          <w:szCs w:val="18"/>
          <w:b w:val="1"/>
          <w:bCs w:val="1"/>
          <w:color w:val="auto"/>
        </w:rPr>
        <w:t>Temporary Premises Termination Date</w:t>
      </w:r>
      <w:r>
        <w:rPr>
          <w:rFonts w:ascii="Arial" w:cs="Arial" w:eastAsia="Arial" w:hAnsi="Arial"/>
          <w:sz w:val="18"/>
          <w:szCs w:val="18"/>
          <w:color w:val="auto"/>
        </w:rPr>
        <w:t>”).</w:t>
      </w:r>
    </w:p>
    <w:p>
      <w:pPr>
        <w:spacing w:after="0" w:line="159" w:lineRule="exact"/>
        <w:rPr>
          <w:sz w:val="20"/>
          <w:szCs w:val="20"/>
          <w:color w:val="auto"/>
        </w:rPr>
      </w:pPr>
    </w:p>
    <w:p>
      <w:pPr>
        <w:jc w:val="both"/>
        <w:ind w:left="20" w:firstLine="749"/>
        <w:spacing w:after="0" w:line="253"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Recitals, which are incorporated herein by this reference,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jc w:val="both"/>
        <w:ind w:left="760" w:hanging="749"/>
        <w:spacing w:after="0" w:line="238" w:lineRule="auto"/>
        <w:tabs>
          <w:tab w:leader="none" w:pos="760" w:val="left"/>
        </w:tabs>
        <w:numPr>
          <w:ilvl w:val="0"/>
          <w:numId w:val="1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Temporary Premises Termination</w:t>
      </w:r>
      <w:r>
        <w:rPr>
          <w:rFonts w:ascii="Arial" w:cs="Arial" w:eastAsia="Arial" w:hAnsi="Arial"/>
          <w:sz w:val="18"/>
          <w:szCs w:val="18"/>
          <w:color w:val="auto"/>
        </w:rPr>
        <w:t>. The Term of the Lease with respect to the Temporary Premises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the Temporary Premises Termination Date. Tenant shall voluntarily surrender the Temporary Premises on the Temporary Premises Termination Date in accordance with the surrender requirements contained in the Lease and in the condition in which Tenant is required to surrender the Temporary Premises pursuant to the Lease. From and after the Temporary Premises Termination Date, Tenant shall have no further rights of any kind with respect to the Temporary Premises. Notwithstanding the foregoing, those provisions of the Lease which, by their terms, survive the termination of the Lease shall survive the surrender of the Temporary Premises and termination of the Lease with respect to the Temporary Premises as provided for herein. Nothing herein shall excuse Tenant from its obligations under the Lease with respect to the Temporary Premises prior to the Temporary Premises Termination Date. If Tenant fails to surrender the Temporary Premises by the Temporary Premises Termination Date pursuant to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such failure shall constitute a hold over without Landlord’s consent under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original Lease. For the avoidance of doubt, the Term of the Lease shall otherwise continue in full force and effect with respect to the Premises.</w:t>
      </w:r>
    </w:p>
    <w:p>
      <w:pPr>
        <w:spacing w:after="0" w:line="180" w:lineRule="exact"/>
        <w:rPr>
          <w:rFonts w:ascii="Arial" w:cs="Arial" w:eastAsia="Arial" w:hAnsi="Arial"/>
          <w:sz w:val="18"/>
          <w:szCs w:val="18"/>
          <w:b w:val="1"/>
          <w:bCs w:val="1"/>
          <w:u w:val="single" w:color="auto"/>
          <w:color w:val="auto"/>
        </w:rPr>
      </w:pPr>
    </w:p>
    <w:p>
      <w:pPr>
        <w:ind w:left="760" w:right="20" w:hanging="749"/>
        <w:spacing w:after="0" w:line="271" w:lineRule="auto"/>
        <w:tabs>
          <w:tab w:leader="none" w:pos="760" w:val="left"/>
        </w:tabs>
        <w:numPr>
          <w:ilvl w:val="0"/>
          <w:numId w:val="1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 Tenant shall continue paying Base Rent, Operating Expenses, the Amenities Fee and all other amounts due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Lease with respect to the Temporary Premises through the Temporary Premises Termination Date.</w:t>
      </w:r>
    </w:p>
    <w:p>
      <w:pPr>
        <w:spacing w:after="0" w:line="153" w:lineRule="exact"/>
        <w:rPr>
          <w:rFonts w:ascii="Arial" w:cs="Arial" w:eastAsia="Arial" w:hAnsi="Arial"/>
          <w:sz w:val="18"/>
          <w:szCs w:val="18"/>
          <w:b w:val="1"/>
          <w:bCs w:val="1"/>
          <w:u w:val="single" w:color="auto"/>
          <w:color w:val="auto"/>
        </w:rPr>
      </w:pPr>
    </w:p>
    <w:p>
      <w:pPr>
        <w:ind w:left="760" w:hanging="749"/>
        <w:spacing w:after="0" w:line="281" w:lineRule="auto"/>
        <w:tabs>
          <w:tab w:leader="none" w:pos="760" w:val="left"/>
        </w:tabs>
        <w:numPr>
          <w:ilvl w:val="0"/>
          <w:numId w:val="1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Landlord and Tenant each represents and warrants that it has not dealt with any broker, agent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(collectively, “</w:t>
      </w:r>
      <w:r>
        <w:rPr>
          <w:rFonts w:ascii="Arial" w:cs="Arial" w:eastAsia="Arial" w:hAnsi="Arial"/>
          <w:sz w:val="18"/>
          <w:szCs w:val="18"/>
          <w:b w:val="1"/>
          <w:bCs w:val="1"/>
          <w:color w:val="auto"/>
        </w:rPr>
        <w:t>Broker</w:t>
      </w:r>
      <w:r>
        <w:rPr>
          <w:rFonts w:ascii="Arial" w:cs="Arial" w:eastAsia="Arial" w:hAnsi="Arial"/>
          <w:sz w:val="18"/>
          <w:szCs w:val="18"/>
          <w:color w:val="auto"/>
        </w:rPr>
        <w:t>”) in connection with the transaction reflected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-20955</wp:posOffset>
            </wp:positionV>
            <wp:extent cx="2529205"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2529205" cy="351155"/>
                    </a:xfrm>
                    <a:prstGeom prst="rect">
                      <a:avLst/>
                    </a:prstGeom>
                    <a:noFill/>
                  </pic:spPr>
                </pic:pic>
              </a:graphicData>
            </a:graphic>
          </wp:anchor>
        </w:drawing>
      </w:r>
    </w:p>
    <w:p>
      <w:pPr>
        <w:spacing w:after="0" w:line="37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485140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44" w:right="339" w:bottom="1440" w:gutter="0" w:footer="0" w:header="0"/>
        </w:sectPr>
      </w:pPr>
    </w:p>
    <w:bookmarkStart w:id="32" w:name="page33"/>
    <w:bookmarkEnd w:id="32"/>
    <w:p>
      <w:pPr>
        <w:spacing w:after="0" w:line="193" w:lineRule="exact"/>
        <w:rPr>
          <w:sz w:val="20"/>
          <w:szCs w:val="20"/>
          <w:color w:val="auto"/>
        </w:rPr>
      </w:pPr>
    </w:p>
    <w:p>
      <w:pPr>
        <w:jc w:val="both"/>
        <w:ind w:left="760"/>
        <w:spacing w:after="0" w:line="247" w:lineRule="auto"/>
        <w:rPr>
          <w:sz w:val="20"/>
          <w:szCs w:val="20"/>
          <w:color w:val="auto"/>
        </w:rPr>
      </w:pPr>
      <w:r>
        <w:rPr>
          <w:rFonts w:ascii="Arial" w:cs="Arial" w:eastAsia="Arial" w:hAnsi="Arial"/>
          <w:sz w:val="18"/>
          <w:szCs w:val="18"/>
          <w:color w:val="auto"/>
        </w:rPr>
        <w:t>Fifth Amendment and that no Broker brought about this transaction, other than Savills, Cushman &amp; Wakefield and CBRE. Landlord and Tenant each hereby agree to indemnify and hold the other harmless from and against any claims by any Broker, other than Savills, Cushman &amp; Wakefield and CBRE, claiming a commission or other form of compensation by virtue of having dealt with Tenant or Landlord, as applicable, with regard to this Fifth Amendment.</w:t>
      </w:r>
    </w:p>
    <w:p>
      <w:pPr>
        <w:spacing w:after="0" w:line="160" w:lineRule="exact"/>
        <w:rPr>
          <w:sz w:val="20"/>
          <w:szCs w:val="20"/>
          <w:color w:val="auto"/>
        </w:rPr>
      </w:pPr>
    </w:p>
    <w:p>
      <w:pPr>
        <w:ind w:left="760" w:hanging="749"/>
        <w:spacing w:after="0" w:line="271" w:lineRule="auto"/>
        <w:tabs>
          <w:tab w:leader="none" w:pos="760" w:val="left"/>
        </w:tabs>
        <w:numPr>
          <w:ilvl w:val="0"/>
          <w:numId w:val="1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color w:val="auto"/>
        </w:rPr>
        <w:t>.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44(r)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original Lease are hereby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into this Fifth Amendment by reference.</w:t>
      </w:r>
    </w:p>
    <w:p>
      <w:pPr>
        <w:spacing w:after="0" w:line="153" w:lineRule="exact"/>
        <w:rPr>
          <w:rFonts w:ascii="Arial" w:cs="Arial" w:eastAsia="Arial" w:hAnsi="Arial"/>
          <w:sz w:val="18"/>
          <w:szCs w:val="18"/>
          <w:b w:val="1"/>
          <w:bCs w:val="1"/>
          <w:u w:val="single" w:color="auto"/>
          <w:color w:val="auto"/>
        </w:rPr>
      </w:pPr>
    </w:p>
    <w:p>
      <w:pPr>
        <w:jc w:val="both"/>
        <w:ind w:left="760" w:hanging="749"/>
        <w:spacing w:after="0"/>
        <w:tabs>
          <w:tab w:leader="none" w:pos="760" w:val="left"/>
        </w:tabs>
        <w:numPr>
          <w:ilvl w:val="0"/>
          <w:numId w:val="1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all beneficial owners of Tenant are currently (a) in compliance with and shall at all times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the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 (b)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 regulation, and (c) not a person or entity with whom a U.S. person is prohibited from conducting business under the OFAC Rules.</w:t>
      </w:r>
    </w:p>
    <w:p>
      <w:pPr>
        <w:spacing w:after="0" w:line="184" w:lineRule="exact"/>
        <w:rPr>
          <w:rFonts w:ascii="Arial" w:cs="Arial" w:eastAsia="Arial" w:hAnsi="Arial"/>
          <w:sz w:val="18"/>
          <w:szCs w:val="18"/>
          <w:b w:val="1"/>
          <w:bCs w:val="1"/>
          <w:u w:val="single" w:color="auto"/>
          <w:color w:val="auto"/>
        </w:rPr>
      </w:pPr>
    </w:p>
    <w:p>
      <w:pPr>
        <w:ind w:left="760" w:hanging="749"/>
        <w:spacing w:after="0"/>
        <w:tabs>
          <w:tab w:leader="none" w:pos="760" w:val="left"/>
        </w:tabs>
        <w:numPr>
          <w:ilvl w:val="0"/>
          <w:numId w:val="1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u w:val="single" w:color="auto"/>
          <w:color w:val="auto"/>
        </w:rPr>
      </w:pPr>
    </w:p>
    <w:p>
      <w:pPr>
        <w:jc w:val="both"/>
        <w:ind w:left="760"/>
        <w:spacing w:after="0" w:line="247" w:lineRule="auto"/>
        <w:tabs>
          <w:tab w:leader="none" w:pos="9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Fifth Amendment is the entire agreement between the parties with respect to the subject matter hereof and supersedes all prior and contemporaneous oral and written agreements and discussions. Reference to the Lease in this Fifth Amendment shall mean the Lease as amended by this Fifth Amendment. This Fifth Amendment may be amended only by an agreement in writing, signed by the parties hereto.</w:t>
      </w:r>
    </w:p>
    <w:p>
      <w:pPr>
        <w:spacing w:after="0" w:line="173" w:lineRule="exact"/>
        <w:rPr>
          <w:rFonts w:ascii="Arial" w:cs="Arial" w:eastAsia="Arial" w:hAnsi="Arial"/>
          <w:sz w:val="18"/>
          <w:szCs w:val="18"/>
          <w:color w:val="auto"/>
        </w:rPr>
      </w:pPr>
    </w:p>
    <w:p>
      <w:pPr>
        <w:ind w:left="760"/>
        <w:spacing w:after="0" w:line="271" w:lineRule="auto"/>
        <w:tabs>
          <w:tab w:leader="none" w:pos="9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Once executed by both parties, this Fifth Amendment is binding upon and shall inure to the benefit of the parties hereto and their respective successors and assigns.</w:t>
      </w:r>
    </w:p>
    <w:p>
      <w:pPr>
        <w:spacing w:after="0" w:line="153" w:lineRule="exact"/>
        <w:rPr>
          <w:rFonts w:ascii="Arial" w:cs="Arial" w:eastAsia="Arial" w:hAnsi="Arial"/>
          <w:sz w:val="18"/>
          <w:szCs w:val="18"/>
          <w:color w:val="auto"/>
        </w:rPr>
      </w:pPr>
    </w:p>
    <w:p>
      <w:pPr>
        <w:jc w:val="both"/>
        <w:ind w:left="760"/>
        <w:spacing w:after="0"/>
        <w:tabs>
          <w:tab w:leader="none" w:pos="9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This Fifth Amendment may be executed in 2 or more counterparts, each of which shall be deemed an original, but all of which together shall constitute one and the same instrument. Counterparts may be delivered via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Fifth Amendment and all matters related thereto, with such electronic signatures having the same legal effect as original signatures.</w:t>
      </w:r>
    </w:p>
    <w:p>
      <w:pPr>
        <w:spacing w:after="0" w:line="184" w:lineRule="exact"/>
        <w:rPr>
          <w:rFonts w:ascii="Arial" w:cs="Arial" w:eastAsia="Arial" w:hAnsi="Arial"/>
          <w:sz w:val="18"/>
          <w:szCs w:val="18"/>
          <w:color w:val="auto"/>
        </w:rPr>
      </w:pPr>
    </w:p>
    <w:p>
      <w:pPr>
        <w:jc w:val="both"/>
        <w:ind w:left="760"/>
        <w:spacing w:after="0" w:line="242" w:lineRule="auto"/>
        <w:tabs>
          <w:tab w:leader="none" w:pos="9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Except as amended and/or modified by this Fifth Amendment, the Lease is hereby ratified and confirmed and all other terms of the Lease shall remain in full force and effect, unaltered and unchanged by this Fifth Amendment. In the event of any conflict between the provisions of this Fifth Amendment and the provisions of the Lease, the provisions of this Fifth Amendment shall prevail. Whether or not specifically amended by this Fifth Amendment, all of the terms and provisions of the Lease are hereby amended to the extent necessary to give effect to the purpose and intent of this Fifth Amendment.</w:t>
      </w:r>
    </w:p>
    <w:p>
      <w:pPr>
        <w:spacing w:after="0" w:line="200" w:lineRule="exact"/>
        <w:rPr>
          <w:sz w:val="20"/>
          <w:szCs w:val="20"/>
          <w:color w:val="auto"/>
        </w:rPr>
      </w:pPr>
    </w:p>
    <w:p>
      <w:pPr>
        <w:spacing w:after="0" w:line="39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420370</wp:posOffset>
            </wp:positionV>
            <wp:extent cx="2529205" cy="3517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252920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750570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3" w:name="page34"/>
    <w:bookmarkEnd w:id="33"/>
    <w:p>
      <w:pPr>
        <w:ind w:right="1820" w:firstLine="74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Fifth Amendment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ARCTURUS THERAPEUTICS,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ind w:left="450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6"/>
          <w:szCs w:val="16"/>
          <w:color w:val="auto"/>
        </w:rPr>
        <w:t>Joe Payne</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6"/>
          <w:szCs w:val="16"/>
          <w:color w:val="auto"/>
        </w:rPr>
        <w:t>.President &amp; CEO</w:t>
      </w:r>
    </w:p>
    <w:p>
      <w:pPr>
        <w:spacing w:after="0" w:line="216"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X</w:t>
      </w:r>
      <w:r>
        <w:rPr>
          <w:rFonts w:ascii="Arial" w:cs="Arial" w:eastAsia="Arial" w:hAnsi="Arial"/>
          <w:sz w:val="17"/>
          <w:szCs w:val="17"/>
          <w:color w:val="auto"/>
        </w:rPr>
        <w:t>□ I hereby certify that the signature, name, and title</w:t>
      </w:r>
    </w:p>
    <w:p>
      <w:pPr>
        <w:spacing w:after="0" w:line="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above are my signature, name and 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LANDLORD:</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ARE-SD REGION NO. 44, LLC</w:t>
      </w:r>
      <w:r>
        <w:rPr>
          <w:rFonts w:ascii="Arial" w:cs="Arial" w:eastAsia="Arial" w:hAnsi="Arial"/>
          <w:sz w:val="18"/>
          <w:szCs w:val="18"/>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18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ALEXANDRIA REAL ESTATE EQUITIES, L.P.,</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 Delaware limited partnership,</w:t>
      </w:r>
    </w:p>
    <w:p>
      <w:pPr>
        <w:ind w:left="5240"/>
        <w:spacing w:after="0"/>
        <w:rPr>
          <w:sz w:val="20"/>
          <w:szCs w:val="20"/>
          <w:color w:val="auto"/>
        </w:rPr>
      </w:pPr>
      <w:r>
        <w:rPr>
          <w:rFonts w:ascii="Arial" w:cs="Arial" w:eastAsia="Arial" w:hAnsi="Arial"/>
          <w:sz w:val="18"/>
          <w:szCs w:val="18"/>
          <w:color w:val="auto"/>
        </w:rPr>
        <w:t>managing member</w:t>
      </w:r>
    </w:p>
    <w:p>
      <w:pPr>
        <w:spacing w:after="0" w:line="1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ARE-QRS CORP.,</w:t>
      </w:r>
    </w:p>
    <w:p>
      <w:pPr>
        <w:spacing w:after="0" w:line="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 Maryland corporation,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ind w:left="59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6"/>
          <w:szCs w:val="16"/>
          <w:color w:val="auto"/>
        </w:rPr>
        <w:t>Gary Dean</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6"/>
          <w:szCs w:val="16"/>
          <w:u w:val="single" w:color="auto"/>
          <w:color w:val="auto"/>
        </w:rPr>
        <w:t>Executive Vice President – Re</w:t>
      </w:r>
      <w:r>
        <w:rPr>
          <w:rFonts w:ascii="Arial" w:cs="Arial" w:eastAsia="Arial" w:hAnsi="Arial"/>
          <w:sz w:val="16"/>
          <w:szCs w:val="16"/>
          <w:color w:val="auto"/>
        </w:rPr>
        <w:t>al Estate 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1573530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spacing w:after="0" w:line="212" w:lineRule="exact"/>
        <w:rPr>
          <w:sz w:val="20"/>
          <w:szCs w:val="20"/>
          <w:color w:val="auto"/>
        </w:rPr>
      </w:pPr>
    </w:p>
    <w:p>
      <w:pPr>
        <w:spacing w:after="0"/>
        <w:rPr>
          <w:sz w:val="20"/>
          <w:szCs w:val="20"/>
          <w:color w:val="auto"/>
        </w:rPr>
      </w:pPr>
      <w:r>
        <w:rPr>
          <w:sz w:val="1"/>
          <w:szCs w:val="1"/>
          <w:color w:val="auto"/>
        </w:rPr>
        <w:drawing>
          <wp:inline distT="0" distB="0" distL="0" distR="0">
            <wp:extent cx="2057400" cy="28321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2057400" cy="283210"/>
                    </a:xfrm>
                    <a:prstGeom prst="rect">
                      <a:avLst/>
                    </a:prstGeom>
                    <a:noFill/>
                    <a:ln>
                      <a:noFill/>
                    </a:ln>
                  </pic:spPr>
                </pic:pic>
              </a:graphicData>
            </a:graphic>
          </wp:inline>
        </w:drawing>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 Payne, certify that:</w:t>
      </w:r>
    </w:p>
    <w:p>
      <w:pPr>
        <w:spacing w:after="0" w:line="22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Andy Sassine,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Arcturus Therapeutics Holdings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spacing w:after="0"/>
        <w:tabs>
          <w:tab w:leader="none" w:pos="5680" w:val="left"/>
          <w:tab w:leader="none" w:pos="792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2025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0"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Andy Sassine</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o"/>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4"/>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jpeg"/><Relationship Id="rId176" Type="http://schemas.openxmlformats.org/officeDocument/2006/relationships/image" Target="media/image129.png"/><Relationship Id="rId177" Type="http://schemas.openxmlformats.org/officeDocument/2006/relationships/image" Target="media/image130.jpe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jpe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28" Type="http://schemas.openxmlformats.org/officeDocument/2006/relationships/hyperlink" Target="https://www.sec.gov/Archives/edgar/data/1768224/000119380522001786/e618047_ex1-2.htm" TargetMode="External"/><Relationship Id="rId129" Type="http://schemas.openxmlformats.org/officeDocument/2006/relationships/hyperlink" Target="https://www.sec.gov/Archives/edgar/data/1768224/000119380523001112/e618839_ex1-1.htm" TargetMode="External"/><Relationship Id="rId130" Type="http://schemas.openxmlformats.org/officeDocument/2006/relationships/hyperlink" Target="https://www.sec.gov/Archives/edgar/data/0001566049/000119312519077140/d721306ds4.htm" TargetMode="External"/><Relationship Id="rId131" Type="http://schemas.openxmlformats.org/officeDocument/2006/relationships/hyperlink" Target="https://www.sec.gov/Archives/edgar/data/0001768224/000119380520001470/e620104_ex3-1.htm" TargetMode="External"/><Relationship Id="rId132" Type="http://schemas.openxmlformats.org/officeDocument/2006/relationships/hyperlink" Target="https://www.sec.gov/Archives/edgar/data/0001768224/000119380520000569/e619613_ex3-2.htm" TargetMode="External"/><Relationship Id="rId133" Type="http://schemas.openxmlformats.org/officeDocument/2006/relationships/hyperlink" Target="https://www.sec.gov/Archives/edgar/data/1768224/000156459021009872/arct-ex41_391.htm" TargetMode="External"/><Relationship Id="rId134" Type="http://schemas.openxmlformats.org/officeDocument/2006/relationships/hyperlink" Target="https://www.sec.gov/Archives/edgar/data/1768224/000156459020011037/arct-ex101_364.htm" TargetMode="External"/><Relationship Id="rId135" Type="http://schemas.openxmlformats.org/officeDocument/2006/relationships/hyperlink" Target="https://www.sec.gov/Archives/edgar/data/0001768224/000119380520000940/e619825_ex4-3.htm" TargetMode="External"/><Relationship Id="rId136" Type="http://schemas.openxmlformats.org/officeDocument/2006/relationships/hyperlink" Target="https://www.sec.gov/Archives/edgar/data/0001566049/000156459018023735/arct-ex992_6.htm" TargetMode="External"/><Relationship Id="rId137" Type="http://schemas.openxmlformats.org/officeDocument/2006/relationships/hyperlink" Target="https://www.sec.gov/Archives/edgar/data/0001566049/000156459018013460/arct-ex48_879.htm" TargetMode="External"/><Relationship Id="rId138" Type="http://schemas.openxmlformats.org/officeDocument/2006/relationships/hyperlink" Target="https://www.sec.gov/Archives/edgar/data/0001566049/000156459018013460/arct-ex410_883.htm" TargetMode="External"/><Relationship Id="rId139" Type="http://schemas.openxmlformats.org/officeDocument/2006/relationships/hyperlink" Target="https://www.sec.gov/Archives/edgar/data/0001566049/000119312519176908/d721252dex102.htm" TargetMode="External"/><Relationship Id="rId140" Type="http://schemas.openxmlformats.org/officeDocument/2006/relationships/hyperlink" Target="https://www.sec.gov/Archives/edgar/data/0001566049/000156459018013460/arct-ex411_878.htm" TargetMode="External"/><Relationship Id="rId141" Type="http://schemas.openxmlformats.org/officeDocument/2006/relationships/hyperlink" Target="https://www.sec.gov/Archives/edgar/data/0001768224/000156459019032166/arct-ex1016_165.htm" TargetMode="External"/><Relationship Id="rId142" Type="http://schemas.openxmlformats.org/officeDocument/2006/relationships/hyperlink" Target="https://www.sec.gov/Archives/edgar/data/0001566049/000156459018013460/arct-ex412_1677.htm" TargetMode="External"/><Relationship Id="rId143" Type="http://schemas.openxmlformats.org/officeDocument/2006/relationships/hyperlink" Target="https://www.sec.gov/Archives/edgar/data/0001768224/000156459019032166/arct-ex1020_166.htm" TargetMode="External"/><Relationship Id="rId144" Type="http://schemas.openxmlformats.org/officeDocument/2006/relationships/hyperlink" Target="https://www.sec.gov/Archives/edgar/data/0001566049/000156459018016705/arct-ex414_7.htm" TargetMode="External"/><Relationship Id="rId147" Type="http://schemas.openxmlformats.org/officeDocument/2006/relationships/hyperlink" Target="https://www.sec.gov/Archives/edgar/data/0001566049/000156459018013460/arct-ex415_876.htm" TargetMode="External"/><Relationship Id="rId148" Type="http://schemas.openxmlformats.org/officeDocument/2006/relationships/hyperlink" Target="https://www.sec.gov/Archives/edgar/data/0001566049/000156459019008092/arct-ex1013_446.htm" TargetMode="External"/><Relationship Id="rId149" Type="http://schemas.openxmlformats.org/officeDocument/2006/relationships/hyperlink" Target="https://www.sec.gov/Archives/edgar/data/0001566049/000156459018013460/arct-ex46_882.htm" TargetMode="External"/><Relationship Id="rId150" Type="http://schemas.openxmlformats.org/officeDocument/2006/relationships/hyperlink" Target="https://www.sec.gov/Archives/edgar/data/0001768224/000156459020011037/arct-ex1023_426.htm" TargetMode="External"/><Relationship Id="rId151" Type="http://schemas.openxmlformats.org/officeDocument/2006/relationships/hyperlink" Target="https://www.sec.gov/Archives/edgar/data/0001768224/000156459020011037/arct-ex1024_365.htm" TargetMode="External"/><Relationship Id="rId152" Type="http://schemas.openxmlformats.org/officeDocument/2006/relationships/hyperlink" Target="https://www.sec.gov/Archives/edgar/data/1768224/000156459021009872/arct-ex1029_392.htm" TargetMode="External"/><Relationship Id="rId153" Type="http://schemas.openxmlformats.org/officeDocument/2006/relationships/hyperlink" Target="https://www.sec.gov/Archives/edgar/data/1768224/000156459021009872/arct-ex1030_393.htm" TargetMode="External"/><Relationship Id="rId154" Type="http://schemas.openxmlformats.org/officeDocument/2006/relationships/hyperlink" Target="https://www.sec.gov/Archives/edgar/data/1768224/000119380521000538/e620514_ex10-1.htm" TargetMode="External"/><Relationship Id="rId155" Type="http://schemas.openxmlformats.org/officeDocument/2006/relationships/hyperlink" Target="https://www.sec.gov/Archives/edgar/data/1768224/000156459021055372/arct-ex1035_75.htm" TargetMode="External"/><Relationship Id="rId156" Type="http://schemas.openxmlformats.org/officeDocument/2006/relationships/hyperlink" Target="https://www.sec.gov/Archives/edgar/data/0001768224/000119380521001468/e621018_ex4-1.htm" TargetMode="External"/><Relationship Id="rId157" Type="http://schemas.openxmlformats.org/officeDocument/2006/relationships/hyperlink" Target="https://www.sec.gov/Archives/edgar/data/1768224/000119380522001036/e621786_ex4-3.htm" TargetMode="External"/><Relationship Id="rId158" Type="http://schemas.openxmlformats.org/officeDocument/2006/relationships/hyperlink" Target="https://www.sec.gov/Archives/edgar/data/1768224/000095017022023969/arct-ex10_36.htm" TargetMode="External"/><Relationship Id="rId159" Type="http://schemas.openxmlformats.org/officeDocument/2006/relationships/hyperlink" Target="https://www.sec.gov/Archives/edgar/data/1768224/000119380522001480/e617791_ex10-1.htm" TargetMode="External"/><Relationship Id="rId160" Type="http://schemas.openxmlformats.org/officeDocument/2006/relationships/hyperlink" Target="https://www.sec.gov/Archives/edgar/data/1768224/000095017022023969/arct-ex10_38.htm" TargetMode="External"/><Relationship Id="rId161" Type="http://schemas.openxmlformats.org/officeDocument/2006/relationships/hyperlink" Target="https://www.sec.gov/Archives/edgar/data/1768224/000095017023010380/arct-ex10_41.htm" TargetMode="External"/><Relationship Id="rId162" Type="http://schemas.openxmlformats.org/officeDocument/2006/relationships/hyperlink" Target="https://www.sec.gov/Archives/edgar/data/1768224/000095017023019773/arct-ex10_28.htm" TargetMode="External"/><Relationship Id="rId165" Type="http://schemas.openxmlformats.org/officeDocument/2006/relationships/hyperlink" Target="https://www.sec.gov/Archives/edgar/data/1768224/000095017023019773/arct-ex10_29.htm" TargetMode="External"/><Relationship Id="rId166" Type="http://schemas.openxmlformats.org/officeDocument/2006/relationships/hyperlink" Target="https://www.sec.gov/Archives/edgar/data/1768224/000095017023019773/arct-ex10_30.htm" TargetMode="External"/><Relationship Id="rId167" Type="http://schemas.openxmlformats.org/officeDocument/2006/relationships/hyperlink" Target="https://www.sec.gov/Archives/edgar/data/1768224/000095017023063778/arct-ex10_31.htm" TargetMode="External"/><Relationship Id="rId168" Type="http://schemas.openxmlformats.org/officeDocument/2006/relationships/hyperlink" Target="https://www.sec.gov/Archives/edgar/data/1768224/000095017023063778/arct-ex10_32.htm" TargetMode="External"/><Relationship Id="rId169" Type="http://schemas.openxmlformats.org/officeDocument/2006/relationships/hyperlink" Target="https://www.sec.gov/Archives/edgar/data/1768224/000095017024055702/arct-ex10_33.htm" TargetMode="External"/><Relationship Id="rId170" Type="http://schemas.openxmlformats.org/officeDocument/2006/relationships/hyperlink" Target="https://www.sec.gov/Archives/edgar/data/1768224/000119380524000806/e663711_ex10-1.htm" TargetMode="External"/><Relationship Id="rId171" Type="http://schemas.openxmlformats.org/officeDocument/2006/relationships/hyperlink" Target="https://www.sec.gov/Archives/edgar/data/1768224/000095017024090905/arct-ex10_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2025-05-12T15:25:56Z</dcterms:created>
  <dcterms:modified xsi:type="dcterms:W3CDTF">2025-05-12T15:25:56Z</dcterms:modified>
</cp:coreProperties>
</file>