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13d-2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_1_)*</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M2239P109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-130810</wp:posOffset>
            </wp:positionV>
            <wp:extent cx="2049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3B3B3B"/>
        </w:rPr>
        <w:t>December 31, 2016</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2243455</wp:posOffset>
            </wp:positionH>
            <wp:positionV relativeFrom="paragraph">
              <wp:posOffset>-130810</wp:posOffset>
            </wp:positionV>
            <wp:extent cx="2769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460" w:type="dxa"/>
            <w:vAlign w:val="bottom"/>
          </w:tcPr>
          <w:p>
            <w:pPr>
              <w:spacing w:after="0"/>
              <w:rPr>
                <w:sz w:val="19"/>
                <w:szCs w:val="19"/>
                <w:color w:val="auto"/>
              </w:rPr>
            </w:pPr>
          </w:p>
        </w:tc>
        <w:tc>
          <w:tcPr>
            <w:tcW w:w="342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13G</w:t>
            </w:r>
          </w:p>
        </w:tc>
        <w:tc>
          <w:tcPr>
            <w:tcW w:w="140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right w:val="single" w:sz="8" w:color="auto"/>
            </w:tcBorders>
            <w:gridSpan w:val="2"/>
          </w:tcPr>
          <w:p>
            <w:pPr>
              <w:ind w:left="940"/>
              <w:spacing w:after="0"/>
              <w:rPr>
                <w:sz w:val="20"/>
                <w:szCs w:val="20"/>
                <w:color w:val="auto"/>
              </w:rPr>
            </w:pPr>
            <w:r>
              <w:rPr>
                <w:rFonts w:ascii="Arial" w:cs="Arial" w:eastAsia="Arial" w:hAnsi="Arial"/>
                <w:sz w:val="18"/>
                <w:szCs w:val="18"/>
                <w:color w:val="auto"/>
                <w:w w:val="91"/>
              </w:rPr>
              <w:t>Page 2 of 7 Pages</w:t>
            </w: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NAME OF REPORTING PERSONS</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Knoll Capital Management, LP</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14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vMerge w:val="restart"/>
          </w:tcPr>
          <w:p>
            <w:pPr>
              <w:ind w:left="1580"/>
              <w:spacing w:after="0"/>
              <w:rPr>
                <w:sz w:val="20"/>
                <w:szCs w:val="20"/>
                <w:color w:val="auto"/>
              </w:rPr>
            </w:pPr>
            <w:r>
              <w:rPr>
                <w:rFonts w:ascii="Arial" w:cs="Arial" w:eastAsia="Arial" w:hAnsi="Arial"/>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ind w:left="1620"/>
              <w:spacing w:after="0"/>
              <w:rPr>
                <w:sz w:val="20"/>
                <w:szCs w:val="20"/>
                <w:color w:val="auto"/>
              </w:rPr>
            </w:pPr>
            <w:r>
              <w:rPr>
                <w:rFonts w:ascii="Arial" w:cs="Arial" w:eastAsia="Arial" w:hAnsi="Arial"/>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1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8"/>
              </w:rPr>
              <w:t>NUMBER OF</w:t>
            </w:r>
          </w:p>
        </w:tc>
        <w:tc>
          <w:tcPr>
            <w:tcW w:w="340" w:type="dxa"/>
            <w:vAlign w:val="bottom"/>
          </w:tcPr>
          <w:p>
            <w:pPr>
              <w:spacing w:after="0"/>
              <w:rPr>
                <w:sz w:val="24"/>
                <w:szCs w:val="24"/>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5.</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4"/>
              </w:rPr>
              <w:t>SHARES</w:t>
            </w:r>
          </w:p>
        </w:tc>
        <w:tc>
          <w:tcPr>
            <w:tcW w:w="34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right w:val="single" w:sz="8" w:color="auto"/>
            </w:tcBorders>
          </w:tcPr>
          <w:p>
            <w:pPr>
              <w:jc w:val="center"/>
              <w:ind w:right="850"/>
              <w:spacing w:after="0" w:line="182" w:lineRule="exact"/>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3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OWNED BY</w:t>
            </w:r>
          </w:p>
        </w:tc>
        <w:tc>
          <w:tcPr>
            <w:tcW w:w="340" w:type="dxa"/>
            <w:vAlign w:val="bottom"/>
          </w:tcPr>
          <w:p>
            <w:pPr>
              <w:spacing w:after="0"/>
              <w:rPr>
                <w:sz w:val="18"/>
                <w:szCs w:val="18"/>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6.</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9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EACH</w:t>
            </w:r>
          </w:p>
        </w:tc>
        <w:tc>
          <w:tcPr>
            <w:tcW w:w="3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1"/>
              </w:rPr>
              <w:t>REPORTING</w:t>
            </w:r>
          </w:p>
        </w:tc>
        <w:tc>
          <w:tcPr>
            <w:tcW w:w="3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1,205,498</w:t>
            </w:r>
          </w:p>
        </w:tc>
        <w:tc>
          <w:tcPr>
            <w:tcW w:w="1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2"/>
              </w:rPr>
              <w:t>PERSON</w:t>
            </w: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520" w:type="dxa"/>
            <w:vAlign w:val="bottom"/>
            <w:tcBorders>
              <w:right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4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340" w:type="dxa"/>
            <w:vAlign w:val="bottom"/>
          </w:tcPr>
          <w:p>
            <w:pPr>
              <w:spacing w:after="0"/>
              <w:rPr>
                <w:sz w:val="22"/>
                <w:szCs w:val="22"/>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7.</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19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8.</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1,205,498</w:t>
            </w: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4"/>
                <w:szCs w:val="24"/>
                <w:color w:val="auto"/>
              </w:rPr>
            </w:pP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1,205,498</w:t>
            </w: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Pr>
          <w:p>
            <w:pPr>
              <w:spacing w:after="0"/>
              <w:rPr>
                <w:sz w:val="24"/>
                <w:szCs w:val="24"/>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4"/>
                <w:szCs w:val="24"/>
                <w:color w:val="auto"/>
              </w:rPr>
            </w:pP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4.37%</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4"/>
                <w:szCs w:val="24"/>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460" w:type="dxa"/>
            <w:vAlign w:val="bottom"/>
          </w:tcPr>
          <w:p>
            <w:pPr>
              <w:spacing w:after="0"/>
              <w:rPr>
                <w:sz w:val="19"/>
                <w:szCs w:val="19"/>
                <w:color w:val="auto"/>
              </w:rPr>
            </w:pPr>
          </w:p>
        </w:tc>
        <w:tc>
          <w:tcPr>
            <w:tcW w:w="342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13G</w:t>
            </w:r>
          </w:p>
        </w:tc>
        <w:tc>
          <w:tcPr>
            <w:tcW w:w="140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right w:val="single" w:sz="8" w:color="auto"/>
            </w:tcBorders>
            <w:gridSpan w:val="2"/>
          </w:tcPr>
          <w:p>
            <w:pPr>
              <w:ind w:left="940"/>
              <w:spacing w:after="0"/>
              <w:rPr>
                <w:sz w:val="20"/>
                <w:szCs w:val="20"/>
                <w:color w:val="auto"/>
              </w:rPr>
            </w:pPr>
            <w:r>
              <w:rPr>
                <w:rFonts w:ascii="Arial" w:cs="Arial" w:eastAsia="Arial" w:hAnsi="Arial"/>
                <w:sz w:val="18"/>
                <w:szCs w:val="18"/>
                <w:color w:val="auto"/>
                <w:w w:val="91"/>
              </w:rPr>
              <w:t>Page 3 of 7 Pages</w:t>
            </w: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NAME OF REPORTING PERSONS</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Fred Knoll</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14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vMerge w:val="restart"/>
          </w:tcPr>
          <w:p>
            <w:pPr>
              <w:ind w:left="1580"/>
              <w:spacing w:after="0"/>
              <w:rPr>
                <w:sz w:val="20"/>
                <w:szCs w:val="20"/>
                <w:color w:val="auto"/>
              </w:rPr>
            </w:pPr>
            <w:r>
              <w:rPr>
                <w:rFonts w:ascii="Arial" w:cs="Arial" w:eastAsia="Arial" w:hAnsi="Arial"/>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ind w:left="1620"/>
              <w:spacing w:after="0"/>
              <w:rPr>
                <w:sz w:val="20"/>
                <w:szCs w:val="20"/>
                <w:color w:val="auto"/>
              </w:rPr>
            </w:pPr>
            <w:r>
              <w:rPr>
                <w:rFonts w:ascii="Arial" w:cs="Arial" w:eastAsia="Arial" w:hAnsi="Arial"/>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1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USA</w:t>
            </w: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8"/>
              </w:rPr>
              <w:t>NUMBER OF</w:t>
            </w:r>
          </w:p>
        </w:tc>
        <w:tc>
          <w:tcPr>
            <w:tcW w:w="340" w:type="dxa"/>
            <w:vAlign w:val="bottom"/>
          </w:tcPr>
          <w:p>
            <w:pPr>
              <w:spacing w:after="0"/>
              <w:rPr>
                <w:sz w:val="24"/>
                <w:szCs w:val="24"/>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5.</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4"/>
              </w:rPr>
              <w:t>SHARES</w:t>
            </w:r>
          </w:p>
        </w:tc>
        <w:tc>
          <w:tcPr>
            <w:tcW w:w="34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right w:val="single" w:sz="8" w:color="auto"/>
            </w:tcBorders>
          </w:tcPr>
          <w:p>
            <w:pPr>
              <w:jc w:val="center"/>
              <w:ind w:right="850"/>
              <w:spacing w:after="0" w:line="182" w:lineRule="exact"/>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3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OWNED BY</w:t>
            </w:r>
          </w:p>
        </w:tc>
        <w:tc>
          <w:tcPr>
            <w:tcW w:w="340" w:type="dxa"/>
            <w:vAlign w:val="bottom"/>
          </w:tcPr>
          <w:p>
            <w:pPr>
              <w:spacing w:after="0"/>
              <w:rPr>
                <w:sz w:val="18"/>
                <w:szCs w:val="18"/>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6.</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9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EACH</w:t>
            </w:r>
          </w:p>
        </w:tc>
        <w:tc>
          <w:tcPr>
            <w:tcW w:w="3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1"/>
              </w:rPr>
              <w:t>REPORTING</w:t>
            </w:r>
          </w:p>
        </w:tc>
        <w:tc>
          <w:tcPr>
            <w:tcW w:w="3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1,205,498</w:t>
            </w:r>
          </w:p>
        </w:tc>
        <w:tc>
          <w:tcPr>
            <w:tcW w:w="1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2"/>
              </w:rPr>
              <w:t>PERSON</w:t>
            </w: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520" w:type="dxa"/>
            <w:vAlign w:val="bottom"/>
            <w:tcBorders>
              <w:right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4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340" w:type="dxa"/>
            <w:vAlign w:val="bottom"/>
          </w:tcPr>
          <w:p>
            <w:pPr>
              <w:spacing w:after="0"/>
              <w:rPr>
                <w:sz w:val="22"/>
                <w:szCs w:val="22"/>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7.</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19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8.</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1,205,498</w:t>
            </w: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4"/>
                <w:szCs w:val="24"/>
                <w:color w:val="auto"/>
              </w:rPr>
            </w:pP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1,205,498</w:t>
            </w: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Pr>
          <w:p>
            <w:pPr>
              <w:spacing w:after="0"/>
              <w:rPr>
                <w:sz w:val="24"/>
                <w:szCs w:val="24"/>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4"/>
                <w:szCs w:val="24"/>
                <w:color w:val="auto"/>
              </w:rPr>
            </w:pP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4.37%</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4"/>
                <w:szCs w:val="24"/>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460" w:type="dxa"/>
            <w:vAlign w:val="bottom"/>
          </w:tcPr>
          <w:p>
            <w:pPr>
              <w:spacing w:after="0"/>
              <w:rPr>
                <w:sz w:val="19"/>
                <w:szCs w:val="19"/>
                <w:color w:val="auto"/>
              </w:rPr>
            </w:pPr>
          </w:p>
        </w:tc>
        <w:tc>
          <w:tcPr>
            <w:tcW w:w="342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13G</w:t>
            </w:r>
          </w:p>
        </w:tc>
        <w:tc>
          <w:tcPr>
            <w:tcW w:w="140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right w:val="single" w:sz="8" w:color="auto"/>
            </w:tcBorders>
            <w:gridSpan w:val="2"/>
          </w:tcPr>
          <w:p>
            <w:pPr>
              <w:ind w:left="940"/>
              <w:spacing w:after="0"/>
              <w:rPr>
                <w:sz w:val="20"/>
                <w:szCs w:val="20"/>
                <w:color w:val="auto"/>
              </w:rPr>
            </w:pPr>
            <w:r>
              <w:rPr>
                <w:rFonts w:ascii="Arial" w:cs="Arial" w:eastAsia="Arial" w:hAnsi="Arial"/>
                <w:sz w:val="18"/>
                <w:szCs w:val="18"/>
                <w:color w:val="auto"/>
                <w:w w:val="91"/>
              </w:rPr>
              <w:t>Page 4 of 7 Pages</w:t>
            </w: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NAME OF REPORTING PERSONS</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Gakasa Holdings, LLC</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14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vMerge w:val="restart"/>
          </w:tcPr>
          <w:p>
            <w:pPr>
              <w:ind w:left="1580"/>
              <w:spacing w:after="0"/>
              <w:rPr>
                <w:sz w:val="20"/>
                <w:szCs w:val="20"/>
                <w:color w:val="auto"/>
              </w:rPr>
            </w:pPr>
            <w:r>
              <w:rPr>
                <w:rFonts w:ascii="Arial" w:cs="Arial" w:eastAsia="Arial" w:hAnsi="Arial"/>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ind w:left="1620"/>
              <w:spacing w:after="0"/>
              <w:rPr>
                <w:sz w:val="20"/>
                <w:szCs w:val="20"/>
                <w:color w:val="auto"/>
              </w:rPr>
            </w:pPr>
            <w:r>
              <w:rPr>
                <w:rFonts w:ascii="Arial" w:cs="Arial" w:eastAsia="Arial" w:hAnsi="Arial"/>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1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Florida</w:t>
            </w: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8"/>
              </w:rPr>
              <w:t>NUMBER OF</w:t>
            </w:r>
          </w:p>
        </w:tc>
        <w:tc>
          <w:tcPr>
            <w:tcW w:w="340" w:type="dxa"/>
            <w:vAlign w:val="bottom"/>
          </w:tcPr>
          <w:p>
            <w:pPr>
              <w:spacing w:after="0"/>
              <w:rPr>
                <w:sz w:val="24"/>
                <w:szCs w:val="24"/>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5.</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4"/>
              </w:rPr>
              <w:t>SHARES</w:t>
            </w:r>
          </w:p>
        </w:tc>
        <w:tc>
          <w:tcPr>
            <w:tcW w:w="34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right w:val="single" w:sz="8" w:color="auto"/>
            </w:tcBorders>
          </w:tcPr>
          <w:p>
            <w:pPr>
              <w:jc w:val="center"/>
              <w:ind w:right="850"/>
              <w:spacing w:after="0" w:line="182" w:lineRule="exact"/>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3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OWNED BY</w:t>
            </w:r>
          </w:p>
        </w:tc>
        <w:tc>
          <w:tcPr>
            <w:tcW w:w="340" w:type="dxa"/>
            <w:vAlign w:val="bottom"/>
          </w:tcPr>
          <w:p>
            <w:pPr>
              <w:spacing w:after="0"/>
              <w:rPr>
                <w:sz w:val="18"/>
                <w:szCs w:val="18"/>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6.</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9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EACH</w:t>
            </w:r>
          </w:p>
        </w:tc>
        <w:tc>
          <w:tcPr>
            <w:tcW w:w="3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1"/>
              </w:rPr>
              <w:t>REPORTING</w:t>
            </w:r>
          </w:p>
        </w:tc>
        <w:tc>
          <w:tcPr>
            <w:tcW w:w="3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1,205,498</w:t>
            </w:r>
          </w:p>
        </w:tc>
        <w:tc>
          <w:tcPr>
            <w:tcW w:w="1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2"/>
              </w:rPr>
              <w:t>PERSON</w:t>
            </w: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520" w:type="dxa"/>
            <w:vAlign w:val="bottom"/>
            <w:tcBorders>
              <w:right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4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340" w:type="dxa"/>
            <w:vAlign w:val="bottom"/>
          </w:tcPr>
          <w:p>
            <w:pPr>
              <w:spacing w:after="0"/>
              <w:rPr>
                <w:sz w:val="22"/>
                <w:szCs w:val="22"/>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7.</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19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right w:val="single" w:sz="8" w:color="auto"/>
            </w:tcBorders>
          </w:tcPr>
          <w:p>
            <w:pPr>
              <w:jc w:val="right"/>
              <w:ind w:right="255"/>
              <w:spacing w:after="0"/>
              <w:rPr>
                <w:sz w:val="20"/>
                <w:szCs w:val="20"/>
                <w:color w:val="auto"/>
              </w:rPr>
            </w:pPr>
            <w:r>
              <w:rPr>
                <w:rFonts w:ascii="Arial" w:cs="Arial" w:eastAsia="Arial" w:hAnsi="Arial"/>
                <w:sz w:val="17"/>
                <w:szCs w:val="17"/>
                <w:color w:val="auto"/>
                <w:w w:val="70"/>
              </w:rPr>
              <w:t>8.</w:t>
            </w:r>
          </w:p>
        </w:tc>
        <w:tc>
          <w:tcPr>
            <w:tcW w:w="48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1,205,498</w:t>
            </w: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4"/>
                <w:szCs w:val="24"/>
                <w:color w:val="auto"/>
              </w:rPr>
            </w:pP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1,205,498</w:t>
            </w: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Pr>
          <w:p>
            <w:pPr>
              <w:spacing w:after="0"/>
              <w:rPr>
                <w:sz w:val="24"/>
                <w:szCs w:val="24"/>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4"/>
                <w:szCs w:val="24"/>
                <w:color w:val="auto"/>
              </w:rPr>
            </w:pP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4.37%</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4"/>
                <w:szCs w:val="24"/>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LLC</w:t>
            </w: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2340"/>
              <w:spacing w:after="0"/>
              <w:rPr>
                <w:sz w:val="20"/>
                <w:szCs w:val="20"/>
                <w:color w:val="auto"/>
              </w:rPr>
            </w:pPr>
            <w:r>
              <w:rPr>
                <w:rFonts w:ascii="Arial" w:cs="Arial" w:eastAsia="Arial" w:hAnsi="Arial"/>
                <w:sz w:val="18"/>
                <w:szCs w:val="18"/>
                <w:color w:val="auto"/>
                <w:w w:val="91"/>
              </w:rPr>
              <w:t>Page 5 of 7 Pages</w:t>
            </w:r>
          </w:p>
        </w:tc>
      </w:tr>
      <w:tr>
        <w:trPr>
          <w:trHeight w:val="8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76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Alcobra Ltd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65 Rothchild Ave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Aviv 65785, ISRAEL</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Knoll Capital Management LP (“KCMLP”)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 Knoll (“Knoll”)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Gakasa Holdings, LLC (“Gakasa”)</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principle business address for each of KCMLP, Knoll and Gakasa is 5 East 44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12, New York, NY 10017</w:t>
      </w:r>
    </w:p>
    <w:p>
      <w:pPr>
        <w:spacing w:after="0" w:line="3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KCMLP is a limited partnership formed and existing under the laws of the State of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Knoll is a citizen of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Gakasa is a limited liability company organized under the laws of the State of Florida.</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on Schedule 13G is being filed with respect to Common Stock, $0.01 par value per share (the “Common Stock”) of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this statement is filed pursuant to Rules 13d-1(b), or 13d-2(b) or (c), check whether the person filing is a: </w:t>
      </w:r>
      <w:r>
        <w:rPr>
          <w:rFonts w:ascii="Arial" w:cs="Arial" w:eastAsia="Arial" w:hAnsi="Arial"/>
          <w:sz w:val="16"/>
          <w:szCs w:val="16"/>
          <w:color w:val="auto"/>
        </w:rPr>
        <w:t>Not applicable</w:t>
      </w:r>
    </w:p>
    <w:p>
      <w:pPr>
        <w:spacing w:after="0" w:line="197" w:lineRule="exact"/>
        <w:rPr>
          <w:sz w:val="20"/>
          <w:szCs w:val="20"/>
          <w:color w:val="auto"/>
        </w:rPr>
      </w:pPr>
    </w:p>
    <w:p>
      <w:pPr>
        <w:ind w:left="1960" w:hanging="655"/>
        <w:spacing w:after="0" w:line="207" w:lineRule="exact"/>
        <w:tabs>
          <w:tab w:leader="none" w:pos="1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2340"/>
              <w:spacing w:after="0"/>
              <w:rPr>
                <w:sz w:val="20"/>
                <w:szCs w:val="20"/>
                <w:color w:val="auto"/>
              </w:rPr>
            </w:pPr>
            <w:r>
              <w:rPr>
                <w:rFonts w:ascii="Arial" w:cs="Arial" w:eastAsia="Arial" w:hAnsi="Arial"/>
                <w:sz w:val="18"/>
                <w:szCs w:val="18"/>
                <w:color w:val="auto"/>
                <w:w w:val="91"/>
              </w:rPr>
              <w:t>Page 6 of 7 Pages</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960" w:hanging="655"/>
        <w:spacing w:after="0" w:line="207" w:lineRule="exact"/>
        <w:tabs>
          <w:tab w:leader="none" w:pos="19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600" w:hanging="1295"/>
        <w:spacing w:after="0" w:line="223" w:lineRule="exact"/>
        <w:tabs>
          <w:tab w:leader="none" w:pos="1952"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spacing w:after="0" w:line="203"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 _________________</w:t>
      </w:r>
    </w:p>
    <w:p>
      <w:pPr>
        <w:sectPr>
          <w:pgSz w:w="11900" w:h="16838" w:orient="portrait"/>
          <w:cols w:equalWidth="0" w:num="1">
            <w:col w:w="11420"/>
          </w:cols>
          <w:pgMar w:left="240" w:top="228"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80" w:space="720"/>
            <w:col w:w="10120"/>
          </w:cols>
          <w:pgMar w:left="240" w:top="228" w:right="2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class of securities of the issuer identified in Item 1.</w:t>
      </w:r>
    </w:p>
    <w:p>
      <w:pPr>
        <w:spacing w:after="0" w:line="24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Amount beneficially owned:</w:t>
      </w:r>
    </w:p>
    <w:p>
      <w:pPr>
        <w:sectPr>
          <w:pgSz w:w="11900" w:h="16838" w:orient="portrait"/>
          <w:cols w:equalWidth="0" w:num="1">
            <w:col w:w="11420"/>
          </w:cols>
          <w:pgMar w:left="240" w:top="22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Each of KCMLP and Knoll beneficially own 1,205,498 Shares of the Issuer’s Common Stock. KCMLP is the investment manager of Gakasa, and Knoll is the President of KCMLP.</w:t>
      </w:r>
    </w:p>
    <w:p>
      <w:pPr>
        <w:spacing w:after="0" w:line="170" w:lineRule="exact"/>
        <w:rPr>
          <w:sz w:val="20"/>
          <w:szCs w:val="20"/>
          <w:color w:val="auto"/>
        </w:rPr>
      </w:pPr>
    </w:p>
    <w:p>
      <w:pPr>
        <w:ind w:left="1180" w:hanging="524"/>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1,205,498 shares of the Issuer’s Common Stock beneficially owned by each of Gakasa, KCMLP and Knoll constitute 4.37% of the Issuer’s Common Stock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This percentage is calculated based on a total of 27,560,920 Ordinary Shares outstanding as reported in the Issuer’s Form 20-F filed March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2016.</w:t>
      </w:r>
    </w:p>
    <w:p>
      <w:pPr>
        <w:spacing w:after="0" w:line="147" w:lineRule="exact"/>
        <w:rPr>
          <w:sz w:val="20"/>
          <w:szCs w:val="20"/>
          <w:color w:val="auto"/>
        </w:rPr>
      </w:pPr>
    </w:p>
    <w:p>
      <w:pPr>
        <w:ind w:left="1180" w:hanging="52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1,205,498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KCMLP, Knoll and Gakasa share the power to vote or direct the vote of those shares of Common Stock owned by Gakasa.</w:t>
      </w:r>
    </w:p>
    <w:p>
      <w:pPr>
        <w:spacing w:after="0" w:line="225"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1,205,498</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KCMLP, Knoll and Gakasa share the power to dispose of or direct the disposition of those shares of Common Stock owned by Gakasa.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2340"/>
              <w:spacing w:after="0"/>
              <w:rPr>
                <w:sz w:val="20"/>
                <w:szCs w:val="20"/>
                <w:color w:val="auto"/>
              </w:rPr>
            </w:pPr>
            <w:r>
              <w:rPr>
                <w:rFonts w:ascii="Arial" w:cs="Arial" w:eastAsia="Arial" w:hAnsi="Arial"/>
                <w:sz w:val="18"/>
                <w:szCs w:val="18"/>
                <w:color w:val="auto"/>
                <w:w w:val="91"/>
              </w:rPr>
              <w:t>Page 7 of 7 Pages</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I certify (the undersigned certifies) that the information set forth in this statement is true, complete and correct.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KNOLL CAPITAL MANAGEMENT, LP</w:t>
            </w:r>
          </w:p>
        </w:tc>
        <w:tc>
          <w:tcPr>
            <w:tcW w:w="0" w:type="dxa"/>
            <w:vAlign w:val="bottom"/>
          </w:tcPr>
          <w:p>
            <w:pPr>
              <w:spacing w:after="0"/>
              <w:rPr>
                <w:sz w:val="1"/>
                <w:szCs w:val="1"/>
                <w:color w:val="auto"/>
              </w:rPr>
            </w:pPr>
          </w:p>
        </w:tc>
      </w:tr>
      <w:tr>
        <w:trPr>
          <w:trHeight w:val="648"/>
        </w:trPr>
        <w:tc>
          <w:tcPr>
            <w:tcW w:w="5720" w:type="dxa"/>
            <w:vAlign w:val="bottom"/>
            <w:vMerge w:val="restart"/>
          </w:tcPr>
          <w:p>
            <w:pPr>
              <w:spacing w:after="0"/>
              <w:rPr>
                <w:sz w:val="20"/>
                <w:szCs w:val="20"/>
                <w:color w:val="auto"/>
              </w:rPr>
            </w:pPr>
            <w:r>
              <w:rPr>
                <w:rFonts w:ascii="Arial" w:cs="Arial" w:eastAsia="Arial" w:hAnsi="Arial"/>
                <w:sz w:val="18"/>
                <w:szCs w:val="18"/>
                <w:color w:val="auto"/>
              </w:rPr>
              <w:t>Dated: February 14,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Fred Knoll</w:t>
            </w:r>
          </w:p>
        </w:tc>
        <w:tc>
          <w:tcPr>
            <w:tcW w:w="0" w:type="dxa"/>
            <w:vAlign w:val="bottom"/>
          </w:tcPr>
          <w:p>
            <w:pPr>
              <w:spacing w:after="0"/>
              <w:rPr>
                <w:sz w:val="1"/>
                <w:szCs w:val="1"/>
                <w:color w:val="auto"/>
              </w:rPr>
            </w:pPr>
          </w:p>
        </w:tc>
      </w:tr>
      <w:tr>
        <w:trPr>
          <w:trHeight w:val="195"/>
        </w:trPr>
        <w:tc>
          <w:tcPr>
            <w:tcW w:w="5720" w:type="dxa"/>
            <w:vAlign w:val="bottom"/>
            <w:vMerge w:val="continue"/>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Fred Knoll</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President</w:t>
            </w:r>
          </w:p>
        </w:tc>
        <w:tc>
          <w:tcPr>
            <w:tcW w:w="0" w:type="dxa"/>
            <w:vAlign w:val="bottom"/>
          </w:tcPr>
          <w:p>
            <w:pPr>
              <w:spacing w:after="0"/>
              <w:rPr>
                <w:sz w:val="1"/>
                <w:szCs w:val="1"/>
                <w:color w:val="auto"/>
              </w:rPr>
            </w:pPr>
          </w:p>
        </w:tc>
      </w:tr>
      <w:tr>
        <w:trPr>
          <w:trHeight w:val="648"/>
        </w:trPr>
        <w:tc>
          <w:tcPr>
            <w:tcW w:w="5720" w:type="dxa"/>
            <w:vAlign w:val="bottom"/>
            <w:vMerge w:val="restart"/>
          </w:tcPr>
          <w:p>
            <w:pPr>
              <w:spacing w:after="0"/>
              <w:rPr>
                <w:sz w:val="20"/>
                <w:szCs w:val="20"/>
                <w:color w:val="auto"/>
              </w:rPr>
            </w:pPr>
            <w:r>
              <w:rPr>
                <w:rFonts w:ascii="Arial" w:cs="Arial" w:eastAsia="Arial" w:hAnsi="Arial"/>
                <w:sz w:val="18"/>
                <w:szCs w:val="18"/>
                <w:color w:val="auto"/>
              </w:rPr>
              <w:t>Dated: February 14,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 Knoll</w:t>
            </w:r>
          </w:p>
        </w:tc>
        <w:tc>
          <w:tcPr>
            <w:tcW w:w="0" w:type="dxa"/>
            <w:vAlign w:val="bottom"/>
          </w:tcPr>
          <w:p>
            <w:pPr>
              <w:spacing w:after="0"/>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Fred Knoll</w:t>
            </w:r>
          </w:p>
        </w:tc>
        <w:tc>
          <w:tcPr>
            <w:tcW w:w="0" w:type="dxa"/>
            <w:vAlign w:val="bottom"/>
          </w:tcPr>
          <w:p>
            <w:pPr>
              <w:spacing w:after="0"/>
              <w:rPr>
                <w:sz w:val="1"/>
                <w:szCs w:val="1"/>
                <w:color w:val="auto"/>
              </w:rPr>
            </w:pPr>
          </w:p>
        </w:tc>
      </w:tr>
      <w:tr>
        <w:trPr>
          <w:trHeight w:val="620"/>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GAKASA HOLDINGS, LLC</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 Knoll Capital Management, L.P.,</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Investment Manager</w:t>
            </w:r>
          </w:p>
        </w:tc>
        <w:tc>
          <w:tcPr>
            <w:tcW w:w="0" w:type="dxa"/>
            <w:vAlign w:val="bottom"/>
          </w:tcPr>
          <w:p>
            <w:pPr>
              <w:spacing w:after="0"/>
              <w:rPr>
                <w:sz w:val="1"/>
                <w:szCs w:val="1"/>
                <w:color w:val="auto"/>
              </w:rPr>
            </w:pPr>
          </w:p>
        </w:tc>
      </w:tr>
      <w:tr>
        <w:trPr>
          <w:trHeight w:val="648"/>
        </w:trPr>
        <w:tc>
          <w:tcPr>
            <w:tcW w:w="5720" w:type="dxa"/>
            <w:vAlign w:val="bottom"/>
            <w:vMerge w:val="restart"/>
          </w:tcPr>
          <w:p>
            <w:pPr>
              <w:spacing w:after="0"/>
              <w:rPr>
                <w:sz w:val="20"/>
                <w:szCs w:val="20"/>
                <w:color w:val="auto"/>
              </w:rPr>
            </w:pPr>
            <w:r>
              <w:rPr>
                <w:rFonts w:ascii="Arial" w:cs="Arial" w:eastAsia="Arial" w:hAnsi="Arial"/>
                <w:sz w:val="18"/>
                <w:szCs w:val="18"/>
                <w:color w:val="auto"/>
              </w:rPr>
              <w:t>Dated: February 14,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Fred Knoll</w:t>
            </w:r>
          </w:p>
        </w:tc>
        <w:tc>
          <w:tcPr>
            <w:tcW w:w="0" w:type="dxa"/>
            <w:vAlign w:val="bottom"/>
          </w:tcPr>
          <w:p>
            <w:pPr>
              <w:spacing w:after="0"/>
              <w:rPr>
                <w:sz w:val="1"/>
                <w:szCs w:val="1"/>
                <w:color w:val="auto"/>
              </w:rPr>
            </w:pPr>
          </w:p>
        </w:tc>
      </w:tr>
      <w:tr>
        <w:trPr>
          <w:trHeight w:val="195"/>
        </w:trPr>
        <w:tc>
          <w:tcPr>
            <w:tcW w:w="5720" w:type="dxa"/>
            <w:vAlign w:val="bottom"/>
            <w:vMerge w:val="continue"/>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Fred Knoll</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President</w:t>
            </w:r>
          </w:p>
        </w:tc>
        <w:tc>
          <w:tcPr>
            <w:tcW w:w="0" w:type="dxa"/>
            <w:vAlign w:val="bottom"/>
          </w:tcPr>
          <w:p>
            <w:pPr>
              <w:spacing w:after="0"/>
              <w:rPr>
                <w:sz w:val="1"/>
                <w:szCs w:val="1"/>
                <w:color w:val="auto"/>
              </w:rPr>
            </w:pP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8"/>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3"/>
    </w:lvl>
    <w:lvl w:ilvl="1">
      <w:lvlJc w:val="left"/>
      <w:lvlText w:val="(%2)"/>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2019-12-17T07:51:30Z</dcterms:created>
  <dcterms:modified xsi:type="dcterms:W3CDTF">2019-12-17T07:51:30Z</dcterms:modified>
</cp:coreProperties>
</file>